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5CFB89F">
      <w:pPr>
        <w:spacing w:line="288" w:lineRule="auto"/>
        <w:jc w:val="center"/>
        <w:rPr>
          <w:rFonts w:hint="eastAsia" w:ascii="宋体" w:hAnsi="宋体" w:eastAsia="宋体" w:cs="宋体"/>
          <w:b/>
          <w:bCs/>
          <w:kern w:val="0"/>
          <w:sz w:val="36"/>
          <w:szCs w:val="36"/>
          <w:lang w:eastAsia="zh-CN"/>
        </w:rPr>
      </w:pPr>
      <w:r>
        <w:rPr>
          <w:rFonts w:hint="eastAsia" w:ascii="宋体" w:hAnsi="宋体" w:eastAsia="宋体" w:cs="宋体"/>
          <w:b/>
          <w:bCs/>
          <w:kern w:val="0"/>
          <w:sz w:val="36"/>
          <w:szCs w:val="36"/>
          <w:lang w:eastAsia="zh-CN"/>
        </w:rPr>
        <w:t>上饶市广丰区铜钹山地区地热水找矿前景调查项目</w:t>
      </w:r>
    </w:p>
    <w:p w14:paraId="000C36C2">
      <w:pPr>
        <w:pageBreakBefore w:val="0"/>
        <w:widowControl w:val="0"/>
        <w:numPr>
          <w:ilvl w:val="0"/>
          <w:numId w:val="0"/>
        </w:numPr>
        <w:kinsoku w:val="0"/>
        <w:wordWrap/>
        <w:overflowPunct/>
        <w:topLinePunct/>
        <w:autoSpaceDE w:val="0"/>
        <w:autoSpaceDN w:val="0"/>
        <w:bidi w:val="0"/>
        <w:adjustRightInd w:val="0"/>
        <w:snapToGrid w:val="0"/>
        <w:spacing w:before="48" w:line="219" w:lineRule="auto"/>
        <w:jc w:val="both"/>
        <w:textAlignment w:val="baseline"/>
        <w:outlineLvl w:val="1"/>
        <w:rPr>
          <w:rFonts w:hint="eastAsia" w:ascii="宋体" w:hAnsi="宋体" w:eastAsia="宋体" w:cs="宋体"/>
          <w:b/>
          <w:bCs/>
          <w:snapToGrid w:val="0"/>
          <w:color w:val="auto"/>
          <w:kern w:val="0"/>
          <w:sz w:val="28"/>
          <w:szCs w:val="28"/>
          <w:highlight w:val="none"/>
          <w:lang w:eastAsia="en-US"/>
        </w:rPr>
      </w:pPr>
    </w:p>
    <w:p w14:paraId="763D2874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60" w:lineRule="exact"/>
        <w:ind w:firstLine="536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  <w:t>（</w:t>
      </w:r>
      <w:r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val="en-US" w:eastAsia="zh-CN"/>
        </w:rPr>
        <w:t>一</w:t>
      </w:r>
      <w:r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  <w:t>）项目概况</w:t>
      </w:r>
    </w:p>
    <w:p w14:paraId="2851DB35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60" w:lineRule="exact"/>
        <w:ind w:firstLine="536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  <w:t>1、项目名称：</w:t>
      </w:r>
      <w:r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val="en-US" w:eastAsia="zh-CN"/>
        </w:rPr>
        <w:t>上饶市广丰区铜钹山地区地热水找矿前景调查项目</w:t>
      </w:r>
    </w:p>
    <w:p w14:paraId="44CCE097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60" w:lineRule="exact"/>
        <w:ind w:firstLine="536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val="en-US" w:eastAsia="zh-CN"/>
        </w:rPr>
        <w:t>2、</w:t>
      </w:r>
      <w:r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  <w:t>业主单位：上饶市广丰区铜钹山生态林场</w:t>
      </w:r>
    </w:p>
    <w:p w14:paraId="501EA6A5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60" w:lineRule="exact"/>
        <w:ind w:firstLine="536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val="en-US" w:eastAsia="zh-CN"/>
        </w:rPr>
        <w:t>3、</w:t>
      </w:r>
      <w:r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  <w:t>项目目的：为促进铜钹山地区旅游经济发展，查明区域地热水成矿条件与找矿前景，初步圈定找矿靶区，为后续地热资源勘查与开发提供地质依据。</w:t>
      </w:r>
    </w:p>
    <w:p w14:paraId="12095EAD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60" w:lineRule="exact"/>
        <w:ind w:firstLine="536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val="en-US" w:eastAsia="zh-CN"/>
        </w:rPr>
        <w:t>4、</w:t>
      </w:r>
      <w:r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  <w:t>项目地点：上饶市广丰区铜钹山地区</w:t>
      </w:r>
    </w:p>
    <w:p w14:paraId="3FCF432D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60" w:lineRule="exact"/>
        <w:ind w:firstLine="536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  <w:t>（</w:t>
      </w:r>
      <w:r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val="en-US" w:eastAsia="zh-CN"/>
        </w:rPr>
        <w:t>二</w:t>
      </w:r>
      <w:r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  <w:t>）主要工作内容</w:t>
      </w:r>
    </w:p>
    <w:p w14:paraId="51BD3F04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60" w:lineRule="exact"/>
        <w:ind w:firstLine="536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  <w:t>成交供应商需按照相关技术规范及《地质调查项目预算标准》（2021版）等要求，完成但不限于以下工作：</w:t>
      </w:r>
    </w:p>
    <w:p w14:paraId="2757240D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60" w:lineRule="exact"/>
        <w:ind w:firstLine="536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  <w:t>1. 资料收集与成矿条件分析：全面收集本区域已有地质、水文、地热等资料，总结分析地热水成矿地质条件。</w:t>
      </w:r>
    </w:p>
    <w:p w14:paraId="17E83EFE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60" w:lineRule="exact"/>
        <w:ind w:firstLine="536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  <w:t>2.遥感异常解译：开展遥感异常解译工作，提取与地热相关的遥感地质信息，面积450km²。</w:t>
      </w:r>
    </w:p>
    <w:p w14:paraId="6AD1876A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60" w:lineRule="exact"/>
        <w:ind w:firstLine="536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  <w:t>3. 地形测绘：</w:t>
      </w:r>
    </w:p>
    <w:p w14:paraId="07CD781C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60" w:lineRule="exact"/>
        <w:ind w:firstLine="536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  <w:t xml:space="preserve">    ①1:25000地形图数字化，</w:t>
      </w:r>
      <w:r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val="en-US" w:eastAsia="zh-CN"/>
        </w:rPr>
        <w:t>工作量：根据工作需求</w:t>
      </w:r>
      <w:r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  <w:t>，等级Ⅳ类；</w:t>
      </w:r>
    </w:p>
    <w:p w14:paraId="69FFE80E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60" w:lineRule="exact"/>
        <w:ind w:firstLine="536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  <w:t xml:space="preserve">    ②制图：地质图（</w:t>
      </w:r>
      <w:r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val="en-US" w:eastAsia="zh-CN"/>
        </w:rPr>
        <w:t>图幅数量根据工作需求</w:t>
      </w:r>
      <w:r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  <w:t>），等级III类；</w:t>
      </w:r>
    </w:p>
    <w:p w14:paraId="58B247FB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60" w:lineRule="exact"/>
        <w:ind w:firstLine="536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  <w:t>4. 专项地质、水文地质测量：开展1:25000专项地质与水文地质测量，面积40km²，等级III。</w:t>
      </w:r>
    </w:p>
    <w:p w14:paraId="0C95A86D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60" w:lineRule="exact"/>
        <w:ind w:firstLine="536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  <w:t>5. 综合研究与报告编制：</w:t>
      </w:r>
    </w:p>
    <w:p w14:paraId="030700CB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60" w:lineRule="exact"/>
        <w:ind w:firstLine="536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  <w:t>①分析地热找矿前景，初步圈定找矿靶区，提出下一步工作建议。</w:t>
      </w:r>
    </w:p>
    <w:p w14:paraId="40FB41AC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60" w:lineRule="exact"/>
        <w:ind w:firstLine="536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  <w:t>②编写并提交《铜钹山地区地热水找矿前景调查成果报告》及相应图件。</w:t>
      </w:r>
    </w:p>
    <w:p w14:paraId="130A0BD2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60" w:lineRule="exact"/>
        <w:ind w:firstLine="536" w:firstLineChars="200"/>
        <w:jc w:val="left"/>
        <w:textAlignment w:val="baseline"/>
        <w:rPr>
          <w:rFonts w:hint="eastAsia" w:ascii="仿宋" w:hAnsi="仿宋" w:eastAsia="仿宋" w:cs="仿宋"/>
          <w:sz w:val="32"/>
          <w:szCs w:val="32"/>
          <w:highlight w:val="none"/>
        </w:rPr>
      </w:pPr>
      <w:r>
        <w:rPr>
          <w:rFonts w:hint="default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  <w:t>③</w:t>
      </w:r>
      <w:r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  <w:t>完成成果报告的打印、装订（1份正式报告及相应份数副本）</w:t>
      </w:r>
    </w:p>
    <w:p w14:paraId="374A741C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60" w:lineRule="exact"/>
        <w:ind w:firstLine="536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  <w:t>（</w:t>
      </w:r>
      <w:r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val="en-US" w:eastAsia="zh-CN"/>
        </w:rPr>
        <w:t>三</w:t>
      </w:r>
      <w:r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  <w:t>）技术与成果要求</w:t>
      </w:r>
    </w:p>
    <w:p w14:paraId="3AE3D2E5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60" w:lineRule="exact"/>
        <w:ind w:firstLine="536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val="en-US" w:eastAsia="zh-CN"/>
        </w:rPr>
        <w:t>1、</w:t>
      </w:r>
      <w:r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  <w:t>所有工作应执行现行国家、行业相关技术标准及《地质调查项目预算标准》（2021版）。</w:t>
      </w:r>
    </w:p>
    <w:p w14:paraId="31F5CBC3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60" w:lineRule="exact"/>
        <w:ind w:firstLine="536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val="en-US" w:eastAsia="zh-CN"/>
        </w:rPr>
        <w:t>2、</w:t>
      </w:r>
      <w:r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  <w:t>提交成果包括但不限于：</w:t>
      </w:r>
    </w:p>
    <w:p w14:paraId="5F7771AF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60" w:lineRule="exact"/>
        <w:ind w:firstLine="536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</w:pPr>
      <w:r>
        <w:rPr>
          <w:rFonts w:hint="default" w:ascii="Calibri" w:hAnsi="Calibri" w:eastAsia="宋体" w:cs="Calibri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  <w:t>①</w:t>
      </w:r>
      <w:r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  <w:t>成果报告（含正文、附图、附表）</w:t>
      </w:r>
    </w:p>
    <w:p w14:paraId="268E7A43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60" w:lineRule="exact"/>
        <w:ind w:firstLine="536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</w:pPr>
      <w:r>
        <w:rPr>
          <w:rFonts w:hint="default" w:ascii="Calibri" w:hAnsi="Calibri" w:eastAsia="宋体" w:cs="Calibri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  <w:t>②</w:t>
      </w:r>
      <w:r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  <w:t>遥感解译图件</w:t>
      </w:r>
    </w:p>
    <w:p w14:paraId="290186C6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60" w:lineRule="exact"/>
        <w:ind w:firstLine="536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</w:pPr>
      <w:r>
        <w:rPr>
          <w:rFonts w:hint="default" w:ascii="Calibri" w:hAnsi="Calibri" w:eastAsia="宋体" w:cs="Calibri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  <w:t>③</w:t>
      </w:r>
      <w:r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  <w:t>地质、水文地质图件</w:t>
      </w:r>
    </w:p>
    <w:p w14:paraId="223A37EC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60" w:lineRule="exact"/>
        <w:ind w:firstLine="536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</w:pPr>
      <w:r>
        <w:rPr>
          <w:rFonts w:hint="eastAsia" w:ascii="微软雅黑" w:hAnsi="微软雅黑" w:eastAsia="微软雅黑" w:cs="微软雅黑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  <w:t>④</w:t>
      </w:r>
      <w:r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  <w:t>地形测绘成果</w:t>
      </w:r>
    </w:p>
    <w:p w14:paraId="7C657E53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60" w:lineRule="exact"/>
        <w:ind w:firstLine="536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</w:pPr>
      <w:r>
        <w:rPr>
          <w:rFonts w:hint="eastAsia" w:ascii="微软雅黑" w:hAnsi="微软雅黑" w:eastAsia="微软雅黑" w:cs="微软雅黑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  <w:t>⑤</w:t>
      </w:r>
      <w:r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  <w:t>原始资料及电子文档</w:t>
      </w:r>
    </w:p>
    <w:p w14:paraId="4A4EFA53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60" w:lineRule="exact"/>
        <w:ind w:firstLine="536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val="en-US" w:eastAsia="zh-CN"/>
        </w:rPr>
        <w:t>3、</w:t>
      </w:r>
      <w:r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8"/>
          <w:szCs w:val="28"/>
          <w:highlight w:val="none"/>
          <w:lang w:eastAsia="zh-CN"/>
        </w:rPr>
        <w:t>成果需通过业主单位组织的专家评审或验收。</w:t>
      </w:r>
    </w:p>
    <w:p w14:paraId="2A7E62A6">
      <w:pPr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219" w:lineRule="auto"/>
        <w:jc w:val="left"/>
        <w:textAlignment w:val="baseline"/>
        <w:rPr>
          <w:rFonts w:ascii="宋体" w:hAnsi="宋体" w:eastAsia="宋体" w:cs="宋体"/>
          <w:snapToGrid w:val="0"/>
          <w:color w:val="auto"/>
          <w:spacing w:val="-6"/>
          <w:kern w:val="0"/>
          <w:sz w:val="24"/>
          <w:szCs w:val="24"/>
          <w:highlight w:val="none"/>
          <w:lang w:eastAsia="zh-CN"/>
        </w:rPr>
      </w:pPr>
    </w:p>
    <w:p w14:paraId="4A09258F">
      <w:pPr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219" w:lineRule="auto"/>
        <w:jc w:val="left"/>
        <w:textAlignment w:val="baseline"/>
        <w:rPr>
          <w:rFonts w:ascii="宋体" w:hAnsi="宋体" w:eastAsia="宋体" w:cs="宋体"/>
          <w:snapToGrid w:val="0"/>
          <w:color w:val="auto"/>
          <w:spacing w:val="-6"/>
          <w:kern w:val="0"/>
          <w:sz w:val="24"/>
          <w:szCs w:val="24"/>
          <w:highlight w:val="none"/>
          <w:lang w:eastAsia="zh-CN"/>
        </w:rPr>
      </w:pPr>
    </w:p>
    <w:p w14:paraId="592148D0">
      <w:pPr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219" w:lineRule="auto"/>
        <w:ind w:firstLine="456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4"/>
          <w:szCs w:val="24"/>
          <w:highlight w:val="none"/>
          <w:lang w:val="en-US" w:eastAsia="zh-CN"/>
        </w:rPr>
      </w:pPr>
    </w:p>
    <w:p w14:paraId="659E5755">
      <w:pPr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219" w:lineRule="auto"/>
        <w:ind w:firstLine="456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4"/>
          <w:szCs w:val="24"/>
          <w:highlight w:val="none"/>
          <w:lang w:val="en-US" w:eastAsia="zh-CN"/>
        </w:rPr>
      </w:pPr>
    </w:p>
    <w:p w14:paraId="7076E1C4">
      <w:pPr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219" w:lineRule="auto"/>
        <w:ind w:firstLine="456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4"/>
          <w:szCs w:val="24"/>
          <w:highlight w:val="none"/>
          <w:lang w:val="en-US" w:eastAsia="zh-CN"/>
        </w:rPr>
      </w:pPr>
    </w:p>
    <w:p w14:paraId="71CA482B">
      <w:pPr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219" w:lineRule="auto"/>
        <w:ind w:firstLine="456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4"/>
          <w:szCs w:val="24"/>
          <w:highlight w:val="none"/>
          <w:lang w:val="en-US" w:eastAsia="zh-CN"/>
        </w:rPr>
      </w:pPr>
    </w:p>
    <w:p w14:paraId="40CE1B7A">
      <w:pPr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219" w:lineRule="auto"/>
        <w:ind w:firstLine="456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-6"/>
          <w:kern w:val="0"/>
          <w:sz w:val="24"/>
          <w:szCs w:val="24"/>
          <w:highlight w:val="none"/>
          <w:lang w:val="en-US" w:eastAsia="zh-CN"/>
        </w:rPr>
      </w:pPr>
    </w:p>
    <w:p w14:paraId="4A4393FF">
      <w:pPr>
        <w:spacing w:line="288" w:lineRule="auto"/>
        <w:rPr>
          <w:rFonts w:hint="eastAsia" w:ascii="仿宋_GB2312" w:hAnsi="宋体" w:eastAsia="仿宋_GB2312" w:cs="宋体"/>
          <w:kern w:val="0"/>
          <w:szCs w:val="21"/>
        </w:rPr>
      </w:pPr>
      <w:bookmarkStart w:id="0" w:name="_GoBack"/>
      <w:bookmarkEnd w:id="0"/>
    </w:p>
    <w:sectPr>
      <w:pgSz w:w="11906" w:h="16838"/>
      <w:pgMar w:top="1440" w:right="1463" w:bottom="1440" w:left="1406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9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0203"/>
    <w:rsid w:val="0001308C"/>
    <w:rsid w:val="00017D55"/>
    <w:rsid w:val="0002774F"/>
    <w:rsid w:val="0003050A"/>
    <w:rsid w:val="00084972"/>
    <w:rsid w:val="00090CF4"/>
    <w:rsid w:val="000918EB"/>
    <w:rsid w:val="001160F0"/>
    <w:rsid w:val="00126660"/>
    <w:rsid w:val="00141BCF"/>
    <w:rsid w:val="001826D3"/>
    <w:rsid w:val="0018391F"/>
    <w:rsid w:val="00183B53"/>
    <w:rsid w:val="001A62D5"/>
    <w:rsid w:val="001B28B6"/>
    <w:rsid w:val="001B5B00"/>
    <w:rsid w:val="001C1DA1"/>
    <w:rsid w:val="001D1657"/>
    <w:rsid w:val="001F2EF9"/>
    <w:rsid w:val="001F507D"/>
    <w:rsid w:val="002010BD"/>
    <w:rsid w:val="002319CA"/>
    <w:rsid w:val="0023651F"/>
    <w:rsid w:val="002637DE"/>
    <w:rsid w:val="002659C2"/>
    <w:rsid w:val="00272D7D"/>
    <w:rsid w:val="00283F97"/>
    <w:rsid w:val="00290A4E"/>
    <w:rsid w:val="002C7D27"/>
    <w:rsid w:val="002F18E9"/>
    <w:rsid w:val="003007F3"/>
    <w:rsid w:val="00301279"/>
    <w:rsid w:val="003258AB"/>
    <w:rsid w:val="00327774"/>
    <w:rsid w:val="0034304D"/>
    <w:rsid w:val="00347ADA"/>
    <w:rsid w:val="003654A0"/>
    <w:rsid w:val="00367D47"/>
    <w:rsid w:val="00371DAF"/>
    <w:rsid w:val="00376E7E"/>
    <w:rsid w:val="00380B6A"/>
    <w:rsid w:val="00386028"/>
    <w:rsid w:val="00393341"/>
    <w:rsid w:val="003A0ADA"/>
    <w:rsid w:val="003B4956"/>
    <w:rsid w:val="003B677A"/>
    <w:rsid w:val="003D5B03"/>
    <w:rsid w:val="003F6D65"/>
    <w:rsid w:val="004354FC"/>
    <w:rsid w:val="004430D4"/>
    <w:rsid w:val="00444710"/>
    <w:rsid w:val="004650F6"/>
    <w:rsid w:val="00482873"/>
    <w:rsid w:val="004B3937"/>
    <w:rsid w:val="004C27E8"/>
    <w:rsid w:val="004D4405"/>
    <w:rsid w:val="004E10F0"/>
    <w:rsid w:val="004E177D"/>
    <w:rsid w:val="004F78BA"/>
    <w:rsid w:val="00515A8C"/>
    <w:rsid w:val="00524343"/>
    <w:rsid w:val="005460EA"/>
    <w:rsid w:val="0055523C"/>
    <w:rsid w:val="00560139"/>
    <w:rsid w:val="00570BE4"/>
    <w:rsid w:val="005713E3"/>
    <w:rsid w:val="00577999"/>
    <w:rsid w:val="0059521A"/>
    <w:rsid w:val="00595698"/>
    <w:rsid w:val="005A101E"/>
    <w:rsid w:val="005A732F"/>
    <w:rsid w:val="005A7CC7"/>
    <w:rsid w:val="005B5496"/>
    <w:rsid w:val="005C1428"/>
    <w:rsid w:val="005C78FC"/>
    <w:rsid w:val="005D4AC6"/>
    <w:rsid w:val="005D5D3C"/>
    <w:rsid w:val="005E5E86"/>
    <w:rsid w:val="005F3955"/>
    <w:rsid w:val="005F7EC5"/>
    <w:rsid w:val="00611DA3"/>
    <w:rsid w:val="0061713A"/>
    <w:rsid w:val="00624598"/>
    <w:rsid w:val="006779CC"/>
    <w:rsid w:val="0069654A"/>
    <w:rsid w:val="006A5B88"/>
    <w:rsid w:val="006B2322"/>
    <w:rsid w:val="006B2FB8"/>
    <w:rsid w:val="006B50F9"/>
    <w:rsid w:val="006F55BD"/>
    <w:rsid w:val="0072098F"/>
    <w:rsid w:val="00741B64"/>
    <w:rsid w:val="00752D46"/>
    <w:rsid w:val="00762831"/>
    <w:rsid w:val="007631A4"/>
    <w:rsid w:val="00773601"/>
    <w:rsid w:val="007761C8"/>
    <w:rsid w:val="00785C85"/>
    <w:rsid w:val="007A73D4"/>
    <w:rsid w:val="007C3AD7"/>
    <w:rsid w:val="007E4C30"/>
    <w:rsid w:val="00824D5A"/>
    <w:rsid w:val="00830EC7"/>
    <w:rsid w:val="008332FA"/>
    <w:rsid w:val="00834545"/>
    <w:rsid w:val="0084235A"/>
    <w:rsid w:val="008711B9"/>
    <w:rsid w:val="008779FD"/>
    <w:rsid w:val="00887C20"/>
    <w:rsid w:val="008A2CBC"/>
    <w:rsid w:val="008B67AA"/>
    <w:rsid w:val="008E322B"/>
    <w:rsid w:val="008F4BF5"/>
    <w:rsid w:val="00910C51"/>
    <w:rsid w:val="00933BFD"/>
    <w:rsid w:val="00937A5B"/>
    <w:rsid w:val="009438E3"/>
    <w:rsid w:val="0094795C"/>
    <w:rsid w:val="00950C5A"/>
    <w:rsid w:val="00951DCB"/>
    <w:rsid w:val="00955FA2"/>
    <w:rsid w:val="00976411"/>
    <w:rsid w:val="009834C5"/>
    <w:rsid w:val="009A10FA"/>
    <w:rsid w:val="009B524E"/>
    <w:rsid w:val="009B57A5"/>
    <w:rsid w:val="009C001B"/>
    <w:rsid w:val="009C747B"/>
    <w:rsid w:val="009E66AF"/>
    <w:rsid w:val="009F380F"/>
    <w:rsid w:val="00A0388E"/>
    <w:rsid w:val="00A101A5"/>
    <w:rsid w:val="00A146C2"/>
    <w:rsid w:val="00A47469"/>
    <w:rsid w:val="00A55741"/>
    <w:rsid w:val="00A94122"/>
    <w:rsid w:val="00AB49F7"/>
    <w:rsid w:val="00AB4B03"/>
    <w:rsid w:val="00AC47B2"/>
    <w:rsid w:val="00AC5DA4"/>
    <w:rsid w:val="00AE28FB"/>
    <w:rsid w:val="00AF7B26"/>
    <w:rsid w:val="00B00143"/>
    <w:rsid w:val="00B03C89"/>
    <w:rsid w:val="00B07710"/>
    <w:rsid w:val="00B135E6"/>
    <w:rsid w:val="00B14B38"/>
    <w:rsid w:val="00B20288"/>
    <w:rsid w:val="00B208CD"/>
    <w:rsid w:val="00B24620"/>
    <w:rsid w:val="00B31E62"/>
    <w:rsid w:val="00B4275D"/>
    <w:rsid w:val="00B461D6"/>
    <w:rsid w:val="00B57F1E"/>
    <w:rsid w:val="00B63EA5"/>
    <w:rsid w:val="00B70122"/>
    <w:rsid w:val="00B803FE"/>
    <w:rsid w:val="00B832AA"/>
    <w:rsid w:val="00B83935"/>
    <w:rsid w:val="00B95D4C"/>
    <w:rsid w:val="00BE158D"/>
    <w:rsid w:val="00BE64DF"/>
    <w:rsid w:val="00BF21A4"/>
    <w:rsid w:val="00BF5740"/>
    <w:rsid w:val="00C00615"/>
    <w:rsid w:val="00C141E3"/>
    <w:rsid w:val="00C1623F"/>
    <w:rsid w:val="00C31283"/>
    <w:rsid w:val="00C47D03"/>
    <w:rsid w:val="00C5570C"/>
    <w:rsid w:val="00C72302"/>
    <w:rsid w:val="00C90470"/>
    <w:rsid w:val="00CA0203"/>
    <w:rsid w:val="00CA793F"/>
    <w:rsid w:val="00CF1B6E"/>
    <w:rsid w:val="00D27ECB"/>
    <w:rsid w:val="00D81E1C"/>
    <w:rsid w:val="00D84A20"/>
    <w:rsid w:val="00DA258A"/>
    <w:rsid w:val="00DE2BB5"/>
    <w:rsid w:val="00E01058"/>
    <w:rsid w:val="00E037E6"/>
    <w:rsid w:val="00E1007B"/>
    <w:rsid w:val="00E229C4"/>
    <w:rsid w:val="00E45829"/>
    <w:rsid w:val="00E5424B"/>
    <w:rsid w:val="00E748CE"/>
    <w:rsid w:val="00E74A6C"/>
    <w:rsid w:val="00E97C9A"/>
    <w:rsid w:val="00E97C9B"/>
    <w:rsid w:val="00EA0327"/>
    <w:rsid w:val="00EB1BC1"/>
    <w:rsid w:val="00EB28AB"/>
    <w:rsid w:val="00EC6CBD"/>
    <w:rsid w:val="00ED5A98"/>
    <w:rsid w:val="00EF500D"/>
    <w:rsid w:val="00F050F4"/>
    <w:rsid w:val="00F053F1"/>
    <w:rsid w:val="00F22AC2"/>
    <w:rsid w:val="00F300AE"/>
    <w:rsid w:val="00F409B0"/>
    <w:rsid w:val="00F75A98"/>
    <w:rsid w:val="00F81E76"/>
    <w:rsid w:val="00F84C9C"/>
    <w:rsid w:val="00F91738"/>
    <w:rsid w:val="00F91FAD"/>
    <w:rsid w:val="00F92277"/>
    <w:rsid w:val="00FA7B22"/>
    <w:rsid w:val="00FB1A36"/>
    <w:rsid w:val="00FC7037"/>
    <w:rsid w:val="00FE34A0"/>
    <w:rsid w:val="00FE4DB3"/>
    <w:rsid w:val="11467CFB"/>
    <w:rsid w:val="17821A09"/>
    <w:rsid w:val="18D67790"/>
    <w:rsid w:val="25732EF7"/>
    <w:rsid w:val="268B776D"/>
    <w:rsid w:val="316154B1"/>
    <w:rsid w:val="3EB42AFF"/>
    <w:rsid w:val="53F71986"/>
    <w:rsid w:val="58FC4104"/>
    <w:rsid w:val="6BC97154"/>
    <w:rsid w:val="6DFC49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9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paragraph" w:styleId="3">
    <w:name w:val="heading 2"/>
    <w:basedOn w:val="1"/>
    <w:next w:val="1"/>
    <w:link w:val="20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paragraph" w:styleId="4">
    <w:name w:val="heading 3"/>
    <w:basedOn w:val="1"/>
    <w:next w:val="1"/>
    <w:link w:val="21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paragraph" w:styleId="5">
    <w:name w:val="heading 4"/>
    <w:basedOn w:val="1"/>
    <w:next w:val="1"/>
    <w:link w:val="22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104862" w:themeColor="accent1" w:themeShade="BF"/>
      <w:sz w:val="28"/>
      <w:szCs w:val="28"/>
    </w:rPr>
  </w:style>
  <w:style w:type="paragraph" w:styleId="6">
    <w:name w:val="heading 5"/>
    <w:basedOn w:val="1"/>
    <w:next w:val="1"/>
    <w:link w:val="23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104862" w:themeColor="accent1" w:themeShade="BF"/>
      <w:sz w:val="24"/>
      <w:szCs w:val="24"/>
    </w:rPr>
  </w:style>
  <w:style w:type="paragraph" w:styleId="7">
    <w:name w:val="heading 6"/>
    <w:basedOn w:val="1"/>
    <w:next w:val="1"/>
    <w:link w:val="24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104862" w:themeColor="accent1" w:themeShade="BF"/>
    </w:rPr>
  </w:style>
  <w:style w:type="paragraph" w:styleId="8">
    <w:name w:val="heading 7"/>
    <w:basedOn w:val="1"/>
    <w:next w:val="1"/>
    <w:link w:val="25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6"/>
    <w:semiHidden/>
    <w:unhideWhenUsed/>
    <w:qFormat/>
    <w:uiPriority w:val="9"/>
    <w:pPr>
      <w:keepNext/>
      <w:keepLines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7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8">
    <w:name w:val="Default Paragraph Font"/>
    <w:semiHidden/>
    <w:unhideWhenUsed/>
    <w:qFormat/>
    <w:uiPriority w:val="1"/>
  </w:style>
  <w:style w:type="table" w:default="1" w:styleId="1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Plain Text"/>
    <w:basedOn w:val="1"/>
    <w:next w:val="12"/>
    <w:qFormat/>
    <w:uiPriority w:val="0"/>
    <w:rPr>
      <w:rFonts w:ascii="宋体" w:hAnsi="Courier New"/>
    </w:rPr>
  </w:style>
  <w:style w:type="paragraph" w:styleId="12">
    <w:name w:val="header"/>
    <w:basedOn w:val="1"/>
    <w:link w:val="39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3">
    <w:name w:val="footer"/>
    <w:basedOn w:val="1"/>
    <w:link w:val="4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4">
    <w:name w:val="Subtitle"/>
    <w:basedOn w:val="1"/>
    <w:next w:val="1"/>
    <w:link w:val="29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5">
    <w:name w:val="Title"/>
    <w:basedOn w:val="1"/>
    <w:next w:val="1"/>
    <w:link w:val="28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table" w:styleId="17">
    <w:name w:val="Table Grid"/>
    <w:basedOn w:val="1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9">
    <w:name w:val="标题 1 字符"/>
    <w:basedOn w:val="18"/>
    <w:link w:val="2"/>
    <w:qFormat/>
    <w:uiPriority w:val="9"/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character" w:customStyle="1" w:styleId="20">
    <w:name w:val="标题 2 字符"/>
    <w:basedOn w:val="18"/>
    <w:link w:val="3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21">
    <w:name w:val="标题 3 字符"/>
    <w:basedOn w:val="18"/>
    <w:link w:val="4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22">
    <w:name w:val="标题 4 字符"/>
    <w:basedOn w:val="18"/>
    <w:link w:val="5"/>
    <w:semiHidden/>
    <w:qFormat/>
    <w:uiPriority w:val="9"/>
    <w:rPr>
      <w:rFonts w:cstheme="majorBidi"/>
      <w:color w:val="104862" w:themeColor="accent1" w:themeShade="BF"/>
      <w:sz w:val="28"/>
      <w:szCs w:val="28"/>
    </w:rPr>
  </w:style>
  <w:style w:type="character" w:customStyle="1" w:styleId="23">
    <w:name w:val="标题 5 字符"/>
    <w:basedOn w:val="18"/>
    <w:link w:val="6"/>
    <w:semiHidden/>
    <w:qFormat/>
    <w:uiPriority w:val="9"/>
    <w:rPr>
      <w:rFonts w:cstheme="majorBidi"/>
      <w:color w:val="104862" w:themeColor="accent1" w:themeShade="BF"/>
      <w:sz w:val="24"/>
      <w:szCs w:val="24"/>
    </w:rPr>
  </w:style>
  <w:style w:type="character" w:customStyle="1" w:styleId="24">
    <w:name w:val="标题 6 字符"/>
    <w:basedOn w:val="18"/>
    <w:link w:val="7"/>
    <w:semiHidden/>
    <w:qFormat/>
    <w:uiPriority w:val="9"/>
    <w:rPr>
      <w:rFonts w:cstheme="majorBidi"/>
      <w:b/>
      <w:bCs/>
      <w:color w:val="104862" w:themeColor="accent1" w:themeShade="BF"/>
    </w:rPr>
  </w:style>
  <w:style w:type="character" w:customStyle="1" w:styleId="25">
    <w:name w:val="标题 7 字符"/>
    <w:basedOn w:val="18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6">
    <w:name w:val="标题 8 字符"/>
    <w:basedOn w:val="18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7">
    <w:name w:val="标题 9 字符"/>
    <w:basedOn w:val="18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8">
    <w:name w:val="标题 字符"/>
    <w:basedOn w:val="18"/>
    <w:link w:val="15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9">
    <w:name w:val="副标题 字符"/>
    <w:basedOn w:val="18"/>
    <w:link w:val="14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30">
    <w:name w:val="Quote"/>
    <w:basedOn w:val="1"/>
    <w:next w:val="1"/>
    <w:link w:val="31"/>
    <w:qFormat/>
    <w:uiPriority w:val="29"/>
    <w:pPr>
      <w:spacing w:before="160" w:after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1">
    <w:name w:val="引用 字符"/>
    <w:basedOn w:val="18"/>
    <w:link w:val="30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2">
    <w:name w:val="List Paragraph"/>
    <w:basedOn w:val="1"/>
    <w:qFormat/>
    <w:uiPriority w:val="34"/>
    <w:pPr>
      <w:ind w:left="720"/>
      <w:contextualSpacing/>
    </w:pPr>
  </w:style>
  <w:style w:type="character" w:customStyle="1" w:styleId="33">
    <w:name w:val="明显强调1"/>
    <w:basedOn w:val="18"/>
    <w:qFormat/>
    <w:uiPriority w:val="21"/>
    <w:rPr>
      <w:i/>
      <w:iCs/>
      <w:color w:val="104862" w:themeColor="accent1" w:themeShade="BF"/>
    </w:rPr>
  </w:style>
  <w:style w:type="paragraph" w:styleId="34">
    <w:name w:val="Intense Quote"/>
    <w:basedOn w:val="1"/>
    <w:next w:val="1"/>
    <w:link w:val="35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104862" w:themeColor="accent1" w:themeShade="BF"/>
    </w:rPr>
  </w:style>
  <w:style w:type="character" w:customStyle="1" w:styleId="35">
    <w:name w:val="明显引用 字符"/>
    <w:basedOn w:val="18"/>
    <w:link w:val="34"/>
    <w:qFormat/>
    <w:uiPriority w:val="30"/>
    <w:rPr>
      <w:i/>
      <w:iCs/>
      <w:color w:val="104862" w:themeColor="accent1" w:themeShade="BF"/>
    </w:rPr>
  </w:style>
  <w:style w:type="character" w:customStyle="1" w:styleId="36">
    <w:name w:val="明显参考1"/>
    <w:basedOn w:val="18"/>
    <w:qFormat/>
    <w:uiPriority w:val="32"/>
    <w:rPr>
      <w:b/>
      <w:bCs/>
      <w:smallCaps/>
      <w:color w:val="104862" w:themeColor="accent1" w:themeShade="BF"/>
      <w:spacing w:val="5"/>
    </w:rPr>
  </w:style>
  <w:style w:type="table" w:customStyle="1" w:styleId="37">
    <w:name w:val="Table Normal"/>
    <w:semiHidden/>
    <w:unhideWhenUsed/>
    <w:qFormat/>
    <w:uiPriority w:val="2"/>
    <w:pPr>
      <w:widowControl w:val="0"/>
      <w:autoSpaceDE w:val="0"/>
      <w:autoSpaceDN w:val="0"/>
    </w:pPr>
    <w:rPr>
      <w:sz w:val="22"/>
      <w:lang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38">
    <w:name w:val="Table Paragraph"/>
    <w:basedOn w:val="1"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22"/>
      <w:lang w:eastAsia="zh-TW"/>
    </w:rPr>
  </w:style>
  <w:style w:type="character" w:customStyle="1" w:styleId="39">
    <w:name w:val="页眉 字符"/>
    <w:basedOn w:val="18"/>
    <w:link w:val="12"/>
    <w:qFormat/>
    <w:uiPriority w:val="99"/>
    <w:rPr>
      <w:sz w:val="18"/>
      <w:szCs w:val="18"/>
    </w:rPr>
  </w:style>
  <w:style w:type="character" w:customStyle="1" w:styleId="40">
    <w:name w:val="页脚 字符"/>
    <w:basedOn w:val="18"/>
    <w:link w:val="13"/>
    <w:qFormat/>
    <w:uiPriority w:val="99"/>
    <w:rPr>
      <w:sz w:val="18"/>
      <w:szCs w:val="18"/>
    </w:rPr>
  </w:style>
  <w:style w:type="paragraph" w:customStyle="1" w:styleId="41">
    <w:name w:val="BT_1级"/>
    <w:next w:val="1"/>
    <w:qFormat/>
    <w:uiPriority w:val="0"/>
    <w:pPr>
      <w:wordWrap w:val="0"/>
      <w:adjustRightInd w:val="0"/>
      <w:snapToGrid w:val="0"/>
      <w:spacing w:before="120" w:after="120" w:line="288" w:lineRule="auto"/>
      <w:jc w:val="both"/>
      <w:outlineLvl w:val="0"/>
    </w:pPr>
    <w:rPr>
      <w:rFonts w:ascii="微软雅黑" w:hAnsi="微软雅黑" w:eastAsia="微软雅黑" w:cs="Times New Roman"/>
      <w:b/>
      <w:bCs/>
      <w:kern w:val="2"/>
      <w:sz w:val="42"/>
      <w:szCs w:val="36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631</Words>
  <Characters>667</Characters>
  <Lines>41</Lines>
  <Paragraphs>11</Paragraphs>
  <TotalTime>0</TotalTime>
  <ScaleCrop>false</ScaleCrop>
  <LinksUpToDate>false</LinksUpToDate>
  <CharactersWithSpaces>679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2025-06-10T09:13:00Z</dcterms:created>
  <dc:creator>Admin</dc:creator>
  <cp:lastModifiedBy>冯小兵</cp:lastModifiedBy>
  <cp:lastPrinted>2025-06-11T04:25:00Z</cp:lastPrinted>
  <dcterms:modified xsi:type="dcterms:W3CDTF">2026-05-21T12:31:19Z</dcterms:modified>
  <cp:revision>178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eyJoZGlkIjoiZjVmYjk5NzFhNzQwMDZhM2RlODcxYzMzMGM1NDFiYzUiLCJ1c2VySWQiOiI0MjkzNDg3NTEifQ==</vt:lpwstr>
  </property>
  <property fmtid="{D5CDD505-2E9C-101B-9397-08002B2CF9AE}" pid="3" name="KSOProductBuildVer">
    <vt:lpwstr>2052-12.1.0.26375</vt:lpwstr>
  </property>
  <property fmtid="{D5CDD505-2E9C-101B-9397-08002B2CF9AE}" pid="4" name="ICV">
    <vt:lpwstr>4D2FE2CDCC4C467298370FF2ACDCA75E_12</vt:lpwstr>
  </property>
</Properties>
</file>