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99F236">
      <w:pPr>
        <w:pageBreakBefore w:val="0"/>
        <w:widowControl w:val="0"/>
        <w:kinsoku w:val="0"/>
        <w:wordWrap/>
        <w:overflowPunct/>
        <w:topLinePunct w:val="0"/>
        <w:autoSpaceDE w:val="0"/>
        <w:autoSpaceDN w:val="0"/>
        <w:bidi w:val="0"/>
        <w:adjustRightInd w:val="0"/>
        <w:snapToGrid w:val="0"/>
        <w:spacing w:before="47" w:line="219" w:lineRule="auto"/>
        <w:ind w:left="3805"/>
        <w:jc w:val="left"/>
        <w:textAlignment w:val="baseline"/>
        <w:outlineLvl w:val="1"/>
        <w:rPr>
          <w:rFonts w:ascii="宋体" w:hAnsi="宋体" w:eastAsia="宋体" w:cs="宋体"/>
          <w:snapToGrid w:val="0"/>
          <w:color w:val="auto"/>
          <w:spacing w:val="0"/>
          <w:kern w:val="0"/>
          <w:position w:val="0"/>
          <w:sz w:val="24"/>
          <w:szCs w:val="24"/>
          <w:lang w:eastAsia="en-US"/>
        </w:rPr>
      </w:pPr>
      <w:r>
        <w:rPr>
          <w:rFonts w:ascii="宋体" w:hAnsi="宋体" w:eastAsia="宋体" w:cs="宋体"/>
          <w:snapToGrid w:val="0"/>
          <w:color w:val="auto"/>
          <w:spacing w:val="0"/>
          <w:kern w:val="0"/>
          <w:position w:val="0"/>
          <w:sz w:val="24"/>
          <w:szCs w:val="24"/>
          <w:lang w:eastAsia="en-US"/>
          <w14:textOutline w14:w="4356" w14:cap="sq" w14:cmpd="sng" w14:algn="ctr">
            <w14:solidFill>
              <w14:srgbClr w14:val="000000"/>
            </w14:solidFill>
            <w14:prstDash w14:val="solid"/>
            <w14:bevel/>
          </w14:textOutline>
        </w:rPr>
        <w:t>二、采购需求</w:t>
      </w:r>
    </w:p>
    <w:p w14:paraId="4560EA81">
      <w:pPr>
        <w:pageBreakBefore w:val="0"/>
        <w:widowControl w:val="0"/>
        <w:kinsoku w:val="0"/>
        <w:wordWrap/>
        <w:overflowPunct/>
        <w:topLinePunct w:val="0"/>
        <w:autoSpaceDE w:val="0"/>
        <w:autoSpaceDN w:val="0"/>
        <w:bidi w:val="0"/>
        <w:adjustRightInd w:val="0"/>
        <w:snapToGrid w:val="0"/>
        <w:spacing w:line="257" w:lineRule="auto"/>
        <w:jc w:val="left"/>
        <w:textAlignment w:val="baseline"/>
        <w:rPr>
          <w:rFonts w:ascii="Arial" w:hAnsi="Arial" w:eastAsia="Arial" w:cs="Arial"/>
          <w:snapToGrid w:val="0"/>
          <w:color w:val="auto"/>
          <w:spacing w:val="0"/>
          <w:kern w:val="0"/>
          <w:position w:val="0"/>
          <w:szCs w:val="21"/>
          <w:lang w:eastAsia="en-US"/>
        </w:rPr>
      </w:pPr>
    </w:p>
    <w:p w14:paraId="1170FE80">
      <w:pPr>
        <w:pageBreakBefore w:val="0"/>
        <w:widowControl w:val="0"/>
        <w:kinsoku w:val="0"/>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spacing w:val="0"/>
          <w:kern w:val="0"/>
          <w:position w:val="0"/>
          <w:szCs w:val="21"/>
          <w:lang w:eastAsia="en-US"/>
        </w:rPr>
      </w:pPr>
    </w:p>
    <w:p w14:paraId="5F678830">
      <w:pPr>
        <w:pageBreakBefore w:val="0"/>
        <w:widowControl w:val="0"/>
        <w:kinsoku w:val="0"/>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spacing w:val="0"/>
          <w:kern w:val="0"/>
          <w:position w:val="0"/>
          <w:szCs w:val="21"/>
          <w:lang w:eastAsia="en-US"/>
        </w:rPr>
      </w:pPr>
    </w:p>
    <w:p w14:paraId="2418D2EA">
      <w:pPr>
        <w:pageBreakBefore w:val="0"/>
        <w:widowControl w:val="0"/>
        <w:kinsoku w:val="0"/>
        <w:wordWrap/>
        <w:overflowPunct/>
        <w:topLinePunct w:val="0"/>
        <w:autoSpaceDE w:val="0"/>
        <w:autoSpaceDN w:val="0"/>
        <w:bidi w:val="0"/>
        <w:adjustRightInd w:val="0"/>
        <w:snapToGrid w:val="0"/>
        <w:spacing w:before="78" w:line="219" w:lineRule="auto"/>
        <w:jc w:val="center"/>
        <w:textAlignment w:val="baseline"/>
        <w:rPr>
          <w:rFonts w:hint="eastAsia" w:ascii="黑体" w:hAnsi="黑体" w:eastAsia="黑体" w:cs="黑体"/>
          <w:b/>
          <w:bCs/>
          <w:snapToGrid w:val="0"/>
          <w:color w:val="auto"/>
          <w:spacing w:val="0"/>
          <w:kern w:val="0"/>
          <w:position w:val="0"/>
          <w:sz w:val="28"/>
          <w:szCs w:val="28"/>
          <w:lang w:eastAsia="en-US"/>
        </w:rPr>
      </w:pPr>
      <w:r>
        <w:rPr>
          <w:rFonts w:hint="eastAsia" w:ascii="黑体" w:hAnsi="黑体" w:eastAsia="黑体" w:cs="黑体"/>
          <w:b/>
          <w:bCs/>
          <w:snapToGrid w:val="0"/>
          <w:color w:val="auto"/>
          <w:spacing w:val="0"/>
          <w:kern w:val="0"/>
          <w:position w:val="0"/>
          <w:sz w:val="28"/>
          <w:szCs w:val="28"/>
          <w:lang w:eastAsia="en-US"/>
        </w:rPr>
        <w:t xml:space="preserve">（一） </w:t>
      </w:r>
      <w:r>
        <w:rPr>
          <w:rFonts w:hint="eastAsia" w:ascii="黑体" w:hAnsi="黑体" w:eastAsia="黑体" w:cs="黑体"/>
          <w:b/>
          <w:bCs/>
          <w:snapToGrid w:val="0"/>
          <w:color w:val="auto"/>
          <w:spacing w:val="0"/>
          <w:kern w:val="0"/>
          <w:position w:val="0"/>
          <w:sz w:val="28"/>
          <w:szCs w:val="28"/>
          <w:lang w:val="en-US" w:eastAsia="zh-CN"/>
        </w:rPr>
        <w:t>服务</w:t>
      </w:r>
      <w:r>
        <w:rPr>
          <w:rFonts w:hint="eastAsia" w:ascii="黑体" w:hAnsi="黑体" w:eastAsia="黑体" w:cs="黑体"/>
          <w:b/>
          <w:bCs/>
          <w:snapToGrid w:val="0"/>
          <w:color w:val="auto"/>
          <w:spacing w:val="0"/>
          <w:kern w:val="0"/>
          <w:position w:val="0"/>
          <w:sz w:val="28"/>
          <w:szCs w:val="28"/>
          <w:lang w:eastAsia="en-US"/>
        </w:rPr>
        <w:t>需求</w:t>
      </w:r>
    </w:p>
    <w:p w14:paraId="2E9EC680">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spacing w:val="0"/>
          <w:kern w:val="0"/>
          <w:position w:val="0"/>
          <w:szCs w:val="21"/>
          <w:lang w:eastAsia="en-US"/>
        </w:rPr>
      </w:pPr>
    </w:p>
    <w:p w14:paraId="3B542A0A">
      <w:pPr>
        <w:widowControl/>
        <w:kinsoku w:val="0"/>
        <w:autoSpaceDE w:val="0"/>
        <w:autoSpaceDN w:val="0"/>
        <w:adjustRightInd w:val="0"/>
        <w:snapToGrid w:val="0"/>
        <w:spacing w:before="154" w:line="219" w:lineRule="auto"/>
        <w:ind w:left="238"/>
        <w:jc w:val="left"/>
        <w:textAlignment w:val="baseline"/>
        <w:rPr>
          <w:rFonts w:ascii="宋体" w:hAnsi="宋体" w:eastAsia="宋体" w:cs="宋体"/>
          <w:snapToGrid w:val="0"/>
          <w:color w:val="000000"/>
          <w:kern w:val="0"/>
          <w:sz w:val="24"/>
          <w:szCs w:val="24"/>
          <w:lang w:eastAsia="en-US"/>
        </w:rPr>
      </w:pPr>
      <w:r>
        <w:rPr>
          <w:rFonts w:ascii="宋体" w:hAnsi="宋体" w:eastAsia="宋体" w:cs="宋体"/>
          <w:b/>
          <w:bCs/>
          <w:snapToGrid w:val="0"/>
          <w:color w:val="000000"/>
          <w:spacing w:val="16"/>
          <w:kern w:val="0"/>
          <w:sz w:val="24"/>
          <w:szCs w:val="24"/>
          <w:lang w:eastAsia="en-US"/>
        </w:rPr>
        <w:t>(一)项目概况</w:t>
      </w:r>
    </w:p>
    <w:p w14:paraId="743A5374">
      <w:pPr>
        <w:widowControl/>
        <w:kinsoku w:val="0"/>
        <w:autoSpaceDE w:val="0"/>
        <w:autoSpaceDN w:val="0"/>
        <w:adjustRightInd w:val="0"/>
        <w:snapToGrid w:val="0"/>
        <w:spacing w:before="19" w:line="219" w:lineRule="auto"/>
        <w:ind w:left="238"/>
        <w:jc w:val="left"/>
        <w:textAlignment w:val="baseline"/>
        <w:rPr>
          <w:rFonts w:ascii="宋体" w:hAnsi="宋体" w:eastAsia="宋体" w:cs="宋体"/>
          <w:b/>
          <w:bCs/>
          <w:snapToGrid w:val="0"/>
          <w:color w:val="000000"/>
          <w:spacing w:val="11"/>
          <w:kern w:val="0"/>
          <w:sz w:val="24"/>
          <w:szCs w:val="24"/>
          <w:lang w:eastAsia="en-US"/>
        </w:rPr>
      </w:pPr>
    </w:p>
    <w:p w14:paraId="79F395CC">
      <w:pPr>
        <w:widowControl/>
        <w:kinsoku w:val="0"/>
        <w:autoSpaceDE w:val="0"/>
        <w:autoSpaceDN w:val="0"/>
        <w:adjustRightInd w:val="0"/>
        <w:snapToGrid w:val="0"/>
        <w:spacing w:before="149" w:line="338" w:lineRule="auto"/>
        <w:ind w:left="220" w:leftChars="0" w:firstLine="499" w:firstLineChars="0"/>
        <w:jc w:val="both"/>
        <w:textAlignment w:val="baseline"/>
        <w:rPr>
          <w:rFonts w:hint="eastAsia" w:ascii="宋体" w:hAnsi="宋体" w:eastAsia="宋体" w:cs="宋体"/>
          <w:snapToGrid w:val="0"/>
          <w:color w:val="000000"/>
          <w:spacing w:val="2"/>
          <w:kern w:val="0"/>
          <w:sz w:val="24"/>
          <w:szCs w:val="24"/>
          <w:lang w:val="en-US" w:eastAsia="zh-CN"/>
        </w:rPr>
      </w:pPr>
      <w:r>
        <w:rPr>
          <w:rFonts w:hint="default" w:ascii="宋体" w:hAnsi="宋体" w:eastAsia="宋体" w:cs="宋体"/>
          <w:snapToGrid w:val="0"/>
          <w:color w:val="000000"/>
          <w:spacing w:val="2"/>
          <w:kern w:val="0"/>
          <w:sz w:val="24"/>
          <w:szCs w:val="24"/>
          <w:lang w:val="en-US" w:eastAsia="zh-CN"/>
        </w:rPr>
        <w:t>江西莲花工业园区2001年9月经萍乡市人民政府批准成立，2005年5月被省科技厅命名为省级民营科技园，2006年3月经江西省人民政府批准为省级开发区</w:t>
      </w:r>
      <w:r>
        <w:rPr>
          <w:rFonts w:hint="eastAsia" w:ascii="宋体" w:hAnsi="宋体" w:eastAsia="宋体" w:cs="宋体"/>
          <w:snapToGrid w:val="0"/>
          <w:color w:val="000000"/>
          <w:spacing w:val="2"/>
          <w:kern w:val="0"/>
          <w:sz w:val="24"/>
          <w:szCs w:val="24"/>
          <w:lang w:val="en-US" w:eastAsia="zh-CN"/>
        </w:rPr>
        <w:t>。园区大力推进以新材料、压缩机为核心的装备制造、电子信息细分领域为重点的“1+2+N”现代化产业体系</w:t>
      </w:r>
      <w:r>
        <w:rPr>
          <w:rFonts w:ascii="宋体" w:hAnsi="宋体" w:eastAsia="宋体" w:cs="宋体"/>
          <w:snapToGrid w:val="0"/>
          <w:color w:val="000000"/>
          <w:spacing w:val="-3"/>
          <w:kern w:val="0"/>
          <w:sz w:val="24"/>
          <w:szCs w:val="24"/>
          <w:lang w:eastAsia="en-US"/>
        </w:rPr>
        <w:t>。</w:t>
      </w:r>
    </w:p>
    <w:p w14:paraId="67389547">
      <w:pPr>
        <w:widowControl/>
        <w:kinsoku w:val="0"/>
        <w:autoSpaceDE w:val="0"/>
        <w:autoSpaceDN w:val="0"/>
        <w:adjustRightInd w:val="0"/>
        <w:snapToGrid w:val="0"/>
        <w:spacing w:before="5" w:line="339" w:lineRule="auto"/>
        <w:ind w:left="114" w:right="21" w:firstLine="500"/>
        <w:jc w:val="both"/>
        <w:textAlignment w:val="baseline"/>
        <w:rPr>
          <w:rFonts w:ascii="Arial" w:hAnsi="Arial" w:eastAsia="Arial" w:cs="Arial"/>
          <w:snapToGrid w:val="0"/>
          <w:color w:val="000000"/>
          <w:kern w:val="0"/>
          <w:szCs w:val="21"/>
          <w:lang w:eastAsia="en-US"/>
        </w:rPr>
      </w:pPr>
      <w:r>
        <w:rPr>
          <w:rFonts w:ascii="宋体" w:hAnsi="宋体" w:eastAsia="宋体" w:cs="宋体"/>
          <w:snapToGrid w:val="0"/>
          <w:color w:val="000000"/>
          <w:spacing w:val="12"/>
          <w:kern w:val="0"/>
          <w:sz w:val="24"/>
          <w:szCs w:val="24"/>
          <w:lang w:eastAsia="en-US"/>
        </w:rPr>
        <w:t>为贯彻落实江西省人民政府《关于促进开发区改革和创新发展的实施意见》(赣发</w:t>
      </w:r>
      <w:r>
        <w:rPr>
          <w:rFonts w:ascii="宋体" w:hAnsi="宋体" w:eastAsia="宋体" w:cs="宋体"/>
          <w:snapToGrid w:val="0"/>
          <w:color w:val="000000"/>
          <w:spacing w:val="17"/>
          <w:kern w:val="0"/>
          <w:sz w:val="24"/>
          <w:szCs w:val="24"/>
          <w:lang w:eastAsia="en-US"/>
        </w:rPr>
        <w:t xml:space="preserve"> </w:t>
      </w:r>
      <w:r>
        <w:rPr>
          <w:rFonts w:ascii="宋体" w:hAnsi="宋体" w:eastAsia="宋体" w:cs="宋体"/>
          <w:snapToGrid w:val="0"/>
          <w:color w:val="000000"/>
          <w:spacing w:val="5"/>
          <w:kern w:val="0"/>
          <w:sz w:val="24"/>
          <w:szCs w:val="24"/>
          <w:lang w:eastAsia="en-US"/>
        </w:rPr>
        <w:t>〔2017〕30号)和省委省政府办公厅《关于深化开发区管理制度</w:t>
      </w:r>
      <w:r>
        <w:rPr>
          <w:rFonts w:ascii="宋体" w:hAnsi="宋体" w:eastAsia="宋体" w:cs="宋体"/>
          <w:snapToGrid w:val="0"/>
          <w:color w:val="000000"/>
          <w:spacing w:val="4"/>
          <w:kern w:val="0"/>
          <w:sz w:val="24"/>
          <w:szCs w:val="24"/>
          <w:lang w:eastAsia="en-US"/>
        </w:rPr>
        <w:t>改革推动开发区高质量发</w:t>
      </w:r>
      <w:r>
        <w:rPr>
          <w:rFonts w:ascii="宋体" w:hAnsi="宋体" w:eastAsia="宋体" w:cs="宋体"/>
          <w:snapToGrid w:val="0"/>
          <w:color w:val="000000"/>
          <w:kern w:val="0"/>
          <w:sz w:val="24"/>
          <w:szCs w:val="24"/>
          <w:lang w:eastAsia="en-US"/>
        </w:rPr>
        <w:t xml:space="preserve"> </w:t>
      </w:r>
      <w:r>
        <w:rPr>
          <w:rFonts w:ascii="宋体" w:hAnsi="宋体" w:eastAsia="宋体" w:cs="宋体"/>
          <w:snapToGrid w:val="0"/>
          <w:color w:val="000000"/>
          <w:spacing w:val="8"/>
          <w:kern w:val="0"/>
          <w:sz w:val="24"/>
          <w:szCs w:val="24"/>
          <w:lang w:eastAsia="en-US"/>
        </w:rPr>
        <w:t>展的实施意见》(赣办发〔2023〕19号)的精神，提升</w:t>
      </w:r>
      <w:r>
        <w:rPr>
          <w:rFonts w:hint="default" w:ascii="宋体" w:hAnsi="宋体" w:eastAsia="宋体" w:cs="宋体"/>
          <w:snapToGrid w:val="0"/>
          <w:color w:val="000000"/>
          <w:spacing w:val="2"/>
          <w:kern w:val="0"/>
          <w:sz w:val="24"/>
          <w:szCs w:val="24"/>
          <w:lang w:val="en-US" w:eastAsia="zh-CN"/>
        </w:rPr>
        <w:t>江西莲花工业园区</w:t>
      </w:r>
      <w:r>
        <w:rPr>
          <w:rFonts w:ascii="宋体" w:hAnsi="宋体" w:eastAsia="宋体" w:cs="宋体"/>
          <w:snapToGrid w:val="0"/>
          <w:color w:val="000000"/>
          <w:spacing w:val="8"/>
          <w:kern w:val="0"/>
          <w:sz w:val="24"/>
          <w:szCs w:val="24"/>
          <w:lang w:eastAsia="en-US"/>
        </w:rPr>
        <w:t>综合实力，按照</w:t>
      </w:r>
      <w:r>
        <w:rPr>
          <w:rFonts w:ascii="宋体" w:hAnsi="宋体" w:eastAsia="宋体" w:cs="宋体"/>
          <w:snapToGrid w:val="0"/>
          <w:color w:val="000000"/>
          <w:spacing w:val="2"/>
          <w:kern w:val="0"/>
          <w:sz w:val="24"/>
          <w:szCs w:val="24"/>
          <w:lang w:eastAsia="en-US"/>
        </w:rPr>
        <w:t xml:space="preserve"> </w:t>
      </w:r>
      <w:r>
        <w:rPr>
          <w:rFonts w:ascii="宋体" w:hAnsi="宋体" w:eastAsia="宋体" w:cs="宋体"/>
          <w:snapToGrid w:val="0"/>
          <w:color w:val="000000"/>
          <w:spacing w:val="8"/>
          <w:kern w:val="0"/>
          <w:sz w:val="24"/>
          <w:szCs w:val="24"/>
          <w:lang w:eastAsia="en-US"/>
        </w:rPr>
        <w:t>《江西省省级开发区扩区调区和更名管理办法(2025年修订版)》要求，</w:t>
      </w:r>
      <w:r>
        <w:rPr>
          <w:rFonts w:hint="default" w:ascii="宋体" w:hAnsi="宋体" w:eastAsia="宋体" w:cs="宋体"/>
          <w:snapToGrid w:val="0"/>
          <w:color w:val="000000"/>
          <w:spacing w:val="2"/>
          <w:kern w:val="0"/>
          <w:sz w:val="24"/>
          <w:szCs w:val="24"/>
          <w:lang w:val="en-US" w:eastAsia="zh-CN"/>
        </w:rPr>
        <w:t>江西莲花工业园区</w:t>
      </w:r>
      <w:r>
        <w:rPr>
          <w:rFonts w:ascii="宋体" w:hAnsi="宋体" w:eastAsia="宋体" w:cs="宋体"/>
          <w:snapToGrid w:val="0"/>
          <w:color w:val="000000"/>
          <w:spacing w:val="3"/>
          <w:kern w:val="0"/>
          <w:sz w:val="24"/>
          <w:szCs w:val="24"/>
          <w:lang w:eastAsia="en-US"/>
        </w:rPr>
        <w:t>扩区调区工作。</w:t>
      </w:r>
    </w:p>
    <w:p w14:paraId="4320C720">
      <w:pPr>
        <w:widowControl/>
        <w:kinsoku w:val="0"/>
        <w:autoSpaceDE w:val="0"/>
        <w:autoSpaceDN w:val="0"/>
        <w:adjustRightInd w:val="0"/>
        <w:snapToGrid w:val="0"/>
        <w:spacing w:before="19" w:line="219" w:lineRule="auto"/>
        <w:ind w:left="238"/>
        <w:jc w:val="left"/>
        <w:textAlignment w:val="baseline"/>
        <w:rPr>
          <w:rFonts w:ascii="宋体" w:hAnsi="宋体" w:eastAsia="宋体" w:cs="宋体"/>
          <w:b/>
          <w:bCs/>
          <w:snapToGrid w:val="0"/>
          <w:color w:val="000000"/>
          <w:spacing w:val="11"/>
          <w:kern w:val="0"/>
          <w:sz w:val="24"/>
          <w:szCs w:val="24"/>
          <w:lang w:eastAsia="en-US"/>
        </w:rPr>
      </w:pPr>
    </w:p>
    <w:p w14:paraId="4771F17F">
      <w:pPr>
        <w:widowControl/>
        <w:kinsoku w:val="0"/>
        <w:autoSpaceDE w:val="0"/>
        <w:autoSpaceDN w:val="0"/>
        <w:adjustRightInd w:val="0"/>
        <w:snapToGrid w:val="0"/>
        <w:spacing w:before="19" w:line="219" w:lineRule="auto"/>
        <w:ind w:left="238"/>
        <w:jc w:val="left"/>
        <w:textAlignment w:val="baseline"/>
        <w:rPr>
          <w:rFonts w:ascii="宋体" w:hAnsi="宋体" w:eastAsia="宋体" w:cs="宋体"/>
          <w:snapToGrid w:val="0"/>
          <w:color w:val="000000"/>
          <w:kern w:val="0"/>
          <w:sz w:val="24"/>
          <w:szCs w:val="24"/>
          <w:lang w:eastAsia="en-US"/>
        </w:rPr>
      </w:pPr>
      <w:r>
        <w:rPr>
          <w:rFonts w:ascii="宋体" w:hAnsi="宋体" w:eastAsia="宋体" w:cs="宋体"/>
          <w:b/>
          <w:bCs/>
          <w:snapToGrid w:val="0"/>
          <w:color w:val="000000"/>
          <w:spacing w:val="11"/>
          <w:kern w:val="0"/>
          <w:sz w:val="24"/>
          <w:szCs w:val="24"/>
          <w:lang w:eastAsia="en-US"/>
        </w:rPr>
        <w:t>(二)咨询服务内容</w:t>
      </w:r>
    </w:p>
    <w:p w14:paraId="506BE3A5">
      <w:pPr>
        <w:widowControl/>
        <w:kinsoku w:val="0"/>
        <w:autoSpaceDE w:val="0"/>
        <w:autoSpaceDN w:val="0"/>
        <w:adjustRightInd w:val="0"/>
        <w:snapToGrid w:val="0"/>
        <w:spacing w:before="150" w:line="338" w:lineRule="auto"/>
        <w:ind w:left="115" w:right="24" w:firstLine="499"/>
        <w:jc w:val="both"/>
        <w:textAlignment w:val="baseline"/>
        <w:rPr>
          <w:rFonts w:ascii="宋体" w:hAnsi="宋体" w:eastAsia="宋体" w:cs="宋体"/>
          <w:snapToGrid w:val="0"/>
          <w:color w:val="000000"/>
          <w:kern w:val="0"/>
          <w:sz w:val="24"/>
          <w:szCs w:val="24"/>
          <w:lang w:eastAsia="en-US"/>
        </w:rPr>
      </w:pPr>
      <w:r>
        <w:rPr>
          <w:rFonts w:ascii="宋体" w:hAnsi="宋体" w:eastAsia="宋体" w:cs="宋体"/>
          <w:snapToGrid w:val="0"/>
          <w:color w:val="000000"/>
          <w:spacing w:val="2"/>
          <w:kern w:val="0"/>
          <w:sz w:val="24"/>
          <w:szCs w:val="24"/>
          <w:lang w:eastAsia="en-US"/>
        </w:rPr>
        <w:t>为加快推进</w:t>
      </w:r>
      <w:r>
        <w:rPr>
          <w:rFonts w:hint="eastAsia" w:ascii="宋体" w:hAnsi="宋体" w:eastAsia="宋体" w:cs="宋体"/>
          <w:snapToGrid w:val="0"/>
          <w:color w:val="000000"/>
          <w:spacing w:val="2"/>
          <w:kern w:val="0"/>
          <w:sz w:val="24"/>
          <w:szCs w:val="24"/>
          <w:lang w:eastAsia="zh-CN"/>
        </w:rPr>
        <w:t>莲花工业园区扩区调区</w:t>
      </w:r>
      <w:r>
        <w:rPr>
          <w:rFonts w:ascii="宋体" w:hAnsi="宋体" w:eastAsia="宋体" w:cs="宋体"/>
          <w:snapToGrid w:val="0"/>
          <w:color w:val="000000"/>
          <w:spacing w:val="2"/>
          <w:kern w:val="0"/>
          <w:sz w:val="24"/>
          <w:szCs w:val="24"/>
          <w:lang w:eastAsia="en-US"/>
        </w:rPr>
        <w:t>报批工作，提高申报工作推进水平、申报进度和质量，规范申报流程，结合申报工作流程和核心材料的特点，采购人采用全过程综合咨询服</w:t>
      </w:r>
      <w:r>
        <w:rPr>
          <w:rFonts w:ascii="宋体" w:hAnsi="宋体" w:eastAsia="宋体" w:cs="宋体"/>
          <w:snapToGrid w:val="0"/>
          <w:color w:val="000000"/>
          <w:spacing w:val="-2"/>
          <w:kern w:val="0"/>
          <w:sz w:val="24"/>
          <w:szCs w:val="24"/>
          <w:lang w:eastAsia="en-US"/>
        </w:rPr>
        <w:t>务模式，将整体申报咨询服务工作一次性委托给中标服务单位。</w:t>
      </w:r>
    </w:p>
    <w:p w14:paraId="17CFCFF2">
      <w:pPr>
        <w:widowControl/>
        <w:kinsoku w:val="0"/>
        <w:autoSpaceDE w:val="0"/>
        <w:autoSpaceDN w:val="0"/>
        <w:adjustRightInd w:val="0"/>
        <w:snapToGrid w:val="0"/>
        <w:spacing w:line="339" w:lineRule="auto"/>
        <w:ind w:left="115" w:right="34" w:firstLine="499"/>
        <w:jc w:val="both"/>
        <w:textAlignment w:val="baseline"/>
        <w:rPr>
          <w:rFonts w:ascii="宋体" w:hAnsi="宋体" w:eastAsia="宋体" w:cs="宋体"/>
          <w:snapToGrid w:val="0"/>
          <w:color w:val="000000"/>
          <w:kern w:val="0"/>
          <w:sz w:val="24"/>
          <w:szCs w:val="24"/>
          <w:lang w:eastAsia="en-US"/>
        </w:rPr>
      </w:pPr>
      <w:r>
        <w:rPr>
          <w:rFonts w:ascii="宋体" w:hAnsi="宋体" w:eastAsia="宋体" w:cs="宋体"/>
          <w:snapToGrid w:val="0"/>
          <w:color w:val="000000"/>
          <w:spacing w:val="2"/>
          <w:kern w:val="0"/>
          <w:sz w:val="24"/>
          <w:szCs w:val="24"/>
          <w:lang w:eastAsia="en-US"/>
        </w:rPr>
        <w:t>中标服务单位具体负责江西</w:t>
      </w:r>
      <w:r>
        <w:rPr>
          <w:rFonts w:hint="eastAsia" w:ascii="宋体" w:hAnsi="宋体" w:eastAsia="宋体" w:cs="宋体"/>
          <w:snapToGrid w:val="0"/>
          <w:color w:val="000000"/>
          <w:spacing w:val="2"/>
          <w:kern w:val="0"/>
          <w:sz w:val="24"/>
          <w:szCs w:val="24"/>
          <w:lang w:eastAsia="zh-CN"/>
        </w:rPr>
        <w:t>莲花工业园区扩区调区</w:t>
      </w:r>
      <w:r>
        <w:rPr>
          <w:rFonts w:ascii="宋体" w:hAnsi="宋体" w:eastAsia="宋体" w:cs="宋体"/>
          <w:snapToGrid w:val="0"/>
          <w:color w:val="000000"/>
          <w:spacing w:val="2"/>
          <w:kern w:val="0"/>
          <w:sz w:val="24"/>
          <w:szCs w:val="24"/>
          <w:lang w:eastAsia="en-US"/>
        </w:rPr>
        <w:t>全过程申报指导、协调</w:t>
      </w:r>
      <w:r>
        <w:rPr>
          <w:rFonts w:ascii="宋体" w:hAnsi="宋体" w:eastAsia="宋体" w:cs="宋体"/>
          <w:snapToGrid w:val="0"/>
          <w:color w:val="000000"/>
          <w:spacing w:val="1"/>
          <w:kern w:val="0"/>
          <w:sz w:val="24"/>
          <w:szCs w:val="24"/>
          <w:lang w:eastAsia="en-US"/>
        </w:rPr>
        <w:t>并调度各单</w:t>
      </w:r>
      <w:r>
        <w:rPr>
          <w:rFonts w:ascii="宋体" w:hAnsi="宋体" w:eastAsia="宋体" w:cs="宋体"/>
          <w:snapToGrid w:val="0"/>
          <w:color w:val="000000"/>
          <w:spacing w:val="2"/>
          <w:kern w:val="0"/>
          <w:sz w:val="24"/>
          <w:szCs w:val="24"/>
          <w:lang w:eastAsia="en-US"/>
        </w:rPr>
        <w:t>位编制工作整体推进、针对扩区调区中的堵点痛点等关键环节进行指导，负责项目资料编制汇总，完成材料评审和修改事宜，编制的可行性研究报告、社会稳定风险评估报告等各类申报材</w:t>
      </w:r>
      <w:r>
        <w:rPr>
          <w:rFonts w:ascii="宋体" w:hAnsi="宋体" w:eastAsia="宋体" w:cs="宋体"/>
          <w:snapToGrid w:val="0"/>
          <w:color w:val="000000"/>
          <w:spacing w:val="-3"/>
          <w:kern w:val="0"/>
          <w:sz w:val="24"/>
          <w:szCs w:val="24"/>
          <w:lang w:eastAsia="en-US"/>
        </w:rPr>
        <w:t>料能够达到政府职能部门要求。</w:t>
      </w:r>
    </w:p>
    <w:p w14:paraId="574DD1BC">
      <w:pPr>
        <w:widowControl/>
        <w:kinsoku w:val="0"/>
        <w:autoSpaceDE w:val="0"/>
        <w:autoSpaceDN w:val="0"/>
        <w:adjustRightInd w:val="0"/>
        <w:snapToGrid w:val="0"/>
        <w:spacing w:before="8" w:line="220" w:lineRule="auto"/>
        <w:ind w:left="615"/>
        <w:jc w:val="left"/>
        <w:textAlignment w:val="baseline"/>
        <w:rPr>
          <w:rFonts w:ascii="宋体" w:hAnsi="宋体" w:eastAsia="宋体" w:cs="宋体"/>
          <w:snapToGrid w:val="0"/>
          <w:color w:val="000000"/>
          <w:kern w:val="0"/>
          <w:sz w:val="24"/>
          <w:szCs w:val="24"/>
          <w:lang w:eastAsia="en-US"/>
        </w:rPr>
      </w:pPr>
      <w:r>
        <w:rPr>
          <w:rFonts w:ascii="宋体" w:hAnsi="宋体" w:eastAsia="宋体" w:cs="宋体"/>
          <w:snapToGrid w:val="0"/>
          <w:color w:val="000000"/>
          <w:spacing w:val="-7"/>
          <w:kern w:val="0"/>
          <w:sz w:val="24"/>
          <w:szCs w:val="24"/>
          <w:lang w:eastAsia="en-US"/>
        </w:rPr>
        <w:t>具体工作要求如下：</w:t>
      </w:r>
    </w:p>
    <w:tbl>
      <w:tblPr>
        <w:tblStyle w:val="2"/>
        <w:tblpPr w:leftFromText="180" w:rightFromText="180" w:vertAnchor="text" w:horzAnchor="page" w:tblpX="1463" w:tblpY="436"/>
        <w:tblOverlap w:val="never"/>
        <w:tblW w:w="9421" w:type="dxa"/>
        <w:tblInd w:w="0" w:type="dxa"/>
        <w:tblLayout w:type="autofit"/>
        <w:tblCellMar>
          <w:top w:w="0" w:type="dxa"/>
          <w:left w:w="0" w:type="dxa"/>
          <w:bottom w:w="0" w:type="dxa"/>
          <w:right w:w="0" w:type="dxa"/>
        </w:tblCellMar>
      </w:tblPr>
      <w:tblGrid>
        <w:gridCol w:w="650"/>
        <w:gridCol w:w="1427"/>
        <w:gridCol w:w="7344"/>
      </w:tblGrid>
      <w:tr w14:paraId="11C4F420">
        <w:tblPrEx>
          <w:tblCellMar>
            <w:top w:w="0" w:type="dxa"/>
            <w:left w:w="0" w:type="dxa"/>
            <w:bottom w:w="0" w:type="dxa"/>
            <w:right w:w="0" w:type="dxa"/>
          </w:tblCellMar>
        </w:tblPrEx>
        <w:trPr>
          <w:trHeight w:val="885"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A315E3">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序号</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3C0E10">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项目内容</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8AD514">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具体要求</w:t>
            </w:r>
          </w:p>
        </w:tc>
      </w:tr>
      <w:tr w14:paraId="1F382BAA">
        <w:tblPrEx>
          <w:tblCellMar>
            <w:top w:w="0" w:type="dxa"/>
            <w:left w:w="0" w:type="dxa"/>
            <w:bottom w:w="0" w:type="dxa"/>
            <w:right w:w="0" w:type="dxa"/>
          </w:tblCellMar>
        </w:tblPrEx>
        <w:trPr>
          <w:trHeight w:val="514"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3C0C7F">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1</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5D86E7">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eastAsia="zh-CN" w:bidi="ar"/>
              </w:rPr>
            </w:pPr>
          </w:p>
          <w:p w14:paraId="0A7B7D35">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default"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莲花工业园区扩区调区可行性研究报告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14:paraId="27614486">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1、全面把握国家、省、市对开发区改革和创新发展的相关政策文件的内涵，结合莲花工业园区发展工作实际，对园区扩区调区的综合性、前瞻性、系统性、指导性和可操作性进行系统分析。</w:t>
            </w:r>
          </w:p>
          <w:p w14:paraId="5EE0E06F">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2、制定调研工作方案和调研提纲，深入园区进行调研。结合资料、数据和实际调研情况，以产业发展和产业布局为核心，以企业和项目为载体，展开全面、充分地扩区调区可行性分析论证。</w:t>
            </w:r>
          </w:p>
          <w:p w14:paraId="515F4BA5">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3、在厘清现状的基础上，围绕制约莲花工业园区发展的瓶颈问题，找准突破口和着力点，对莲花工业园区扩区调区场址选择、建设规模等方面进行科学论证与评价。</w:t>
            </w:r>
          </w:p>
          <w:p w14:paraId="7281DE5B">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4、报告内容包括基本情况、扩区调区方案、产业发展、要素保障、生态环境、风险管控、预期效益、拟对接的重点项目等内容。</w:t>
            </w:r>
          </w:p>
          <w:p w14:paraId="310F0CF8">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5、重点阐述开发区拟扩区调区面积及区位（附区位图）等，包括调区面积及四至范围、扩区面积及四至范围，各产业分布情况、各产业区块面积。</w:t>
            </w:r>
          </w:p>
        </w:tc>
      </w:tr>
      <w:tr w14:paraId="76BCA1BD">
        <w:tblPrEx>
          <w:tblCellMar>
            <w:top w:w="0" w:type="dxa"/>
            <w:left w:w="0" w:type="dxa"/>
            <w:bottom w:w="0" w:type="dxa"/>
            <w:right w:w="0" w:type="dxa"/>
          </w:tblCellMar>
        </w:tblPrEx>
        <w:trPr>
          <w:trHeight w:val="536"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63698F">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2</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FD3CA4">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莲花工业园区扩区调区中长期发展规划</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CDC34E">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本项目中长期规划方案内容编写要求须包括但不限于以下几个方面：</w:t>
            </w:r>
          </w:p>
          <w:p w14:paraId="1512F2F7">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园区发展现状：历史沿革、四至范围、区位交通、自然环境情况、支柱产业和龙头企业情况、基础设施配套情况。描述园区经济、产业发展水平及园区主导产业、重点龙头企业及发展情况，已落户企业数，待落户企业数；重点说明园区的发展成就和在全县经济发展中的地位和作用。</w:t>
            </w:r>
          </w:p>
          <w:p w14:paraId="053BE08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2、发展环境分析：从产业梯度转移的机遇、产业转型升级的机遇、政策支持的机遇、经济发展形势的机遇等方面分析。</w:t>
            </w:r>
          </w:p>
          <w:p w14:paraId="5668EA96">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3、分析叙述规划指导思想、基本原则、战略定位、发展目标。</w:t>
            </w:r>
          </w:p>
          <w:p w14:paraId="1E5EDAB0">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4、阐述产业择定原则；园区产业选择：通过对园区产业现有基础、产业发展趋势分析，确定园区产业。详细分析、阐述各主要产业的发展规划，包括产业目标导向、产业链分析、发展重点、发展路径和举措。</w:t>
            </w:r>
          </w:p>
          <w:p w14:paraId="5E8C22AF">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5、支撑体系建设：从提高土地配置效应、提升土地节约集约利用水平、加强土地综合管理等方面阐述大力提高土地节约集约利用水平；从优化发展环境，切实推进节能减排、园区循环化改造等方面阐述园区公共服务保障体系建设；增强基础设施建设对园区发展的支撑力，简述基础设施的建设项目。</w:t>
            </w:r>
          </w:p>
          <w:p w14:paraId="7CA2BA32">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6、保障措施：从加强组织领导、优化发展环境、强化产业政策导向、抓好重大项目支撑、加强规划实施和监督等方面叙述。</w:t>
            </w:r>
          </w:p>
        </w:tc>
      </w:tr>
      <w:tr w14:paraId="5D74D8AB">
        <w:tblPrEx>
          <w:tblCellMar>
            <w:top w:w="0" w:type="dxa"/>
            <w:left w:w="0" w:type="dxa"/>
            <w:bottom w:w="0" w:type="dxa"/>
            <w:right w:w="0" w:type="dxa"/>
          </w:tblCellMar>
        </w:tblPrEx>
        <w:trPr>
          <w:trHeight w:val="3992"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9546D9">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eastAsia="zh-CN" w:bidi="ar"/>
              </w:rPr>
              <w:t>3</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F70A5C">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default"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莲花工业园区扩区调区社会稳定风险评估报告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DF8565">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深入分析项目情况，梳理出该项目已知的涉稳方面的问题。</w:t>
            </w:r>
          </w:p>
          <w:p w14:paraId="6BD50B5A">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1、组织现场勘验，排查项目合法性风险，做好公示、走访等工作。对前期收集的结果和问题，进行分类梳理，分别进行分析研判，排出该项目实施过程中可能出现的主要涉稳因素，并制定化解和防范措施。</w:t>
            </w:r>
          </w:p>
          <w:p w14:paraId="61AE2A9B">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预测风险等级。在前步工作的基础上，对各个涉稳风险因素在采取化解和防范措施后的涉稳风险进行评估预判，评定项目实施的风险等级，形成项目《江西莲花工业园区扩区调区社会稳定风险评估报告》并通过备案。</w:t>
            </w:r>
          </w:p>
          <w:p w14:paraId="247D23F5">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3、工作原则：在开展工作过程中应坚持尊章守则、责任自负、独立自主、客观公正，方法科学、服务优质、保障公众利益最大化的原则。</w:t>
            </w:r>
          </w:p>
        </w:tc>
      </w:tr>
      <w:tr w14:paraId="29095D35">
        <w:tblPrEx>
          <w:tblCellMar>
            <w:top w:w="0" w:type="dxa"/>
            <w:left w:w="0" w:type="dxa"/>
            <w:bottom w:w="0" w:type="dxa"/>
            <w:right w:w="0" w:type="dxa"/>
          </w:tblCellMar>
        </w:tblPrEx>
        <w:trPr>
          <w:trHeight w:val="552"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0E3521">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val="en-US" w:eastAsia="zh-CN" w:bidi="ar"/>
              </w:rPr>
              <w:t>4</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01667A">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both"/>
              <w:textAlignment w:val="auto"/>
              <w:rPr>
                <w:rFonts w:hint="eastAsia" w:ascii="宋体" w:hAnsi="宋体" w:eastAsia="宋体" w:cs="宋体"/>
                <w:bCs/>
                <w:snapToGrid/>
                <w:color w:val="auto"/>
                <w:kern w:val="0"/>
                <w:sz w:val="24"/>
                <w:szCs w:val="24"/>
                <w:highlight w:val="none"/>
                <w:lang w:val="en-US" w:eastAsia="zh-CN" w:bidi="ar"/>
              </w:rPr>
            </w:pPr>
          </w:p>
          <w:p w14:paraId="734832F7">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莲花工业园区新四至范围勘测定界报告</w:t>
            </w:r>
          </w:p>
          <w:p w14:paraId="3489894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both"/>
              <w:textAlignment w:val="auto"/>
              <w:rPr>
                <w:rFonts w:hint="eastAsia" w:ascii="宋体" w:hAnsi="宋体" w:eastAsia="宋体" w:cs="宋体"/>
                <w:bCs/>
                <w:snapToGrid/>
                <w:color w:val="auto"/>
                <w:kern w:val="0"/>
                <w:sz w:val="24"/>
                <w:szCs w:val="24"/>
                <w:highlight w:val="none"/>
                <w:lang w:val="en-US" w:eastAsia="zh-CN" w:bidi="ar"/>
              </w:rPr>
            </w:pP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3C4A25">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1、收集相关审批文件、国土调查成果、地籍调查成果、地形、权属证明等资料，明确工作范围、权属边界及地类划分要求。</w:t>
            </w:r>
          </w:p>
          <w:p w14:paraId="1546DE72">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2、现场踏勘，核查工作区域地形地貌、地物分布等现状，制定测量技术方案。</w:t>
            </w:r>
          </w:p>
          <w:p w14:paraId="3C0B92B6">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3、布设控制网，实地确定调区扩区范围的界址点位置，采用 GPS-RTK 或全站仪采集界址点的三维坐标。</w:t>
            </w:r>
          </w:p>
          <w:p w14:paraId="2A0C74DB">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4、测量范围内各地块的地类（如耕地、林地、建设用地）、边界及面积，利用仪器采集地块边界点坐标，为面积计算提供数据。</w:t>
            </w:r>
          </w:p>
          <w:p w14:paraId="5088AE87">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5、与相关权属单位现场核对权属边界，确认界址点位置和权属范围。</w:t>
            </w:r>
          </w:p>
          <w:p w14:paraId="1F0C4EF7">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6、整理校核外业数据，利用测绘软件（如 CAD、ArcGIS）绘制勘测定界图，标注界址点编号、权属界线，计算统计各类面积，生成面积统计表格。</w:t>
            </w:r>
          </w:p>
          <w:p w14:paraId="3F9CBE2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7、整合测量数据、图件、权属调查结果等，编制正式的勘测定界报告，内容包括项目概况、测量方法、成果数据、权属分析、地类统计等。</w:t>
            </w:r>
          </w:p>
        </w:tc>
      </w:tr>
      <w:tr w14:paraId="0AA67C7A">
        <w:tblPrEx>
          <w:tblCellMar>
            <w:top w:w="0" w:type="dxa"/>
            <w:left w:w="0" w:type="dxa"/>
            <w:bottom w:w="0" w:type="dxa"/>
            <w:right w:w="0" w:type="dxa"/>
          </w:tblCellMar>
        </w:tblPrEx>
        <w:trPr>
          <w:trHeight w:val="90"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DD5086">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val="en-US" w:eastAsia="zh-CN" w:bidi="ar"/>
              </w:rPr>
              <w:t>5</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527083">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莲花工业园区扩区调区用地情况报告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7CC83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1、梳理国家、省级扩区调区管理办法、国土空间规划等政策，明确用地规模、工业用地比例等核心要求；对接发改、自然资源、环保等部门，确保报告符合审核标准。</w:t>
            </w:r>
          </w:p>
          <w:p w14:paraId="244EB7E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2、收集现有园区土地审批、权属证明、土地利用数据；获取拟调整地块勘测定界、国土调查结果、地质勘察报告；收集产业规划、重点项目清单等。</w:t>
            </w:r>
          </w:p>
          <w:p w14:paraId="49D6BA86">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3、说明现有园区范围、面积、用地结构；分析土地节约集约利用情况，梳理用地问题，明确扩区调区的必要性。</w:t>
            </w:r>
          </w:p>
          <w:p w14:paraId="115573BE">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4、明确拟调出、调入地块的范围、面积、地类及原因；确定调整后园区空间格局，细化各类用地布局，确保符合工业用地比例要求。</w:t>
            </w:r>
          </w:p>
          <w:p w14:paraId="4909915C">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5、列明调整后园区土地权属情况，确保无争议；说明集体用地征收等计划；附矿产压覆、地质灾害评估结论，明确符合国土空间规划。</w:t>
            </w:r>
          </w:p>
          <w:p w14:paraId="6A189209">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6、说明用地方案如何满足主导产业发展、重点项目落户需求，确保符合园区产业定位。</w:t>
            </w:r>
          </w:p>
          <w:p w14:paraId="67EFF4C2">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7、说明用地方案符合环保要求，明确污染减缓措施；说明耕地、林地保护方案；提及社会稳定风险评估结论及应对措施。</w:t>
            </w:r>
          </w:p>
        </w:tc>
      </w:tr>
      <w:tr w14:paraId="2205C314">
        <w:tblPrEx>
          <w:tblCellMar>
            <w:top w:w="0" w:type="dxa"/>
            <w:left w:w="0" w:type="dxa"/>
            <w:bottom w:w="0" w:type="dxa"/>
            <w:right w:w="0" w:type="dxa"/>
          </w:tblCellMar>
        </w:tblPrEx>
        <w:trPr>
          <w:trHeight w:val="2082"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63DD47">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Cs/>
                <w:snapToGrid/>
                <w:color w:val="auto"/>
                <w:kern w:val="0"/>
                <w:sz w:val="24"/>
                <w:szCs w:val="24"/>
                <w:highlight w:val="none"/>
                <w:lang w:eastAsia="zh-CN" w:bidi="ar"/>
              </w:rPr>
            </w:pPr>
            <w:r>
              <w:rPr>
                <w:rFonts w:hint="eastAsia" w:ascii="宋体" w:hAnsi="宋体" w:eastAsia="宋体" w:cs="宋体"/>
                <w:bCs/>
                <w:snapToGrid/>
                <w:color w:val="auto"/>
                <w:kern w:val="0"/>
                <w:sz w:val="24"/>
                <w:szCs w:val="24"/>
                <w:highlight w:val="none"/>
                <w:lang w:val="en-US" w:eastAsia="zh-CN" w:bidi="ar"/>
              </w:rPr>
              <w:t>6</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581882">
            <w:pPr>
              <w:keepNext w:val="0"/>
              <w:keepLines w:val="0"/>
              <w:pageBreakBefore w:val="0"/>
              <w:widowControl/>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莲花工业园区扩区调区压覆矿产资源评估报告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4C07B1">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根据拟扩区调区范围确定法定安全范围、划定查询区域，进行压覆矿产资源查询，对评估区域的地质矿产资源情况进行分析；</w:t>
            </w:r>
          </w:p>
          <w:p w14:paraId="42952FBE">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阐明工程建设区和规划区地质情况条件基本特征，完成压覆矿产资源评估报告的编制、评审等工作。</w:t>
            </w:r>
          </w:p>
          <w:p w14:paraId="0D00F33C">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备注：工作范围为规划范围外扩500m。</w:t>
            </w:r>
          </w:p>
        </w:tc>
      </w:tr>
      <w:tr w14:paraId="3001A495">
        <w:tblPrEx>
          <w:tblCellMar>
            <w:top w:w="0" w:type="dxa"/>
            <w:left w:w="0" w:type="dxa"/>
            <w:bottom w:w="0" w:type="dxa"/>
            <w:right w:w="0" w:type="dxa"/>
          </w:tblCellMar>
        </w:tblPrEx>
        <w:trPr>
          <w:trHeight w:val="688"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49DFF3">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default"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7</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27630A">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莲花工业园区扩区调区地质灾害危险性评估报告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130DA3">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一、现场调查</w:t>
            </w:r>
          </w:p>
          <w:p w14:paraId="5C14CEA4">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default"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1、对莲花工业园区地质灾害进行全面调查</w:t>
            </w:r>
          </w:p>
          <w:p w14:paraId="324F6314">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2、整理调查内容，收集相关资料</w:t>
            </w:r>
          </w:p>
          <w:p w14:paraId="1EA3B642">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二、项目方案編制</w:t>
            </w:r>
          </w:p>
          <w:p w14:paraId="4E53F153">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1、查阅相关政策、资料等</w:t>
            </w:r>
          </w:p>
          <w:p w14:paraId="4D937498">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2、项目小组成员讨论确定方案编制大纲</w:t>
            </w:r>
          </w:p>
          <w:p w14:paraId="5ECACAEC">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3、分工编制项目方案具体内容</w:t>
            </w:r>
          </w:p>
          <w:p w14:paraId="1FFDECEF">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4、内部讨论修改方案，根据讨论意见，修改方案</w:t>
            </w:r>
          </w:p>
          <w:p w14:paraId="0570183E">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三、项目方案评审并确定终版方案</w:t>
            </w:r>
          </w:p>
          <w:p w14:paraId="7848ADF1">
            <w:pPr>
              <w:widowControl/>
              <w:kinsoku/>
              <w:autoSpaceDE/>
              <w:autoSpaceDN/>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lang w:eastAsia="zh-CN" w:bidi="ar"/>
              </w:rPr>
            </w:pPr>
            <w:r>
              <w:rPr>
                <w:rFonts w:hint="eastAsia" w:ascii="宋体" w:hAnsi="宋体" w:eastAsia="宋体" w:cs="宋体"/>
                <w:bCs/>
                <w:snapToGrid/>
                <w:color w:val="auto"/>
                <w:kern w:val="0"/>
                <w:sz w:val="24"/>
                <w:szCs w:val="24"/>
                <w:lang w:eastAsia="zh-CN" w:bidi="ar"/>
              </w:rPr>
              <w:t>1、上会评审</w:t>
            </w:r>
          </w:p>
          <w:p w14:paraId="0FEB3BAF">
            <w:pPr>
              <w:widowControl/>
              <w:kinsoku/>
              <w:autoSpaceDE/>
              <w:autoSpaceDN/>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lang w:eastAsia="zh-CN" w:bidi="ar"/>
              </w:rPr>
            </w:pPr>
            <w:r>
              <w:rPr>
                <w:rFonts w:hint="eastAsia" w:ascii="宋体" w:hAnsi="宋体" w:eastAsia="宋体" w:cs="宋体"/>
                <w:bCs/>
                <w:snapToGrid/>
                <w:color w:val="auto"/>
                <w:kern w:val="0"/>
                <w:sz w:val="24"/>
                <w:szCs w:val="24"/>
                <w:lang w:eastAsia="zh-CN" w:bidi="ar"/>
              </w:rPr>
              <w:t>2、根据专家评审意见修改方案</w:t>
            </w:r>
          </w:p>
          <w:p w14:paraId="7608F391">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ascii="宋体" w:hAnsi="宋体" w:eastAsia="宋体" w:cs="宋体"/>
                <w:bCs/>
                <w:snapToGrid/>
                <w:color w:val="auto"/>
                <w:kern w:val="0"/>
                <w:sz w:val="24"/>
                <w:szCs w:val="24"/>
                <w:lang w:eastAsia="zh-CN" w:bidi="ar"/>
              </w:rPr>
              <w:t>3</w:t>
            </w:r>
            <w:r>
              <w:rPr>
                <w:rFonts w:hint="eastAsia" w:ascii="宋体" w:hAnsi="宋体" w:eastAsia="宋体" w:cs="宋体"/>
                <w:bCs/>
                <w:snapToGrid/>
                <w:color w:val="auto"/>
                <w:kern w:val="0"/>
                <w:sz w:val="24"/>
                <w:szCs w:val="24"/>
                <w:lang w:eastAsia="zh-CN" w:bidi="ar"/>
              </w:rPr>
              <w:t>、校稿，确定终版方案</w:t>
            </w:r>
          </w:p>
        </w:tc>
      </w:tr>
      <w:tr w14:paraId="551AF08E">
        <w:tblPrEx>
          <w:tblCellMar>
            <w:top w:w="0" w:type="dxa"/>
            <w:left w:w="0" w:type="dxa"/>
            <w:bottom w:w="0" w:type="dxa"/>
            <w:right w:w="0" w:type="dxa"/>
          </w:tblCellMar>
        </w:tblPrEx>
        <w:trPr>
          <w:trHeight w:val="5540" w:hRule="atLeast"/>
        </w:trPr>
        <w:tc>
          <w:tcPr>
            <w:tcW w:w="6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4C58FA">
            <w:pPr>
              <w:keepNext w:val="0"/>
              <w:keepLines w:val="0"/>
              <w:pageBreakBefore w:val="0"/>
              <w:widowControl/>
              <w:kinsoku/>
              <w:wordWrap/>
              <w:overflowPunct/>
              <w:topLinePunct w:val="0"/>
              <w:autoSpaceDE/>
              <w:autoSpaceDN/>
              <w:bidi w:val="0"/>
              <w:adjustRightInd w:val="0"/>
              <w:snapToGrid w:val="0"/>
              <w:spacing w:line="440" w:lineRule="exact"/>
              <w:jc w:val="center"/>
              <w:textAlignment w:val="auto"/>
              <w:rPr>
                <w:rFonts w:hint="default"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8</w:t>
            </w:r>
          </w:p>
        </w:tc>
        <w:tc>
          <w:tcPr>
            <w:tcW w:w="14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B4A836">
            <w:pPr>
              <w:keepNext w:val="0"/>
              <w:keepLines w:val="0"/>
              <w:pageBreakBefore w:val="0"/>
              <w:widowControl/>
              <w:kinsoku/>
              <w:wordWrap/>
              <w:overflowPunct/>
              <w:topLinePunct w:val="0"/>
              <w:autoSpaceDE/>
              <w:autoSpaceDN/>
              <w:bidi w:val="0"/>
              <w:adjustRightInd w:val="0"/>
              <w:snapToGrid w:val="0"/>
              <w:spacing w:line="440" w:lineRule="exact"/>
              <w:jc w:val="both"/>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eastAsia="zh-CN" w:bidi="ar"/>
              </w:rPr>
              <w:t>莲花工业园区扩区调区林地利用情况报告</w:t>
            </w:r>
          </w:p>
        </w:tc>
        <w:tc>
          <w:tcPr>
            <w:tcW w:w="734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8B3697">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一、项目内容要求</w:t>
            </w:r>
          </w:p>
          <w:p w14:paraId="23C10524">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结合国家和省市返回的生态保护红线、自然保护地整合优化、森林资源管理2020林地一张图，2024年林草湿荒普查成果资料，森林资源最新公益林、天保林资料等成果，在对接整合2020年度第三次全国土地调查年成果、2024年度国土变更调查成果资料基础上，充分结合实际，完成莲花工业园区扩区调区林地利用情况报告文本（包括扩区调区数据库建设、图林地利用情况报告件制作等），成果质量须符合省林业部门的有关规定。</w:t>
            </w:r>
          </w:p>
          <w:p w14:paraId="3C0813E6">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编制林地利用情况报告。明确林地利用主要目标与任务，将相关指标合理分解落实到各乡镇、林场，做好严格保护、合理利用规划；明确补充林地分布；按照林地保护总体空间格局，结合国土空间总体规划要求，确定林地保护重点工程，同时明确生态公益林布局。完善规划体系，建立向国土空间规划传导机制；明确林地用途管制要求，提出规划实施保障与措施等。</w:t>
            </w:r>
          </w:p>
          <w:p w14:paraId="691BF4F7">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二、成果质量要求</w:t>
            </w:r>
          </w:p>
          <w:p w14:paraId="47C58D80">
            <w:pPr>
              <w:keepNext w:val="0"/>
              <w:keepLines w:val="0"/>
              <w:pageBreakBefore w:val="0"/>
              <w:widowControl/>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bCs/>
                <w:snapToGrid/>
                <w:color w:val="auto"/>
                <w:kern w:val="0"/>
                <w:sz w:val="24"/>
                <w:szCs w:val="24"/>
                <w:highlight w:val="none"/>
                <w:lang w:val="en-US" w:eastAsia="zh-CN" w:bidi="ar"/>
              </w:rPr>
            </w:pPr>
            <w:r>
              <w:rPr>
                <w:rFonts w:hint="eastAsia" w:ascii="宋体" w:hAnsi="宋体" w:eastAsia="宋体" w:cs="宋体"/>
                <w:bCs/>
                <w:snapToGrid/>
                <w:color w:val="auto"/>
                <w:kern w:val="0"/>
                <w:sz w:val="24"/>
                <w:szCs w:val="24"/>
                <w:highlight w:val="none"/>
                <w:lang w:val="en-US" w:eastAsia="zh-CN" w:bidi="ar"/>
              </w:rPr>
              <w:t>规划成果包括报告文本、报告图集、报告附表等其他材料。项目成果须通过林业部门审查，形成规划成果材料，逐级上报上级林业主管部门审查、批准。</w:t>
            </w:r>
          </w:p>
        </w:tc>
      </w:tr>
    </w:tbl>
    <w:p w14:paraId="4AB8D217">
      <w:pPr>
        <w:widowControl/>
        <w:kinsoku w:val="0"/>
        <w:autoSpaceDE w:val="0"/>
        <w:autoSpaceDN w:val="0"/>
        <w:adjustRightInd w:val="0"/>
        <w:snapToGrid w:val="0"/>
        <w:spacing w:before="162" w:line="220" w:lineRule="auto"/>
        <w:ind w:left="248"/>
        <w:jc w:val="left"/>
        <w:textAlignment w:val="baseline"/>
        <w:rPr>
          <w:rFonts w:ascii="宋体" w:hAnsi="宋体" w:eastAsia="宋体" w:cs="宋体"/>
          <w:snapToGrid w:val="0"/>
          <w:color w:val="000000"/>
          <w:kern w:val="0"/>
          <w:sz w:val="24"/>
          <w:szCs w:val="24"/>
          <w:lang w:eastAsia="en-US"/>
        </w:rPr>
      </w:pPr>
      <w:r>
        <w:rPr>
          <w:rFonts w:ascii="宋体" w:hAnsi="宋体" w:eastAsia="宋体" w:cs="宋体"/>
          <w:b/>
          <w:bCs/>
          <w:snapToGrid w:val="0"/>
          <w:color w:val="000000"/>
          <w:spacing w:val="15"/>
          <w:kern w:val="0"/>
          <w:sz w:val="24"/>
          <w:szCs w:val="24"/>
          <w:lang w:eastAsia="en-US"/>
        </w:rPr>
        <w:t>(三)项目要求</w:t>
      </w:r>
    </w:p>
    <w:p w14:paraId="6D91F41A">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w:t>
      </w:r>
      <w:r>
        <w:rPr>
          <w:rFonts w:hint="eastAsia" w:ascii="宋体" w:hAnsi="宋体" w:eastAsia="宋体" w:cs="宋体"/>
          <w:bCs/>
          <w:snapToGrid/>
          <w:color w:val="auto"/>
          <w:kern w:val="2"/>
          <w:sz w:val="24"/>
          <w:szCs w:val="24"/>
          <w:highlight w:val="none"/>
          <w:lang w:eastAsia="zh-CN"/>
        </w:rPr>
        <w:t>1、应执行现行的国家标准、部颁标准、行业标准或通用国际标准。</w:t>
      </w:r>
    </w:p>
    <w:p w14:paraId="05DA1506">
      <w:pPr>
        <w:widowControl w:val="0"/>
        <w:kinsoku/>
        <w:autoSpaceDE/>
        <w:autoSpaceDN/>
        <w:adjustRightInd/>
        <w:snapToGrid/>
        <w:spacing w:line="46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3.2</w:t>
      </w:r>
      <w:r>
        <w:rPr>
          <w:rFonts w:hint="eastAsia" w:ascii="宋体" w:hAnsi="宋体" w:eastAsia="宋体" w:cs="宋体"/>
          <w:bCs/>
          <w:snapToGrid/>
          <w:color w:val="auto"/>
          <w:kern w:val="2"/>
          <w:sz w:val="24"/>
          <w:szCs w:val="24"/>
          <w:highlight w:val="none"/>
          <w:lang w:eastAsia="zh-CN"/>
        </w:rPr>
        <w:t>、中标服务商需积极配合</w:t>
      </w:r>
      <w:r>
        <w:rPr>
          <w:rFonts w:hint="eastAsia" w:ascii="宋体" w:hAnsi="宋体" w:eastAsia="宋体" w:cs="宋体"/>
          <w:bCs/>
          <w:snapToGrid/>
          <w:color w:val="auto"/>
          <w:kern w:val="2"/>
          <w:sz w:val="24"/>
          <w:szCs w:val="24"/>
          <w:highlight w:val="none"/>
          <w:lang w:val="en-US" w:eastAsia="zh-CN"/>
        </w:rPr>
        <w:t>招标人</w:t>
      </w:r>
      <w:r>
        <w:rPr>
          <w:rFonts w:hint="eastAsia" w:ascii="宋体" w:hAnsi="宋体" w:eastAsia="宋体" w:cs="宋体"/>
          <w:bCs/>
          <w:snapToGrid/>
          <w:color w:val="auto"/>
          <w:kern w:val="2"/>
          <w:sz w:val="24"/>
          <w:szCs w:val="24"/>
          <w:highlight w:val="none"/>
          <w:lang w:eastAsia="zh-CN"/>
        </w:rPr>
        <w:t>工作安排，需要中标服务商参与的项目会议、审查、培训、调研、检查等事项，如因不可抗拒原因，造成中标服务商无法派人进行现场服务，中标服务商需积极做提出解决方案，包括但不限于视频会议、快递资料等方式配合。如因中标服务商原因导致项目服务进度滞后，中标服务商应承担因此产生一切责任和经济损失。</w:t>
      </w:r>
    </w:p>
    <w:p w14:paraId="0428D06D">
      <w:pPr>
        <w:widowControl w:val="0"/>
        <w:kinsoku/>
        <w:autoSpaceDE/>
        <w:autoSpaceDN/>
        <w:adjustRightInd/>
        <w:snapToGrid/>
        <w:spacing w:line="46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3.3、</w:t>
      </w:r>
      <w:r>
        <w:rPr>
          <w:rFonts w:hint="eastAsia" w:ascii="宋体" w:hAnsi="宋体" w:eastAsia="宋体" w:cs="宋体"/>
          <w:bCs/>
          <w:snapToGrid/>
          <w:color w:val="auto"/>
          <w:kern w:val="2"/>
          <w:sz w:val="24"/>
          <w:szCs w:val="24"/>
          <w:highlight w:val="none"/>
          <w:lang w:eastAsia="zh-CN"/>
        </w:rPr>
        <w:t>投标报价是招标文件所确定的招标范围内全部内容的价格体现，包括成本费用、服务成果费、专家评审费用、企业利润、国家规定的所有税费等可能发生的一切费用。</w:t>
      </w:r>
    </w:p>
    <w:p w14:paraId="4FC7D170">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3.4</w:t>
      </w:r>
      <w:r>
        <w:rPr>
          <w:rFonts w:hint="eastAsia" w:ascii="宋体" w:hAnsi="宋体" w:eastAsia="宋体" w:cs="宋体"/>
          <w:bCs/>
          <w:snapToGrid/>
          <w:color w:val="auto"/>
          <w:kern w:val="2"/>
          <w:sz w:val="24"/>
          <w:szCs w:val="24"/>
          <w:highlight w:val="none"/>
          <w:lang w:eastAsia="zh-CN"/>
        </w:rPr>
        <w:t>、成果文件交付形式：电子版及纸质文件等。</w:t>
      </w:r>
    </w:p>
    <w:p w14:paraId="09E7A639">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3.5</w:t>
      </w:r>
      <w:r>
        <w:rPr>
          <w:rFonts w:hint="eastAsia" w:ascii="宋体" w:hAnsi="宋体" w:eastAsia="宋体" w:cs="宋体"/>
          <w:bCs/>
          <w:snapToGrid/>
          <w:color w:val="auto"/>
          <w:kern w:val="2"/>
          <w:sz w:val="24"/>
          <w:szCs w:val="24"/>
          <w:highlight w:val="none"/>
          <w:lang w:eastAsia="zh-CN"/>
        </w:rPr>
        <w:t>、资料要求：扩区调区申报完结后，中标服务商应汇总各专题成果向</w:t>
      </w:r>
      <w:r>
        <w:rPr>
          <w:rFonts w:hint="eastAsia" w:ascii="宋体" w:hAnsi="宋体" w:eastAsia="宋体" w:cs="宋体"/>
          <w:bCs/>
          <w:snapToGrid/>
          <w:color w:val="auto"/>
          <w:kern w:val="2"/>
          <w:sz w:val="24"/>
          <w:szCs w:val="24"/>
          <w:highlight w:val="none"/>
          <w:lang w:val="en-US" w:eastAsia="zh-CN"/>
        </w:rPr>
        <w:t>招标人</w:t>
      </w:r>
      <w:r>
        <w:rPr>
          <w:rFonts w:hint="eastAsia" w:ascii="宋体" w:hAnsi="宋体" w:eastAsia="宋体" w:cs="宋体"/>
          <w:bCs/>
          <w:snapToGrid/>
          <w:color w:val="auto"/>
          <w:kern w:val="2"/>
          <w:sz w:val="24"/>
          <w:szCs w:val="24"/>
          <w:highlight w:val="none"/>
          <w:lang w:eastAsia="zh-CN"/>
        </w:rPr>
        <w:t>移交整套申报过程的专题材料和其他资料等。</w:t>
      </w:r>
    </w:p>
    <w:p w14:paraId="0C067F27">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3.6</w:t>
      </w:r>
      <w:r>
        <w:rPr>
          <w:rFonts w:hint="eastAsia" w:ascii="宋体" w:hAnsi="宋体" w:eastAsia="宋体" w:cs="宋体"/>
          <w:bCs/>
          <w:snapToGrid/>
          <w:color w:val="auto"/>
          <w:kern w:val="2"/>
          <w:sz w:val="24"/>
          <w:szCs w:val="24"/>
          <w:highlight w:val="none"/>
          <w:lang w:eastAsia="zh-CN"/>
        </w:rPr>
        <w:t>、在服务期内，中标服务商应提供全方位技术支持，并提供相应技术文档。且应对</w:t>
      </w:r>
      <w:r>
        <w:rPr>
          <w:rFonts w:hint="eastAsia" w:ascii="宋体" w:hAnsi="宋体" w:eastAsia="宋体" w:cs="宋体"/>
          <w:bCs/>
          <w:snapToGrid/>
          <w:color w:val="auto"/>
          <w:kern w:val="2"/>
          <w:sz w:val="24"/>
          <w:szCs w:val="24"/>
          <w:highlight w:val="none"/>
          <w:lang w:val="en-US" w:eastAsia="zh-CN"/>
        </w:rPr>
        <w:t>招标人</w:t>
      </w:r>
      <w:r>
        <w:rPr>
          <w:rFonts w:hint="eastAsia" w:ascii="宋体" w:hAnsi="宋体" w:eastAsia="宋体" w:cs="宋体"/>
          <w:bCs/>
          <w:snapToGrid/>
          <w:color w:val="auto"/>
          <w:kern w:val="2"/>
          <w:sz w:val="24"/>
          <w:szCs w:val="24"/>
          <w:highlight w:val="none"/>
          <w:lang w:eastAsia="zh-CN"/>
        </w:rPr>
        <w:t>提供的文件、图件等资料和生产出的数据成果保密，不得擅自拷贝或泄露数据。</w:t>
      </w:r>
    </w:p>
    <w:p w14:paraId="2631B669">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3.7</w:t>
      </w:r>
      <w:r>
        <w:rPr>
          <w:rFonts w:hint="eastAsia" w:ascii="宋体" w:hAnsi="宋体" w:eastAsia="宋体" w:cs="宋体"/>
          <w:bCs/>
          <w:snapToGrid/>
          <w:color w:val="auto"/>
          <w:kern w:val="2"/>
          <w:sz w:val="24"/>
          <w:szCs w:val="24"/>
          <w:highlight w:val="none"/>
          <w:lang w:eastAsia="zh-CN"/>
        </w:rPr>
        <w:t>、中标服务商在出具本项目成果文件前，其成果文件均需征得</w:t>
      </w:r>
      <w:r>
        <w:rPr>
          <w:rFonts w:hint="eastAsia" w:ascii="宋体" w:hAnsi="宋体" w:eastAsia="宋体" w:cs="宋体"/>
          <w:bCs/>
          <w:snapToGrid/>
          <w:color w:val="auto"/>
          <w:kern w:val="2"/>
          <w:sz w:val="24"/>
          <w:szCs w:val="24"/>
          <w:highlight w:val="none"/>
          <w:lang w:val="en-US" w:eastAsia="zh-CN"/>
        </w:rPr>
        <w:t>招标人</w:t>
      </w:r>
      <w:r>
        <w:rPr>
          <w:rFonts w:hint="eastAsia" w:ascii="宋体" w:hAnsi="宋体" w:eastAsia="宋体" w:cs="宋体"/>
          <w:bCs/>
          <w:snapToGrid/>
          <w:color w:val="auto"/>
          <w:kern w:val="2"/>
          <w:sz w:val="24"/>
          <w:szCs w:val="24"/>
          <w:highlight w:val="none"/>
          <w:lang w:eastAsia="zh-CN"/>
        </w:rPr>
        <w:t>的确认。</w:t>
      </w:r>
    </w:p>
    <w:p w14:paraId="7C04CABE">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3.8</w:t>
      </w:r>
      <w:r>
        <w:rPr>
          <w:rFonts w:hint="eastAsia" w:ascii="宋体" w:hAnsi="宋体" w:eastAsia="宋体" w:cs="宋体"/>
          <w:bCs/>
          <w:snapToGrid/>
          <w:color w:val="auto"/>
          <w:kern w:val="2"/>
          <w:sz w:val="24"/>
          <w:szCs w:val="24"/>
          <w:highlight w:val="none"/>
          <w:lang w:eastAsia="zh-CN"/>
        </w:rPr>
        <w:t>、若相关职能部门或</w:t>
      </w:r>
      <w:r>
        <w:rPr>
          <w:rFonts w:hint="eastAsia" w:ascii="宋体" w:hAnsi="宋体" w:eastAsia="宋体" w:cs="宋体"/>
          <w:bCs/>
          <w:snapToGrid/>
          <w:color w:val="auto"/>
          <w:kern w:val="2"/>
          <w:sz w:val="24"/>
          <w:szCs w:val="24"/>
          <w:highlight w:val="none"/>
          <w:lang w:val="en-US" w:eastAsia="zh-CN"/>
        </w:rPr>
        <w:t>招标人</w:t>
      </w:r>
      <w:r>
        <w:rPr>
          <w:rFonts w:hint="eastAsia" w:ascii="宋体" w:hAnsi="宋体" w:eastAsia="宋体" w:cs="宋体"/>
          <w:bCs/>
          <w:snapToGrid/>
          <w:color w:val="auto"/>
          <w:kern w:val="2"/>
          <w:sz w:val="24"/>
          <w:szCs w:val="24"/>
          <w:highlight w:val="none"/>
          <w:lang w:eastAsia="zh-CN"/>
        </w:rPr>
        <w:t>认为需要对成果文件进行整改、同时修改成果文件，中标服务商应积极配合执行。</w:t>
      </w:r>
    </w:p>
    <w:p w14:paraId="798BFCA0">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3.9</w:t>
      </w:r>
      <w:r>
        <w:rPr>
          <w:rFonts w:hint="eastAsia" w:ascii="宋体" w:hAnsi="宋体" w:eastAsia="宋体" w:cs="宋体"/>
          <w:bCs/>
          <w:snapToGrid/>
          <w:color w:val="auto"/>
          <w:kern w:val="2"/>
          <w:sz w:val="24"/>
          <w:szCs w:val="24"/>
          <w:highlight w:val="none"/>
          <w:lang w:eastAsia="zh-CN"/>
        </w:rPr>
        <w:t>、中标服务商所提供服务质量不符合合同规定标准的，招标人有权拒收；因此产生的一切经济损失由中标服务商承担。</w:t>
      </w:r>
    </w:p>
    <w:p w14:paraId="0FCCA66F">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eastAsia="zh-CN"/>
        </w:rPr>
      </w:pPr>
      <w:r>
        <w:rPr>
          <w:rFonts w:hint="eastAsia" w:ascii="宋体" w:hAnsi="宋体" w:eastAsia="宋体" w:cs="宋体"/>
          <w:bCs/>
          <w:snapToGrid/>
          <w:color w:val="auto"/>
          <w:kern w:val="2"/>
          <w:sz w:val="24"/>
          <w:szCs w:val="24"/>
          <w:highlight w:val="none"/>
          <w:lang w:val="en-US" w:eastAsia="zh-CN"/>
        </w:rPr>
        <w:t>3.10</w:t>
      </w:r>
      <w:r>
        <w:rPr>
          <w:rFonts w:hint="eastAsia" w:ascii="宋体" w:hAnsi="宋体" w:eastAsia="宋体" w:cs="宋体"/>
          <w:bCs/>
          <w:snapToGrid/>
          <w:color w:val="auto"/>
          <w:kern w:val="2"/>
          <w:sz w:val="24"/>
          <w:szCs w:val="24"/>
          <w:highlight w:val="none"/>
          <w:lang w:eastAsia="zh-CN"/>
        </w:rPr>
        <w:t>、如果中标服务商没有按照采购文件规定的时间完成，招标人依据相关法律法规的规定可以解除合同，因此产生的一切损失由中标服务商自行承担，并承担相应的法律责任。</w:t>
      </w:r>
    </w:p>
    <w:p w14:paraId="3CF6BA97">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3.11</w:t>
      </w:r>
      <w:r>
        <w:rPr>
          <w:rFonts w:hint="eastAsia" w:ascii="宋体" w:hAnsi="宋体" w:eastAsia="宋体" w:cs="宋体"/>
          <w:bCs/>
          <w:snapToGrid/>
          <w:color w:val="auto"/>
          <w:kern w:val="2"/>
          <w:sz w:val="24"/>
          <w:szCs w:val="24"/>
          <w:highlight w:val="none"/>
          <w:lang w:eastAsia="zh-CN"/>
        </w:rPr>
        <w:t>、</w:t>
      </w:r>
      <w:r>
        <w:rPr>
          <w:rFonts w:hint="eastAsia" w:ascii="宋体" w:hAnsi="宋体" w:eastAsia="宋体" w:cs="宋体"/>
          <w:b/>
          <w:snapToGrid/>
          <w:color w:val="auto"/>
          <w:kern w:val="2"/>
          <w:sz w:val="24"/>
          <w:szCs w:val="24"/>
          <w:highlight w:val="none"/>
          <w:lang w:eastAsia="zh-CN"/>
        </w:rPr>
        <w:t>本项目成果文件知识产权归招标人所有。</w:t>
      </w:r>
      <w:r>
        <w:rPr>
          <w:rFonts w:hint="eastAsia" w:ascii="宋体" w:hAnsi="宋体" w:eastAsia="宋体" w:cs="宋体"/>
          <w:bCs/>
          <w:snapToGrid/>
          <w:color w:val="auto"/>
          <w:kern w:val="2"/>
          <w:sz w:val="24"/>
          <w:szCs w:val="24"/>
          <w:highlight w:val="none"/>
          <w:lang w:eastAsia="zh-CN"/>
        </w:rPr>
        <w:t>中标服务商应保证招标人在使</w:t>
      </w:r>
      <w:r>
        <w:rPr>
          <w:rFonts w:hint="eastAsia" w:ascii="宋体" w:hAnsi="宋体" w:eastAsia="宋体" w:cs="宋体"/>
          <w:bCs/>
          <w:snapToGrid/>
          <w:color w:val="auto"/>
          <w:kern w:val="2"/>
          <w:sz w:val="24"/>
          <w:szCs w:val="24"/>
          <w:highlight w:val="none"/>
          <w:lang w:val="en-US" w:eastAsia="zh-CN"/>
        </w:rPr>
        <w:t>用其成果文件或其任何一部分时不受第三方提出侵犯其专利权、商标权和设计权的起诉。如果任何第三方提出侵权指控或赔偿要求，中标服务商必须与第三方交涉，并承担发生和可能发生的一切损失、费用和法律责任。</w:t>
      </w:r>
    </w:p>
    <w:p w14:paraId="5E37967D">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3.12、如遇中标服务商发生兼并等情况，中标服务商须与招标人做好移交手续。本合同、协议继续有效。</w:t>
      </w:r>
    </w:p>
    <w:p w14:paraId="04742CBC">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ascii="宋体" w:hAnsi="宋体" w:eastAsia="宋体" w:cs="宋体"/>
          <w:snapToGrid w:val="0"/>
          <w:color w:val="000000"/>
          <w:spacing w:val="11"/>
          <w:kern w:val="0"/>
          <w:sz w:val="23"/>
          <w:szCs w:val="23"/>
          <w:lang w:eastAsia="en-US"/>
        </w:rPr>
        <w:t>3.13、针对本项目服务承诺1小时内响应，9小时内到现场；</w:t>
      </w:r>
    </w:p>
    <w:p w14:paraId="5B0BC534">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p>
    <w:p w14:paraId="506E6440">
      <w:pPr>
        <w:widowControl/>
        <w:kinsoku w:val="0"/>
        <w:autoSpaceDE w:val="0"/>
        <w:autoSpaceDN w:val="0"/>
        <w:adjustRightInd w:val="0"/>
        <w:snapToGrid w:val="0"/>
        <w:spacing w:line="240" w:lineRule="auto"/>
        <w:jc w:val="left"/>
        <w:textAlignment w:val="baseline"/>
        <w:rPr>
          <w:rFonts w:hint="eastAsia" w:ascii="宋体" w:hAnsi="宋体" w:eastAsia="宋体" w:cs="宋体"/>
          <w:b/>
          <w:bCs/>
          <w:snapToGrid w:val="0"/>
          <w:color w:val="auto"/>
          <w:spacing w:val="1"/>
          <w:kern w:val="0"/>
          <w:sz w:val="24"/>
          <w:szCs w:val="24"/>
          <w:highlight w:val="none"/>
          <w:lang w:eastAsia="en-US"/>
        </w:rPr>
      </w:pPr>
      <w:r>
        <w:rPr>
          <w:rFonts w:hint="eastAsia" w:ascii="宋体" w:hAnsi="宋体" w:eastAsia="宋体" w:cs="宋体"/>
          <w:b/>
          <w:bCs/>
          <w:snapToGrid w:val="0"/>
          <w:color w:val="auto"/>
          <w:spacing w:val="1"/>
          <w:kern w:val="0"/>
          <w:sz w:val="24"/>
          <w:szCs w:val="24"/>
          <w:highlight w:val="none"/>
          <w:lang w:eastAsia="en-US"/>
        </w:rPr>
        <w:t>注：以上所有</w:t>
      </w:r>
      <w:r>
        <w:rPr>
          <w:rFonts w:hint="eastAsia" w:ascii="宋体" w:hAnsi="宋体" w:eastAsia="宋体" w:cs="宋体"/>
          <w:b/>
          <w:bCs/>
          <w:snapToGrid w:val="0"/>
          <w:color w:val="auto"/>
          <w:spacing w:val="1"/>
          <w:kern w:val="0"/>
          <w:sz w:val="24"/>
          <w:szCs w:val="24"/>
          <w:highlight w:val="none"/>
          <w:lang w:val="en-US" w:eastAsia="zh-CN"/>
        </w:rPr>
        <w:t>服务</w:t>
      </w:r>
      <w:r>
        <w:rPr>
          <w:rFonts w:hint="eastAsia" w:ascii="宋体" w:hAnsi="宋体" w:eastAsia="宋体" w:cs="宋体"/>
          <w:b/>
          <w:bCs/>
          <w:snapToGrid w:val="0"/>
          <w:color w:val="auto"/>
          <w:spacing w:val="1"/>
          <w:kern w:val="0"/>
          <w:sz w:val="24"/>
          <w:szCs w:val="24"/>
          <w:highlight w:val="none"/>
          <w:lang w:eastAsia="en-US"/>
        </w:rPr>
        <w:t>条款均为重要条款，供应商必须完全满足。</w:t>
      </w:r>
    </w:p>
    <w:p w14:paraId="414D214F">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spacing w:val="0"/>
          <w:kern w:val="0"/>
          <w:position w:val="0"/>
          <w:szCs w:val="21"/>
          <w:lang w:eastAsia="en-US"/>
        </w:rPr>
      </w:pPr>
      <w:r>
        <w:rPr>
          <w:rFonts w:hint="eastAsia" w:ascii="宋体" w:hAnsi="宋体" w:eastAsia="宋体" w:cs="宋体"/>
          <w:b/>
          <w:bCs/>
          <w:snapToGrid w:val="0"/>
          <w:color w:val="auto"/>
          <w:spacing w:val="1"/>
          <w:kern w:val="0"/>
          <w:sz w:val="24"/>
          <w:szCs w:val="24"/>
          <w:highlight w:val="none"/>
          <w:lang w:eastAsia="en-US"/>
        </w:rPr>
        <w:br w:type="page"/>
      </w:r>
    </w:p>
    <w:p w14:paraId="19D65238">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spacing w:val="0"/>
          <w:kern w:val="0"/>
          <w:position w:val="0"/>
          <w:szCs w:val="21"/>
          <w:lang w:eastAsia="en-US"/>
        </w:rPr>
      </w:pPr>
    </w:p>
    <w:p w14:paraId="7670DB24">
      <w:pPr>
        <w:pageBreakBefore w:val="0"/>
        <w:widowControl w:val="0"/>
        <w:kinsoku w:val="0"/>
        <w:wordWrap/>
        <w:overflowPunct/>
        <w:topLinePunct w:val="0"/>
        <w:autoSpaceDE w:val="0"/>
        <w:autoSpaceDN w:val="0"/>
        <w:bidi w:val="0"/>
        <w:adjustRightInd w:val="0"/>
        <w:snapToGrid w:val="0"/>
        <w:spacing w:before="78" w:line="219" w:lineRule="auto"/>
        <w:jc w:val="center"/>
        <w:textAlignment w:val="baseline"/>
        <w:rPr>
          <w:rFonts w:hint="eastAsia" w:ascii="黑体" w:hAnsi="黑体" w:eastAsia="黑体" w:cs="黑体"/>
          <w:snapToGrid w:val="0"/>
          <w:color w:val="auto"/>
          <w:spacing w:val="0"/>
          <w:kern w:val="0"/>
          <w:position w:val="0"/>
          <w:sz w:val="28"/>
          <w:szCs w:val="28"/>
          <w:lang w:eastAsia="zh-CN"/>
        </w:rPr>
      </w:pPr>
      <w:r>
        <w:rPr>
          <w:rFonts w:hint="eastAsia" w:ascii="黑体" w:hAnsi="黑体" w:eastAsia="黑体" w:cs="黑体"/>
          <w:snapToGrid w:val="0"/>
          <w:color w:val="auto"/>
          <w:spacing w:val="0"/>
          <w:kern w:val="0"/>
          <w:position w:val="0"/>
          <w:sz w:val="28"/>
          <w:szCs w:val="28"/>
          <w:lang w:eastAsia="zh-CN"/>
        </w:rPr>
        <w:t>（二） 商务条件</w:t>
      </w:r>
    </w:p>
    <w:p w14:paraId="5BB45674">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1、付款方式：合同签订后15日内，支付合同金额的30%；服务商提交全部成果文件并上报至省政府后15日内支付合同金额的50%；扩区调区工作获得省政府正式批复后15日内，支付合同金额的20%。</w:t>
      </w:r>
    </w:p>
    <w:p w14:paraId="45FADCC4">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2、服务期：</w:t>
      </w:r>
      <w:bookmarkStart w:id="0" w:name="_Toc32357"/>
      <w:r>
        <w:rPr>
          <w:rFonts w:hint="eastAsia" w:ascii="宋体" w:hAnsi="宋体" w:eastAsia="宋体" w:cs="宋体"/>
          <w:bCs/>
          <w:snapToGrid/>
          <w:color w:val="auto"/>
          <w:kern w:val="2"/>
          <w:sz w:val="24"/>
          <w:szCs w:val="24"/>
          <w:highlight w:val="none"/>
          <w:lang w:val="en-US" w:eastAsia="zh-CN"/>
        </w:rPr>
        <w:t>合同签订日起9个月内提交扩区调区所有成果件至采购人，</w:t>
      </w:r>
      <w:r>
        <w:rPr>
          <w:rFonts w:hint="eastAsia" w:ascii="宋体" w:hAnsi="宋体" w:eastAsia="宋体" w:cs="宋体"/>
          <w:bCs/>
          <w:snapToGrid/>
          <w:color w:val="auto"/>
          <w:kern w:val="2"/>
          <w:sz w:val="24"/>
          <w:szCs w:val="24"/>
          <w:highlight w:val="none"/>
          <w:lang w:val="zh-CN" w:eastAsia="zh-CN"/>
        </w:rPr>
        <w:t>服务期</w:t>
      </w:r>
      <w:r>
        <w:rPr>
          <w:rFonts w:hint="eastAsia" w:ascii="宋体" w:hAnsi="宋体" w:eastAsia="宋体" w:cs="宋体"/>
          <w:bCs/>
          <w:snapToGrid/>
          <w:color w:val="auto"/>
          <w:kern w:val="2"/>
          <w:sz w:val="24"/>
          <w:szCs w:val="24"/>
          <w:highlight w:val="none"/>
          <w:lang w:val="en-US" w:eastAsia="zh-CN"/>
        </w:rPr>
        <w:t>自</w:t>
      </w:r>
      <w:r>
        <w:rPr>
          <w:rFonts w:hint="eastAsia" w:ascii="宋体" w:hAnsi="宋体" w:eastAsia="宋体" w:cs="宋体"/>
          <w:bCs/>
          <w:snapToGrid/>
          <w:color w:val="auto"/>
          <w:kern w:val="2"/>
          <w:sz w:val="24"/>
          <w:szCs w:val="24"/>
          <w:highlight w:val="none"/>
          <w:lang w:val="zh-CN" w:eastAsia="zh-CN"/>
        </w:rPr>
        <w:t>合同签订日起至扩区调区工作获得</w:t>
      </w:r>
      <w:r>
        <w:rPr>
          <w:rFonts w:hint="eastAsia" w:ascii="宋体" w:hAnsi="宋体" w:eastAsia="宋体" w:cs="宋体"/>
          <w:bCs/>
          <w:snapToGrid/>
          <w:color w:val="auto"/>
          <w:kern w:val="2"/>
          <w:sz w:val="24"/>
          <w:szCs w:val="24"/>
          <w:highlight w:val="none"/>
          <w:lang w:val="en-US" w:eastAsia="zh-CN"/>
        </w:rPr>
        <w:t>省政府</w:t>
      </w:r>
      <w:r>
        <w:rPr>
          <w:rFonts w:hint="eastAsia" w:ascii="宋体" w:hAnsi="宋体" w:eastAsia="宋体" w:cs="宋体"/>
          <w:bCs/>
          <w:snapToGrid/>
          <w:color w:val="auto"/>
          <w:kern w:val="2"/>
          <w:sz w:val="24"/>
          <w:szCs w:val="24"/>
          <w:highlight w:val="none"/>
          <w:lang w:val="zh-CN" w:eastAsia="zh-CN"/>
        </w:rPr>
        <w:t>批复。</w:t>
      </w:r>
    </w:p>
    <w:p w14:paraId="4D3A565E">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3、项目地点：</w:t>
      </w:r>
      <w:bookmarkEnd w:id="0"/>
      <w:r>
        <w:rPr>
          <w:rFonts w:hint="eastAsia" w:ascii="宋体" w:hAnsi="宋体" w:eastAsia="宋体" w:cs="宋体"/>
          <w:bCs/>
          <w:snapToGrid/>
          <w:color w:val="auto"/>
          <w:kern w:val="2"/>
          <w:sz w:val="24"/>
          <w:szCs w:val="24"/>
          <w:highlight w:val="none"/>
          <w:lang w:val="en-US" w:eastAsia="zh-CN"/>
        </w:rPr>
        <w:t>招标人指定地点。</w:t>
      </w:r>
    </w:p>
    <w:p w14:paraId="2A0104E4">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bookmarkStart w:id="1" w:name="_Toc29614"/>
      <w:r>
        <w:rPr>
          <w:rFonts w:hint="eastAsia" w:ascii="宋体" w:hAnsi="宋体" w:eastAsia="宋体" w:cs="宋体"/>
          <w:bCs/>
          <w:snapToGrid/>
          <w:color w:val="auto"/>
          <w:kern w:val="2"/>
          <w:sz w:val="24"/>
          <w:szCs w:val="24"/>
          <w:highlight w:val="none"/>
          <w:lang w:val="en-US" w:eastAsia="zh-CN"/>
        </w:rPr>
        <w:t>4、售后服务：</w:t>
      </w:r>
      <w:bookmarkEnd w:id="1"/>
      <w:r>
        <w:rPr>
          <w:rFonts w:hint="eastAsia" w:ascii="宋体" w:hAnsi="宋体" w:eastAsia="宋体" w:cs="宋体"/>
          <w:bCs/>
          <w:snapToGrid/>
          <w:color w:val="auto"/>
          <w:kern w:val="2"/>
          <w:sz w:val="24"/>
          <w:szCs w:val="24"/>
          <w:highlight w:val="none"/>
          <w:lang w:val="en-US" w:eastAsia="zh-CN"/>
        </w:rPr>
        <w:t>质量保证服务期至本项目所有服务项目验收合格，并负责后期招标人在成果文件运用方面给予无偿技术支持等售后服务。服务要求另有规定的，以其规定为准，投标供应商有优于招标文件承诺的，以其承诺为准。中标服务商应在质量保证期内为招标人提供全过程、全方位的技术服务热线，负责解答招标人在项目执行过程中遇到的问题，并及时提出解决问题的建议和操作方法。</w:t>
      </w:r>
    </w:p>
    <w:p w14:paraId="6068F3EA">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5、验收要求：成果文件</w:t>
      </w:r>
      <w:r>
        <w:rPr>
          <w:rFonts w:hint="eastAsia" w:ascii="宋体" w:hAnsi="宋体" w:eastAsia="宋体" w:cs="宋体"/>
          <w:bCs/>
          <w:snapToGrid/>
          <w:color w:val="auto"/>
          <w:kern w:val="2"/>
          <w:sz w:val="24"/>
          <w:szCs w:val="24"/>
          <w:highlight w:val="none"/>
          <w:lang w:val="zh-CN" w:eastAsia="zh-CN"/>
        </w:rPr>
        <w:t>必须符合国家合格标准，质量达到国家相关规范要求，并能够通过相关职能部门评审且满足招标文件要求</w:t>
      </w:r>
      <w:r>
        <w:rPr>
          <w:rFonts w:hint="eastAsia" w:ascii="宋体" w:hAnsi="宋体" w:eastAsia="宋体" w:cs="宋体"/>
          <w:bCs/>
          <w:snapToGrid/>
          <w:color w:val="auto"/>
          <w:kern w:val="2"/>
          <w:sz w:val="24"/>
          <w:szCs w:val="24"/>
          <w:highlight w:val="none"/>
          <w:lang w:val="en-US" w:eastAsia="zh-CN"/>
        </w:rPr>
        <w:t>。</w:t>
      </w:r>
    </w:p>
    <w:p w14:paraId="5200DAB5">
      <w:pPr>
        <w:widowControl w:val="0"/>
        <w:kinsoku/>
        <w:autoSpaceDE/>
        <w:autoSpaceDN/>
        <w:adjustRightInd/>
        <w:snapToGrid/>
        <w:spacing w:line="440" w:lineRule="exact"/>
        <w:jc w:val="both"/>
        <w:textAlignment w:val="auto"/>
        <w:rPr>
          <w:rFonts w:hint="eastAsia" w:ascii="宋体" w:hAnsi="宋体" w:eastAsia="宋体" w:cs="宋体"/>
          <w:bCs/>
          <w:snapToGrid/>
          <w:color w:val="auto"/>
          <w:kern w:val="2"/>
          <w:sz w:val="24"/>
          <w:szCs w:val="24"/>
          <w:highlight w:val="none"/>
          <w:lang w:val="en-US" w:eastAsia="zh-CN"/>
        </w:rPr>
      </w:pPr>
      <w:r>
        <w:rPr>
          <w:rFonts w:hint="eastAsia" w:ascii="宋体" w:hAnsi="宋体" w:eastAsia="宋体" w:cs="宋体"/>
          <w:bCs/>
          <w:snapToGrid/>
          <w:color w:val="auto"/>
          <w:kern w:val="2"/>
          <w:sz w:val="24"/>
          <w:szCs w:val="24"/>
          <w:highlight w:val="none"/>
          <w:lang w:val="en-US" w:eastAsia="zh-CN"/>
        </w:rPr>
        <w:t>6、中标服务商在项目实施或服务过程中发生的重大人员、产品质量事故，或因中标服务商管理不善等原因造成的人员伤亡等责任事故均由中标服务商负责，招标人不承担任何法律及经济责任。</w:t>
      </w:r>
    </w:p>
    <w:p w14:paraId="1F8B3206">
      <w:pPr>
        <w:pageBreakBefore w:val="0"/>
        <w:widowControl w:val="0"/>
        <w:kinsoku w:val="0"/>
        <w:wordWrap/>
        <w:overflowPunct/>
        <w:topLinePunct w:val="0"/>
        <w:autoSpaceDE w:val="0"/>
        <w:autoSpaceDN w:val="0"/>
        <w:bidi w:val="0"/>
        <w:adjustRightInd w:val="0"/>
        <w:snapToGrid w:val="0"/>
        <w:spacing w:line="249" w:lineRule="auto"/>
        <w:jc w:val="left"/>
        <w:textAlignment w:val="baseline"/>
        <w:rPr>
          <w:rFonts w:ascii="Arial" w:hAnsi="Arial" w:eastAsia="Arial" w:cs="Arial"/>
          <w:snapToGrid w:val="0"/>
          <w:color w:val="auto"/>
          <w:spacing w:val="0"/>
          <w:kern w:val="0"/>
          <w:position w:val="0"/>
          <w:szCs w:val="21"/>
          <w:lang w:eastAsia="zh-CN"/>
        </w:rPr>
      </w:pPr>
      <w:r>
        <w:rPr>
          <w:rFonts w:ascii="宋体" w:hAnsi="宋体" w:eastAsia="宋体" w:cs="宋体"/>
          <w:b/>
          <w:bCs/>
          <w:snapToGrid w:val="0"/>
          <w:color w:val="auto"/>
          <w:spacing w:val="-3"/>
          <w:kern w:val="0"/>
          <w:sz w:val="25"/>
          <w:szCs w:val="25"/>
          <w:highlight w:val="none"/>
          <w:lang w:eastAsia="en-US"/>
        </w:rPr>
        <w:t>注：以上所有商务条款均为重要条款，供应商必须完全</w:t>
      </w:r>
      <w:r>
        <w:rPr>
          <w:rFonts w:ascii="宋体" w:hAnsi="宋体" w:eastAsia="宋体" w:cs="宋体"/>
          <w:b/>
          <w:bCs/>
          <w:snapToGrid w:val="0"/>
          <w:color w:val="auto"/>
          <w:spacing w:val="-4"/>
          <w:kern w:val="0"/>
          <w:sz w:val="25"/>
          <w:szCs w:val="25"/>
          <w:highlight w:val="none"/>
          <w:lang w:eastAsia="en-US"/>
        </w:rPr>
        <w:t>满足。</w:t>
      </w:r>
    </w:p>
    <w:p w14:paraId="6441E028">
      <w:pPr>
        <w:pageBreakBefore w:val="0"/>
        <w:widowControl w:val="0"/>
        <w:kinsoku w:val="0"/>
        <w:wordWrap/>
        <w:overflowPunct/>
        <w:topLinePunct w:val="0"/>
        <w:autoSpaceDE w:val="0"/>
        <w:autoSpaceDN w:val="0"/>
        <w:bidi w:val="0"/>
        <w:adjustRightInd w:val="0"/>
        <w:snapToGrid w:val="0"/>
        <w:spacing w:line="249" w:lineRule="auto"/>
        <w:jc w:val="left"/>
        <w:textAlignment w:val="baseline"/>
        <w:rPr>
          <w:rFonts w:ascii="Arial" w:hAnsi="Arial" w:eastAsia="Arial" w:cs="Arial"/>
          <w:snapToGrid w:val="0"/>
          <w:color w:val="auto"/>
          <w:spacing w:val="0"/>
          <w:kern w:val="0"/>
          <w:position w:val="0"/>
          <w:szCs w:val="21"/>
          <w:lang w:eastAsia="zh-CN"/>
        </w:rPr>
      </w:pPr>
    </w:p>
    <w:p w14:paraId="527F330E">
      <w:pPr>
        <w:pageBreakBefore w:val="0"/>
        <w:widowControl w:val="0"/>
        <w:tabs>
          <w:tab w:val="left" w:pos="607"/>
        </w:tabs>
        <w:kinsoku w:val="0"/>
        <w:wordWrap/>
        <w:overflowPunct/>
        <w:topLinePunct w:val="0"/>
        <w:autoSpaceDE w:val="0"/>
        <w:autoSpaceDN w:val="0"/>
        <w:bidi w:val="0"/>
        <w:adjustRightInd w:val="0"/>
        <w:snapToGrid w:val="0"/>
        <w:spacing w:line="283" w:lineRule="auto"/>
        <w:jc w:val="left"/>
        <w:textAlignment w:val="baseline"/>
        <w:rPr>
          <w:rFonts w:ascii="宋体" w:hAnsi="宋体" w:eastAsia="宋体" w:cs="宋体"/>
          <w:snapToGrid w:val="0"/>
          <w:color w:val="auto"/>
          <w:spacing w:val="0"/>
          <w:kern w:val="0"/>
          <w:position w:val="0"/>
          <w:sz w:val="24"/>
          <w:szCs w:val="24"/>
          <w:lang w:eastAsia="zh-CN"/>
        </w:rPr>
      </w:pPr>
      <w:r>
        <w:rPr>
          <w:rFonts w:hint="eastAsia" w:ascii="Arial" w:hAnsi="Arial" w:eastAsia="Arial" w:cs="Arial"/>
          <w:snapToGrid w:val="0"/>
          <w:color w:val="auto"/>
          <w:spacing w:val="0"/>
          <w:kern w:val="0"/>
          <w:position w:val="0"/>
          <w:szCs w:val="21"/>
          <w:lang w:eastAsia="zh-CN"/>
        </w:rPr>
        <w:tab/>
      </w:r>
      <w:r>
        <w:rPr>
          <w:rFonts w:ascii="宋体" w:hAnsi="宋体" w:eastAsia="宋体" w:cs="宋体"/>
          <w:snapToGrid w:val="0"/>
          <w:color w:val="auto"/>
          <w:spacing w:val="0"/>
          <w:kern w:val="0"/>
          <w:position w:val="0"/>
          <w:sz w:val="24"/>
          <w:szCs w:val="24"/>
          <w:lang w:eastAsia="zh-CN"/>
          <w14:textOutline w14:w="4356" w14:cap="sq" w14:cmpd="sng" w14:algn="ctr">
            <w14:solidFill>
              <w14:srgbClr w14:val="000000"/>
            </w14:solidFill>
            <w14:prstDash w14:val="solid"/>
            <w14:bevel/>
          </w14:textOutline>
        </w:rPr>
        <w:t>提示：</w:t>
      </w:r>
      <w:r>
        <w:rPr>
          <w:rFonts w:ascii="宋体" w:hAnsi="宋体" w:eastAsia="宋体" w:cs="宋体"/>
          <w:snapToGrid w:val="0"/>
          <w:color w:val="auto"/>
          <w:spacing w:val="0"/>
          <w:kern w:val="0"/>
          <w:position w:val="0"/>
          <w:sz w:val="24"/>
          <w:szCs w:val="24"/>
          <w:lang w:eastAsia="zh-CN"/>
        </w:rPr>
        <w:t>采购需求应当完整、明确，包括以下内容：</w:t>
      </w:r>
    </w:p>
    <w:p w14:paraId="47A9D6D2">
      <w:pPr>
        <w:pageBreakBefore w:val="0"/>
        <w:widowControl w:val="0"/>
        <w:kinsoku w:val="0"/>
        <w:wordWrap/>
        <w:overflowPunct/>
        <w:topLinePunct w:val="0"/>
        <w:autoSpaceDE w:val="0"/>
        <w:autoSpaceDN w:val="0"/>
        <w:bidi w:val="0"/>
        <w:adjustRightInd w:val="0"/>
        <w:snapToGrid w:val="0"/>
        <w:spacing w:before="183" w:line="360" w:lineRule="auto"/>
        <w:ind w:right="10"/>
        <w:jc w:val="both"/>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（一）采购标的需实现的功能或者目标，以及为落实政府采购政策需满足的要求；</w:t>
      </w:r>
    </w:p>
    <w:p w14:paraId="2C8E54B6">
      <w:pPr>
        <w:pageBreakBefore w:val="0"/>
        <w:widowControl w:val="0"/>
        <w:kinsoku w:val="0"/>
        <w:wordWrap/>
        <w:overflowPunct/>
        <w:topLinePunct w:val="0"/>
        <w:autoSpaceDE w:val="0"/>
        <w:autoSpaceDN w:val="0"/>
        <w:bidi w:val="0"/>
        <w:adjustRightInd w:val="0"/>
        <w:snapToGrid w:val="0"/>
        <w:spacing w:before="1" w:afterAutospacing="0" w:line="360" w:lineRule="auto"/>
        <w:jc w:val="both"/>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（二）采购标的需执行的国家相关标准、行业标准、地方标准或者其他标准、规范；</w:t>
      </w:r>
    </w:p>
    <w:p w14:paraId="7DE305A9">
      <w:pPr>
        <w:pageBreakBefore w:val="0"/>
        <w:widowControl w:val="0"/>
        <w:kinsoku w:val="0"/>
        <w:wordWrap/>
        <w:overflowPunct/>
        <w:topLinePunct w:val="0"/>
        <w:autoSpaceDE w:val="0"/>
        <w:autoSpaceDN w:val="0"/>
        <w:bidi w:val="0"/>
        <w:adjustRightInd w:val="0"/>
        <w:snapToGrid w:val="0"/>
        <w:spacing w:before="60" w:beforeAutospacing="0"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（三）采购标的需满足的质量、安全、技术规格、物理特性等要求；</w:t>
      </w:r>
    </w:p>
    <w:p w14:paraId="57B8030A">
      <w:pPr>
        <w:pageBreakBefore w:val="0"/>
        <w:widowControl w:val="0"/>
        <w:kinsoku w:val="0"/>
        <w:wordWrap/>
        <w:overflowPunct/>
        <w:topLinePunct w:val="0"/>
        <w:autoSpaceDE w:val="0"/>
        <w:autoSpaceDN w:val="0"/>
        <w:bidi w:val="0"/>
        <w:adjustRightInd w:val="0"/>
        <w:snapToGrid w:val="0"/>
        <w:spacing w:before="1" w:afterAutospacing="0"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（四）采购标的的数量、采购项目交付或者实施的时间和地点；</w:t>
      </w:r>
    </w:p>
    <w:p w14:paraId="57F3D540">
      <w:pPr>
        <w:pageBreakBefore w:val="0"/>
        <w:widowControl w:val="0"/>
        <w:kinsoku w:val="0"/>
        <w:wordWrap/>
        <w:overflowPunct/>
        <w:topLinePunct w:val="0"/>
        <w:autoSpaceDE w:val="0"/>
        <w:autoSpaceDN w:val="0"/>
        <w:bidi w:val="0"/>
        <w:adjustRightInd w:val="0"/>
        <w:snapToGrid w:val="0"/>
        <w:spacing w:before="60" w:beforeAutospacing="0"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（五）采购标的需满足的服务标准、期限、效率等要求；</w:t>
      </w:r>
    </w:p>
    <w:p w14:paraId="3401FDD8">
      <w:pPr>
        <w:pageBreakBefore w:val="0"/>
        <w:widowControl w:val="0"/>
        <w:kinsoku w:val="0"/>
        <w:wordWrap/>
        <w:overflowPunct/>
        <w:topLinePunct w:val="0"/>
        <w:autoSpaceDE w:val="0"/>
        <w:autoSpaceDN w:val="0"/>
        <w:bidi w:val="0"/>
        <w:adjustRightInd w:val="0"/>
        <w:snapToGrid w:val="0"/>
        <w:spacing w:before="1" w:afterAutospacing="0"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（六）采购标的的验收标准；</w:t>
      </w:r>
    </w:p>
    <w:p w14:paraId="1FA93228">
      <w:pPr>
        <w:pageBreakBefore w:val="0"/>
        <w:widowControl w:val="0"/>
        <w:kinsoku w:val="0"/>
        <w:wordWrap/>
        <w:overflowPunct/>
        <w:topLinePunct w:val="0"/>
        <w:autoSpaceDE w:val="0"/>
        <w:autoSpaceDN w:val="0"/>
        <w:bidi w:val="0"/>
        <w:adjustRightInd w:val="0"/>
        <w:snapToGrid w:val="0"/>
        <w:spacing w:beforeAutospacing="0"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（七）采购标的的其他技术、服务等要求。</w:t>
      </w:r>
    </w:p>
    <w:p w14:paraId="7519DF83">
      <w:pPr>
        <w:pageBreakBefore w:val="0"/>
        <w:widowControl w:val="0"/>
        <w:kinsoku w:val="0"/>
        <w:wordWrap/>
        <w:overflowPunct/>
        <w:topLinePunct w:val="0"/>
        <w:autoSpaceDE w:val="0"/>
        <w:autoSpaceDN w:val="0"/>
        <w:bidi w:val="0"/>
        <w:adjustRightInd w:val="0"/>
        <w:snapToGrid w:val="0"/>
        <w:spacing w:before="185" w:line="360" w:lineRule="auto"/>
        <w:jc w:val="left"/>
        <w:textAlignment w:val="baseline"/>
        <w:rPr>
          <w:rFonts w:ascii="宋体" w:hAnsi="宋体" w:eastAsia="宋体" w:cs="宋体"/>
          <w:snapToGrid w:val="0"/>
          <w:color w:val="auto"/>
          <w:spacing w:val="0"/>
          <w:kern w:val="0"/>
          <w:position w:val="0"/>
          <w:sz w:val="24"/>
          <w:szCs w:val="24"/>
          <w:lang w:eastAsia="zh-CN"/>
        </w:rPr>
      </w:pPr>
      <w:r>
        <w:rPr>
          <w:rFonts w:ascii="宋体" w:hAnsi="宋体" w:eastAsia="宋体" w:cs="宋体"/>
          <w:snapToGrid w:val="0"/>
          <w:color w:val="auto"/>
          <w:spacing w:val="0"/>
          <w:kern w:val="0"/>
          <w:position w:val="0"/>
          <w:sz w:val="24"/>
          <w:szCs w:val="24"/>
          <w:lang w:eastAsia="zh-CN"/>
        </w:rPr>
        <w:t>（明确对中小企业在资金支付期限、预付款比例等方面的优惠措施）</w:t>
      </w:r>
    </w:p>
    <w:p w14:paraId="088C128B">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473A7A"/>
    <w:rsid w:val="6F473A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2026-05-21T10:11:00Z</dcterms:created>
  <dc:creator>叹服</dc:creator>
  <cp:lastModifiedBy>叹服</cp:lastModifiedBy>
  <dcterms:modified xsi:type="dcterms:W3CDTF">2026-05-21T10:11:40Z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EA6E237D9B7A46FEA9CB429F58E20752_11</vt:lpwstr>
  </property>
  <property fmtid="{D5CDD505-2E9C-101B-9397-08002B2CF9AE}" pid="4" name="KSOTemplateDocerSaveRecord">
    <vt:lpwstr>eyJoZGlkIjoiNjczYzA1ZDZhZmFjNGNiMWExNWRmMWE2Yjk2MDE5ODciLCJ1c2VySWQiOiIxMjM4MDUxNDY1In0=</vt:lpwstr>
  </property>
</Properties>
</file>