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E78041">
      <w:pPr>
        <w:keepNext w:val="0"/>
        <w:keepLines w:val="0"/>
        <w:pageBreakBefore w:val="0"/>
        <w:widowControl w:val="0"/>
        <w:kinsoku w:val="0"/>
        <w:wordWrap/>
        <w:overflowPunct/>
        <w:topLinePunct w:val="0"/>
        <w:autoSpaceDE w:val="0"/>
        <w:autoSpaceDN w:val="0"/>
        <w:bidi w:val="0"/>
        <w:adjustRightInd w:val="0"/>
        <w:snapToGrid w:val="0"/>
        <w:spacing w:before="63" w:line="224" w:lineRule="auto"/>
        <w:ind w:left="5052" w:leftChars="0" w:hanging="5052" w:hangingChars="1599"/>
        <w:jc w:val="center"/>
        <w:textAlignment w:val="baseline"/>
        <w:outlineLvl w:val="0"/>
        <w:rPr>
          <w:rFonts w:hint="eastAsia" w:ascii="宋体" w:hAnsi="宋体" w:eastAsia="宋体" w:cs="宋体"/>
          <w:color w:val="auto"/>
          <w:spacing w:val="8"/>
          <w:sz w:val="30"/>
          <w:szCs w:val="30"/>
          <w:highlight w:val="none"/>
          <w:lang w:val="en-US" w:eastAsia="zh-CN"/>
          <w14:textOutline w14:w="5791" w14:cap="sq" w14:cmpd="sng" w14:algn="ctr">
            <w14:solidFill>
              <w14:srgbClr w14:val="000000"/>
            </w14:solidFill>
            <w14:prstDash w14:val="solid"/>
            <w14:bevel/>
          </w14:textOutline>
        </w:rPr>
      </w:pPr>
      <w:r>
        <w:rPr>
          <w:rFonts w:hint="eastAsia" w:ascii="宋体" w:hAnsi="宋体" w:eastAsia="宋体" w:cs="宋体"/>
          <w:color w:val="auto"/>
          <w:spacing w:val="8"/>
          <w:sz w:val="30"/>
          <w:szCs w:val="30"/>
          <w:highlight w:val="none"/>
          <w:lang w:val="en-US" w:eastAsia="zh-CN"/>
          <w14:textOutline w14:w="5791" w14:cap="sq" w14:cmpd="sng" w14:algn="ctr">
            <w14:solidFill>
              <w14:srgbClr w14:val="000000"/>
            </w14:solidFill>
            <w14:prstDash w14:val="solid"/>
            <w14:bevel/>
          </w14:textOutline>
        </w:rPr>
        <w:t xml:space="preserve"> 芦溪县城区绿化市场化服务采购采购需求</w:t>
      </w:r>
    </w:p>
    <w:p w14:paraId="0D9C0787">
      <w:pPr>
        <w:pageBreakBefore w:val="0"/>
        <w:widowControl w:val="0"/>
        <w:wordWrap/>
        <w:overflowPunct/>
        <w:topLinePunct w:val="0"/>
        <w:bidi w:val="0"/>
        <w:spacing w:line="258" w:lineRule="auto"/>
        <w:rPr>
          <w:color w:val="auto"/>
          <w:highlight w:val="none"/>
        </w:rPr>
      </w:pPr>
    </w:p>
    <w:p w14:paraId="213747FE">
      <w:pPr>
        <w:pageBreakBefore w:val="0"/>
        <w:widowControl w:val="0"/>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需求</w:t>
      </w:r>
    </w:p>
    <w:p w14:paraId="4A134F56">
      <w:pPr>
        <w:pageBreakBefore w:val="0"/>
        <w:widowControl w:val="0"/>
        <w:wordWrap/>
        <w:overflowPunct/>
        <w:topLinePunct w:val="0"/>
        <w:bidi w:val="0"/>
        <w:spacing w:line="242" w:lineRule="auto"/>
        <w:rPr>
          <w:color w:val="auto"/>
          <w:highlight w:val="none"/>
        </w:rPr>
      </w:pPr>
    </w:p>
    <w:p w14:paraId="424884B6">
      <w:pPr>
        <w:bidi w:val="0"/>
        <w:spacing w:line="360" w:lineRule="auto"/>
        <w:ind w:firstLine="480" w:firstLineChars="200"/>
        <w:rPr>
          <w:b/>
          <w:bCs/>
          <w:color w:val="auto"/>
          <w:sz w:val="24"/>
          <w:szCs w:val="24"/>
        </w:rPr>
      </w:pPr>
      <w:r>
        <w:rPr>
          <w:b/>
          <w:bCs/>
          <w:color w:val="auto"/>
          <w:sz w:val="24"/>
          <w:szCs w:val="24"/>
        </w:rPr>
        <w:t>服务要求</w:t>
      </w:r>
    </w:p>
    <w:p w14:paraId="5C8FE51B">
      <w:pPr>
        <w:bidi w:val="0"/>
        <w:spacing w:line="360" w:lineRule="auto"/>
        <w:ind w:firstLine="480" w:firstLineChars="200"/>
        <w:rPr>
          <w:color w:val="auto"/>
          <w:sz w:val="24"/>
          <w:szCs w:val="24"/>
        </w:rPr>
      </w:pPr>
      <w:r>
        <w:rPr>
          <w:color w:val="auto"/>
          <w:sz w:val="24"/>
          <w:szCs w:val="24"/>
        </w:rPr>
        <w:t>1、绿化管理标准：参照二级管理</w:t>
      </w:r>
    </w:p>
    <w:p w14:paraId="19996A6D">
      <w:pPr>
        <w:bidi w:val="0"/>
        <w:spacing w:line="360" w:lineRule="auto"/>
        <w:ind w:firstLine="480" w:firstLineChars="200"/>
        <w:rPr>
          <w:color w:val="auto"/>
          <w:sz w:val="24"/>
          <w:szCs w:val="24"/>
        </w:rPr>
      </w:pPr>
      <w:r>
        <w:rPr>
          <w:color w:val="auto"/>
          <w:sz w:val="24"/>
          <w:szCs w:val="24"/>
        </w:rPr>
        <w:t>2、绿化养护工作内容：</w:t>
      </w:r>
    </w:p>
    <w:p w14:paraId="6C6000AD">
      <w:pPr>
        <w:bidi w:val="0"/>
        <w:spacing w:line="360" w:lineRule="auto"/>
        <w:ind w:firstLine="480" w:firstLineChars="200"/>
        <w:rPr>
          <w:color w:val="auto"/>
          <w:sz w:val="24"/>
          <w:szCs w:val="24"/>
        </w:rPr>
      </w:pPr>
      <w:r>
        <w:rPr>
          <w:color w:val="auto"/>
          <w:sz w:val="24"/>
          <w:szCs w:val="24"/>
        </w:rPr>
        <w:t>1) 乔木、灌木、草皮、行道树等病虫害打药防治；</w:t>
      </w:r>
    </w:p>
    <w:p w14:paraId="74F5457F">
      <w:pPr>
        <w:bidi w:val="0"/>
        <w:spacing w:line="360" w:lineRule="auto"/>
        <w:ind w:firstLine="480" w:firstLineChars="200"/>
        <w:rPr>
          <w:color w:val="auto"/>
          <w:sz w:val="24"/>
          <w:szCs w:val="24"/>
        </w:rPr>
      </w:pPr>
      <w:r>
        <w:rPr>
          <w:color w:val="auto"/>
          <w:sz w:val="24"/>
          <w:szCs w:val="24"/>
        </w:rPr>
        <w:t>2) 苗木的日常浇水、施肥；</w:t>
      </w:r>
    </w:p>
    <w:p w14:paraId="14A324A4">
      <w:pPr>
        <w:bidi w:val="0"/>
        <w:spacing w:line="360" w:lineRule="auto"/>
        <w:ind w:firstLine="480" w:firstLineChars="200"/>
        <w:rPr>
          <w:color w:val="auto"/>
          <w:sz w:val="24"/>
          <w:szCs w:val="24"/>
        </w:rPr>
      </w:pPr>
      <w:r>
        <w:rPr>
          <w:color w:val="auto"/>
          <w:sz w:val="24"/>
          <w:szCs w:val="24"/>
        </w:rPr>
        <w:t>3) 乔木、灌木、绿篱的日常修剪；修剪主要是以整形为主，适度重剪。</w:t>
      </w:r>
    </w:p>
    <w:p w14:paraId="7CC670C9">
      <w:pPr>
        <w:bidi w:val="0"/>
        <w:spacing w:line="360" w:lineRule="auto"/>
        <w:ind w:firstLine="480" w:firstLineChars="200"/>
        <w:rPr>
          <w:color w:val="auto"/>
          <w:sz w:val="24"/>
          <w:szCs w:val="24"/>
        </w:rPr>
      </w:pPr>
      <w:r>
        <w:rPr>
          <w:color w:val="auto"/>
          <w:sz w:val="24"/>
          <w:szCs w:val="24"/>
        </w:rPr>
        <w:t>夏季修剪：夏剪主要内容是轻剪，必须保持植株有足够的绿叶.结合病虫害防治，有的灌木轻度遭受虫害（如蚜虫），结合修剪，可以解决。</w:t>
      </w:r>
    </w:p>
    <w:p w14:paraId="78A90D9D">
      <w:pPr>
        <w:bidi w:val="0"/>
        <w:spacing w:line="360" w:lineRule="auto"/>
        <w:ind w:firstLine="480" w:firstLineChars="200"/>
        <w:rPr>
          <w:color w:val="auto"/>
          <w:sz w:val="24"/>
          <w:szCs w:val="24"/>
        </w:rPr>
      </w:pPr>
      <w:r>
        <w:rPr>
          <w:color w:val="auto"/>
          <w:sz w:val="24"/>
          <w:szCs w:val="24"/>
        </w:rPr>
        <w:t>冬季修剪：主要是落叶树种的修剪，剪除越冬病株、枯株、死株。</w:t>
      </w:r>
    </w:p>
    <w:p w14:paraId="2362EE25">
      <w:pPr>
        <w:bidi w:val="0"/>
        <w:spacing w:line="360" w:lineRule="auto"/>
        <w:ind w:firstLine="480" w:firstLineChars="200"/>
        <w:rPr>
          <w:color w:val="auto"/>
          <w:sz w:val="24"/>
          <w:szCs w:val="24"/>
        </w:rPr>
      </w:pPr>
      <w:r>
        <w:rPr>
          <w:color w:val="auto"/>
          <w:sz w:val="24"/>
          <w:szCs w:val="24"/>
        </w:rPr>
        <w:t>4) 草坪的日常修剪及拔除杂草；</w:t>
      </w:r>
    </w:p>
    <w:p w14:paraId="0592029A">
      <w:pPr>
        <w:bidi w:val="0"/>
        <w:spacing w:line="360" w:lineRule="auto"/>
        <w:ind w:firstLine="480" w:firstLineChars="200"/>
        <w:rPr>
          <w:color w:val="auto"/>
          <w:sz w:val="24"/>
          <w:szCs w:val="24"/>
        </w:rPr>
      </w:pPr>
      <w:r>
        <w:rPr>
          <w:color w:val="auto"/>
          <w:sz w:val="24"/>
          <w:szCs w:val="24"/>
        </w:rPr>
        <w:t>5) 绿化养护区域的卫生维护及树枝、垃圾等外运；</w:t>
      </w:r>
    </w:p>
    <w:p w14:paraId="5DAF00D3">
      <w:pPr>
        <w:bidi w:val="0"/>
        <w:spacing w:line="360" w:lineRule="auto"/>
        <w:ind w:firstLine="480" w:firstLineChars="200"/>
        <w:rPr>
          <w:color w:val="auto"/>
          <w:sz w:val="24"/>
          <w:szCs w:val="24"/>
        </w:rPr>
      </w:pPr>
      <w:r>
        <w:rPr>
          <w:color w:val="auto"/>
          <w:sz w:val="24"/>
          <w:szCs w:val="24"/>
        </w:rPr>
        <w:t>6) 树木冬季刷波尔多液及其它正常养护、管理工作；</w:t>
      </w:r>
    </w:p>
    <w:p w14:paraId="3506AE40">
      <w:pPr>
        <w:bidi w:val="0"/>
        <w:spacing w:line="360" w:lineRule="auto"/>
        <w:ind w:firstLine="480" w:firstLineChars="200"/>
        <w:rPr>
          <w:color w:val="auto"/>
          <w:sz w:val="24"/>
          <w:szCs w:val="24"/>
        </w:rPr>
      </w:pPr>
      <w:r>
        <w:rPr>
          <w:color w:val="auto"/>
          <w:sz w:val="24"/>
          <w:szCs w:val="24"/>
        </w:rPr>
        <w:t>7) 树木的防风、防寒工作；</w:t>
      </w:r>
    </w:p>
    <w:p w14:paraId="3D7198C4">
      <w:pPr>
        <w:bidi w:val="0"/>
        <w:spacing w:line="360" w:lineRule="auto"/>
        <w:ind w:firstLine="480" w:firstLineChars="200"/>
        <w:rPr>
          <w:color w:val="auto"/>
          <w:sz w:val="24"/>
          <w:szCs w:val="24"/>
        </w:rPr>
      </w:pPr>
      <w:r>
        <w:rPr>
          <w:color w:val="auto"/>
          <w:sz w:val="24"/>
          <w:szCs w:val="24"/>
        </w:rPr>
        <w:t>8) 苗木松土；</w:t>
      </w:r>
    </w:p>
    <w:p w14:paraId="3C6FA406">
      <w:pPr>
        <w:bidi w:val="0"/>
        <w:spacing w:line="360" w:lineRule="auto"/>
        <w:ind w:firstLine="480" w:firstLineChars="200"/>
        <w:rPr>
          <w:rFonts w:hint="default" w:eastAsia="宋体"/>
          <w:color w:val="auto"/>
          <w:sz w:val="24"/>
          <w:szCs w:val="24"/>
          <w:lang w:val="en-US" w:eastAsia="zh-CN"/>
        </w:rPr>
      </w:pPr>
      <w:r>
        <w:rPr>
          <w:color w:val="auto"/>
          <w:sz w:val="24"/>
          <w:szCs w:val="24"/>
        </w:rPr>
        <w:t xml:space="preserve">9) </w:t>
      </w:r>
      <w:r>
        <w:rPr>
          <w:rFonts w:hint="eastAsia" w:eastAsia="宋体"/>
          <w:color w:val="auto"/>
          <w:sz w:val="24"/>
          <w:szCs w:val="24"/>
          <w:lang w:val="en-US" w:eastAsia="zh-CN"/>
        </w:rPr>
        <w:t>按采购人要求补种苗木</w:t>
      </w:r>
    </w:p>
    <w:p w14:paraId="00C93064">
      <w:pPr>
        <w:bidi w:val="0"/>
        <w:spacing w:line="360" w:lineRule="auto"/>
        <w:ind w:firstLine="480" w:firstLineChars="200"/>
        <w:rPr>
          <w:color w:val="auto"/>
          <w:sz w:val="24"/>
          <w:szCs w:val="24"/>
        </w:rPr>
      </w:pPr>
      <w:r>
        <w:rPr>
          <w:color w:val="auto"/>
          <w:sz w:val="24"/>
          <w:szCs w:val="24"/>
        </w:rPr>
        <w:t>3、养护人</w:t>
      </w:r>
      <w:r>
        <w:rPr>
          <w:rFonts w:hint="eastAsia" w:eastAsia="宋体"/>
          <w:color w:val="auto"/>
          <w:sz w:val="24"/>
          <w:szCs w:val="24"/>
          <w:lang w:val="en-US" w:eastAsia="zh-CN"/>
        </w:rPr>
        <w:t>员</w:t>
      </w:r>
      <w:r>
        <w:rPr>
          <w:color w:val="auto"/>
          <w:sz w:val="24"/>
          <w:szCs w:val="24"/>
        </w:rPr>
        <w:t>要求：</w:t>
      </w:r>
    </w:p>
    <w:p w14:paraId="6D9F553B">
      <w:pPr>
        <w:bidi w:val="0"/>
        <w:spacing w:line="360" w:lineRule="auto"/>
        <w:ind w:firstLine="480" w:firstLineChars="200"/>
        <w:rPr>
          <w:color w:val="auto"/>
          <w:sz w:val="24"/>
          <w:szCs w:val="24"/>
        </w:rPr>
      </w:pPr>
      <w:r>
        <w:rPr>
          <w:color w:val="auto"/>
          <w:sz w:val="24"/>
          <w:szCs w:val="24"/>
        </w:rPr>
        <w:t>1)日常养护工人（年龄应≤60 岁）须保证 2 人开展养护工作，特殊季节 4--5 月份和10 到 11 月份每天须</w:t>
      </w:r>
      <w:r>
        <w:rPr>
          <w:rFonts w:hint="eastAsia" w:eastAsia="宋体"/>
          <w:color w:val="auto"/>
          <w:sz w:val="24"/>
          <w:szCs w:val="24"/>
          <w:lang w:val="en-US" w:eastAsia="zh-CN"/>
        </w:rPr>
        <w:t>不少于</w:t>
      </w:r>
      <w:r>
        <w:rPr>
          <w:color w:val="auto"/>
          <w:sz w:val="24"/>
          <w:szCs w:val="24"/>
        </w:rPr>
        <w:t xml:space="preserve"> 10 人（年龄应≤6</w:t>
      </w:r>
      <w:r>
        <w:rPr>
          <w:rFonts w:hint="eastAsia" w:eastAsia="宋体"/>
          <w:color w:val="auto"/>
          <w:sz w:val="24"/>
          <w:szCs w:val="24"/>
          <w:lang w:val="en-US" w:eastAsia="zh-CN"/>
        </w:rPr>
        <w:t>0</w:t>
      </w:r>
      <w:r>
        <w:rPr>
          <w:color w:val="auto"/>
          <w:sz w:val="24"/>
          <w:szCs w:val="24"/>
        </w:rPr>
        <w:t xml:space="preserve"> 岁）开展养护工作。</w:t>
      </w:r>
    </w:p>
    <w:p w14:paraId="10FF6A78">
      <w:pPr>
        <w:bidi w:val="0"/>
        <w:spacing w:line="360" w:lineRule="auto"/>
        <w:ind w:firstLine="480" w:firstLineChars="200"/>
        <w:rPr>
          <w:color w:val="auto"/>
          <w:sz w:val="24"/>
          <w:szCs w:val="24"/>
        </w:rPr>
      </w:pPr>
      <w:r>
        <w:rPr>
          <w:color w:val="auto"/>
          <w:sz w:val="24"/>
          <w:szCs w:val="24"/>
        </w:rPr>
        <w:t>2)养护工人日常工作及上班监督采取指纹打卡和水印相机拍照相结合。</w:t>
      </w:r>
    </w:p>
    <w:p w14:paraId="7A072384">
      <w:pPr>
        <w:bidi w:val="0"/>
        <w:spacing w:line="360" w:lineRule="auto"/>
        <w:ind w:firstLine="480" w:firstLineChars="200"/>
        <w:rPr>
          <w:color w:val="auto"/>
          <w:sz w:val="24"/>
          <w:szCs w:val="24"/>
        </w:rPr>
      </w:pPr>
      <w:r>
        <w:rPr>
          <w:color w:val="auto"/>
          <w:sz w:val="24"/>
          <w:szCs w:val="24"/>
        </w:rPr>
        <w:t>3）养护单位需做好养护工人的日常安全教育培训</w:t>
      </w:r>
      <w:r>
        <w:rPr>
          <w:rFonts w:hint="eastAsia" w:eastAsia="宋体"/>
          <w:color w:val="auto"/>
          <w:sz w:val="24"/>
          <w:szCs w:val="24"/>
          <w:lang w:eastAsia="zh-CN"/>
        </w:rPr>
        <w:t>，</w:t>
      </w:r>
      <w:r>
        <w:rPr>
          <w:color w:val="auto"/>
          <w:sz w:val="24"/>
          <w:szCs w:val="24"/>
        </w:rPr>
        <w:t>因养护工作造成养护人员或其他任何第三方人员发生财产、人身伤害，相关赔偿责任全部由养护单位承担。</w:t>
      </w:r>
    </w:p>
    <w:p w14:paraId="64D246B8">
      <w:pPr>
        <w:bidi w:val="0"/>
        <w:spacing w:line="360" w:lineRule="auto"/>
        <w:ind w:firstLine="480" w:firstLineChars="200"/>
        <w:rPr>
          <w:color w:val="auto"/>
          <w:sz w:val="24"/>
          <w:szCs w:val="24"/>
        </w:rPr>
      </w:pPr>
      <w:r>
        <w:rPr>
          <w:color w:val="auto"/>
          <w:sz w:val="24"/>
          <w:szCs w:val="24"/>
        </w:rPr>
        <w:t>4)养护单位每天将工作日志总结后发电子档到工作群里面。</w:t>
      </w:r>
    </w:p>
    <w:p w14:paraId="62A51D00">
      <w:pPr>
        <w:bidi w:val="0"/>
        <w:spacing w:line="360" w:lineRule="auto"/>
        <w:ind w:firstLine="480" w:firstLineChars="200"/>
        <w:rPr>
          <w:color w:val="auto"/>
          <w:sz w:val="24"/>
          <w:szCs w:val="24"/>
        </w:rPr>
      </w:pPr>
      <w:r>
        <w:rPr>
          <w:color w:val="auto"/>
          <w:sz w:val="24"/>
          <w:szCs w:val="24"/>
        </w:rPr>
        <w:t>5) 养护单位及人工需对</w:t>
      </w:r>
      <w:r>
        <w:rPr>
          <w:rFonts w:hint="eastAsia" w:eastAsia="宋体"/>
          <w:color w:val="auto"/>
          <w:sz w:val="24"/>
          <w:szCs w:val="24"/>
          <w:lang w:val="en-US" w:eastAsia="zh-CN"/>
        </w:rPr>
        <w:t>芦溪县城区</w:t>
      </w:r>
      <w:r>
        <w:rPr>
          <w:color w:val="auto"/>
          <w:sz w:val="24"/>
          <w:szCs w:val="24"/>
        </w:rPr>
        <w:t>绿化范围全日巡查制：全日巡查工作是绿地养护的重要内容，对避免大范围病虫害、干旱、人为损害绿化事件的发生有十分重要的意义。</w:t>
      </w:r>
    </w:p>
    <w:p w14:paraId="442BE82A">
      <w:pPr>
        <w:bidi w:val="0"/>
        <w:spacing w:line="360" w:lineRule="auto"/>
        <w:ind w:firstLine="480" w:firstLineChars="200"/>
        <w:rPr>
          <w:color w:val="auto"/>
          <w:sz w:val="24"/>
          <w:szCs w:val="24"/>
        </w:rPr>
      </w:pPr>
      <w:r>
        <w:rPr>
          <w:color w:val="auto"/>
          <w:sz w:val="24"/>
          <w:szCs w:val="24"/>
        </w:rPr>
        <w:t>4、养护质量及要求：</w:t>
      </w:r>
    </w:p>
    <w:p w14:paraId="4F8F8A2C">
      <w:pPr>
        <w:bidi w:val="0"/>
        <w:spacing w:line="360" w:lineRule="auto"/>
        <w:ind w:firstLine="480" w:firstLineChars="200"/>
        <w:rPr>
          <w:color w:val="auto"/>
          <w:sz w:val="24"/>
          <w:szCs w:val="24"/>
        </w:rPr>
      </w:pPr>
      <w:r>
        <w:rPr>
          <w:color w:val="auto"/>
          <w:sz w:val="24"/>
          <w:szCs w:val="24"/>
        </w:rPr>
        <w:t>1）乔木：树冠完整、枝干无明显的机械损伤；病虫害低于 10%；每年冬季集中修剪一次；及时剪除枯枝、病虫枝及阻碍车辆、行人通行的下垂枝；及时清理干净修剪物；定期浇水。</w:t>
      </w:r>
    </w:p>
    <w:p w14:paraId="40679743">
      <w:pPr>
        <w:bidi w:val="0"/>
        <w:spacing w:line="360" w:lineRule="auto"/>
        <w:ind w:firstLine="480" w:firstLineChars="200"/>
        <w:rPr>
          <w:color w:val="auto"/>
          <w:sz w:val="24"/>
          <w:szCs w:val="24"/>
        </w:rPr>
      </w:pPr>
      <w:r>
        <w:rPr>
          <w:color w:val="auto"/>
          <w:sz w:val="24"/>
          <w:szCs w:val="24"/>
        </w:rPr>
        <w:t>2）灌木、绿篱：生长健壮良好；无杂草、无明显的病虫害；枯枝、病虫枝在 15%以下；每周淋水一次（雨天除外）、遇干旱天气须缩短淋水周期；每季度修剪一次以上；修剪成圆形、方形或锥形的，每月小修一次，每季度大修一次，剪口平滑、美观，及时清除修剪物；及时剪除枯枝、病虫枝；及时补种老、病死植株。</w:t>
      </w:r>
    </w:p>
    <w:p w14:paraId="7C61938B">
      <w:pPr>
        <w:bidi w:val="0"/>
        <w:spacing w:line="360" w:lineRule="auto"/>
        <w:ind w:firstLine="480" w:firstLineChars="200"/>
        <w:rPr>
          <w:color w:val="auto"/>
          <w:sz w:val="24"/>
          <w:szCs w:val="24"/>
        </w:rPr>
      </w:pPr>
      <w:r>
        <w:rPr>
          <w:color w:val="auto"/>
          <w:sz w:val="24"/>
          <w:szCs w:val="24"/>
        </w:rPr>
        <w:t>3）草坪：及时清理杂草，草坪纯度 70%以上；生长良好、地面整洁；每年修剪 4 次以上。</w:t>
      </w:r>
    </w:p>
    <w:p w14:paraId="530B3F43">
      <w:pPr>
        <w:bidi w:val="0"/>
        <w:spacing w:line="360" w:lineRule="auto"/>
        <w:ind w:firstLine="480" w:firstLineChars="200"/>
        <w:rPr>
          <w:color w:val="auto"/>
          <w:sz w:val="24"/>
          <w:szCs w:val="24"/>
        </w:rPr>
      </w:pPr>
      <w:r>
        <w:rPr>
          <w:color w:val="auto"/>
          <w:sz w:val="24"/>
          <w:szCs w:val="24"/>
        </w:rPr>
        <w:t>4）苗木病虫害防治要求：每年打药 4 次以上，平时发现病虫害要求及时打药治病虫害；事后要检查，对效果不好的要重新喷药，死亡率在 5%以下。</w:t>
      </w:r>
    </w:p>
    <w:p w14:paraId="6D3D7C06">
      <w:pPr>
        <w:bidi w:val="0"/>
        <w:spacing w:line="360" w:lineRule="auto"/>
        <w:ind w:firstLine="480" w:firstLineChars="200"/>
        <w:rPr>
          <w:color w:val="auto"/>
          <w:sz w:val="24"/>
          <w:szCs w:val="24"/>
        </w:rPr>
      </w:pPr>
      <w:r>
        <w:rPr>
          <w:color w:val="auto"/>
          <w:sz w:val="24"/>
          <w:szCs w:val="24"/>
        </w:rPr>
        <w:t>5）每年 3-4 月份对苗木松土一次，全年至少保证对苗木松土两次；</w:t>
      </w:r>
    </w:p>
    <w:p w14:paraId="177FFD52">
      <w:pPr>
        <w:bidi w:val="0"/>
        <w:spacing w:line="360" w:lineRule="auto"/>
        <w:ind w:firstLine="480" w:firstLineChars="200"/>
        <w:rPr>
          <w:color w:val="auto"/>
          <w:sz w:val="24"/>
          <w:szCs w:val="24"/>
        </w:rPr>
      </w:pPr>
      <w:r>
        <w:rPr>
          <w:color w:val="auto"/>
          <w:sz w:val="24"/>
          <w:szCs w:val="24"/>
        </w:rPr>
        <w:t>6）冬季养护要求：入冬前做好树木的防冻、杀菌工作；做好越冬虫害防治工作；涂刷波尔多液；如遇大雪，应及时对易遭受积雪压损的苗木进行除雪；冬季过后及时撤除防寒设施。</w:t>
      </w:r>
    </w:p>
    <w:p w14:paraId="3BD98F9C">
      <w:pPr>
        <w:bidi w:val="0"/>
        <w:spacing w:line="360" w:lineRule="auto"/>
        <w:ind w:firstLine="480" w:firstLineChars="200"/>
        <w:rPr>
          <w:color w:val="auto"/>
          <w:sz w:val="24"/>
          <w:szCs w:val="24"/>
        </w:rPr>
      </w:pPr>
      <w:r>
        <w:rPr>
          <w:color w:val="auto"/>
          <w:sz w:val="24"/>
          <w:szCs w:val="24"/>
        </w:rPr>
        <w:t>7）在台风来临之前，及时做好抗台风准备工作，对易倒伏的树木予以支撑保护，已被台风倾倒的树木须根据具体情况及时予以扶正或清除。</w:t>
      </w:r>
    </w:p>
    <w:p w14:paraId="3F69E97D">
      <w:pPr>
        <w:bidi w:val="0"/>
        <w:spacing w:line="360" w:lineRule="auto"/>
        <w:ind w:firstLine="480" w:firstLineChars="200"/>
        <w:rPr>
          <w:color w:val="auto"/>
          <w:sz w:val="24"/>
          <w:szCs w:val="24"/>
        </w:rPr>
      </w:pPr>
      <w:r>
        <w:rPr>
          <w:color w:val="auto"/>
          <w:sz w:val="24"/>
          <w:szCs w:val="24"/>
        </w:rPr>
        <w:t>8） 日常应做好绿化区域环境卫生维护工作，及时清理绿化垃圾（修剪枝叶、枯枝、枯叶、杂草等）。</w:t>
      </w:r>
    </w:p>
    <w:p w14:paraId="0BC1E5D7">
      <w:pPr>
        <w:bidi w:val="0"/>
        <w:spacing w:line="360" w:lineRule="auto"/>
        <w:ind w:firstLine="480" w:firstLineChars="200"/>
        <w:rPr>
          <w:color w:val="auto"/>
          <w:sz w:val="24"/>
          <w:szCs w:val="24"/>
        </w:rPr>
      </w:pPr>
      <w:r>
        <w:rPr>
          <w:color w:val="auto"/>
          <w:sz w:val="24"/>
          <w:szCs w:val="24"/>
        </w:rPr>
        <w:t>9）确保新建苗圃及补种苗木成活、生长良好。</w:t>
      </w:r>
    </w:p>
    <w:p w14:paraId="0B013B02">
      <w:pPr>
        <w:bidi w:val="0"/>
        <w:spacing w:line="360" w:lineRule="auto"/>
        <w:ind w:firstLine="480" w:firstLineChars="200"/>
        <w:rPr>
          <w:color w:val="auto"/>
          <w:sz w:val="24"/>
          <w:szCs w:val="24"/>
        </w:rPr>
      </w:pPr>
      <w:r>
        <w:rPr>
          <w:color w:val="auto"/>
          <w:sz w:val="24"/>
          <w:szCs w:val="24"/>
        </w:rPr>
        <w:t>10）保护现有绿化完整，防止人为损坏。</w:t>
      </w:r>
    </w:p>
    <w:p w14:paraId="479A6D59">
      <w:pPr>
        <w:bidi w:val="0"/>
        <w:spacing w:line="360" w:lineRule="auto"/>
        <w:ind w:firstLine="480" w:firstLineChars="200"/>
        <w:rPr>
          <w:color w:val="auto"/>
          <w:sz w:val="24"/>
          <w:szCs w:val="24"/>
        </w:rPr>
      </w:pPr>
      <w:r>
        <w:rPr>
          <w:color w:val="auto"/>
          <w:sz w:val="24"/>
          <w:szCs w:val="24"/>
        </w:rPr>
        <w:t>11)苗木施肥 2 次：每年 4 月份集中施肥一次、每年9 月份集中施肥一次。</w:t>
      </w:r>
    </w:p>
    <w:p w14:paraId="15A9D652">
      <w:pPr>
        <w:bidi w:val="0"/>
        <w:spacing w:line="360" w:lineRule="auto"/>
        <w:ind w:firstLine="480" w:firstLineChars="200"/>
        <w:rPr>
          <w:color w:val="auto"/>
          <w:sz w:val="24"/>
          <w:szCs w:val="24"/>
        </w:rPr>
      </w:pPr>
      <w:r>
        <w:rPr>
          <w:color w:val="auto"/>
          <w:sz w:val="24"/>
          <w:szCs w:val="24"/>
        </w:rPr>
        <w:t>12）施肥量要求：复合肥不得少于6 吨/年，有机肥不得少于6 吨/年。</w:t>
      </w:r>
    </w:p>
    <w:p w14:paraId="3AEE43D7">
      <w:pPr>
        <w:bidi w:val="0"/>
        <w:spacing w:line="360" w:lineRule="auto"/>
        <w:ind w:firstLine="480" w:firstLineChars="200"/>
        <w:rPr>
          <w:color w:val="auto"/>
          <w:sz w:val="24"/>
          <w:szCs w:val="24"/>
        </w:rPr>
      </w:pPr>
      <w:r>
        <w:rPr>
          <w:rFonts w:hint="eastAsia" w:eastAsia="宋体"/>
          <w:color w:val="auto"/>
          <w:sz w:val="24"/>
          <w:szCs w:val="24"/>
          <w:lang w:val="en-US" w:eastAsia="zh-CN"/>
        </w:rPr>
        <w:t>13</w:t>
      </w:r>
      <w:r>
        <w:rPr>
          <w:color w:val="auto"/>
          <w:sz w:val="24"/>
          <w:szCs w:val="24"/>
        </w:rPr>
        <w:t>）新种、移栽灌木乔木养护由养护单位实施，费用按《江西省园林绿化工程消耗量定额及统一基价表》（2023 年版）结算，新种、移栽灌木乔木成活率不得低于90%，如树木成活率低于90%，树木补种由养护单位全额自费实施。</w:t>
      </w:r>
    </w:p>
    <w:p w14:paraId="1ED45321">
      <w:pPr>
        <w:pStyle w:val="2"/>
        <w:rPr>
          <w:color w:val="auto"/>
          <w:sz w:val="24"/>
          <w:szCs w:val="24"/>
        </w:rPr>
      </w:pPr>
    </w:p>
    <w:p w14:paraId="04F42425">
      <w:pPr>
        <w:pStyle w:val="3"/>
        <w:rPr>
          <w:color w:val="auto"/>
          <w:sz w:val="24"/>
          <w:szCs w:val="24"/>
        </w:rPr>
      </w:pPr>
    </w:p>
    <w:p w14:paraId="32E650F4">
      <w:pPr>
        <w:pStyle w:val="3"/>
        <w:rPr>
          <w:color w:val="auto"/>
          <w:sz w:val="24"/>
          <w:szCs w:val="24"/>
        </w:rPr>
      </w:pPr>
    </w:p>
    <w:p w14:paraId="77A54F45">
      <w:pPr>
        <w:pStyle w:val="3"/>
        <w:rPr>
          <w:color w:val="auto"/>
          <w:sz w:val="24"/>
          <w:szCs w:val="24"/>
        </w:rPr>
      </w:pPr>
    </w:p>
    <w:p w14:paraId="42E3FFB1">
      <w:pPr>
        <w:pStyle w:val="3"/>
        <w:rPr>
          <w:color w:val="auto"/>
          <w:sz w:val="24"/>
          <w:szCs w:val="24"/>
        </w:rPr>
      </w:pPr>
    </w:p>
    <w:p w14:paraId="62CB75E5">
      <w:pPr>
        <w:pStyle w:val="3"/>
        <w:rPr>
          <w:color w:val="auto"/>
          <w:sz w:val="24"/>
          <w:szCs w:val="24"/>
        </w:rPr>
      </w:pPr>
    </w:p>
    <w:p w14:paraId="1BB0EB14">
      <w:pPr>
        <w:pStyle w:val="3"/>
        <w:rPr>
          <w:color w:val="auto"/>
          <w:sz w:val="24"/>
          <w:szCs w:val="24"/>
        </w:rPr>
      </w:pPr>
    </w:p>
    <w:p w14:paraId="3DBDECE1">
      <w:pPr>
        <w:pStyle w:val="3"/>
        <w:rPr>
          <w:color w:val="auto"/>
          <w:sz w:val="24"/>
          <w:szCs w:val="24"/>
        </w:rPr>
      </w:pPr>
    </w:p>
    <w:p w14:paraId="4F7E2E49">
      <w:pPr>
        <w:pStyle w:val="3"/>
        <w:rPr>
          <w:color w:val="auto"/>
          <w:sz w:val="24"/>
          <w:szCs w:val="24"/>
        </w:rPr>
      </w:pPr>
    </w:p>
    <w:p w14:paraId="6DB00B73">
      <w:pPr>
        <w:pStyle w:val="3"/>
        <w:rPr>
          <w:color w:val="auto"/>
          <w:sz w:val="24"/>
          <w:szCs w:val="24"/>
        </w:rPr>
      </w:pPr>
    </w:p>
    <w:p w14:paraId="3D047722">
      <w:pPr>
        <w:pStyle w:val="3"/>
        <w:rPr>
          <w:color w:val="auto"/>
          <w:sz w:val="24"/>
          <w:szCs w:val="24"/>
        </w:rPr>
      </w:pPr>
    </w:p>
    <w:p w14:paraId="58982EC9">
      <w:pPr>
        <w:bidi w:val="0"/>
        <w:jc w:val="center"/>
        <w:rPr>
          <w:rFonts w:hint="eastAsia" w:ascii="宋体" w:hAnsi="宋体" w:eastAsia="宋体" w:cs="宋体"/>
          <w:b/>
          <w:bCs/>
          <w:color w:val="auto"/>
          <w:sz w:val="32"/>
          <w:szCs w:val="32"/>
          <w:lang w:val="en-US" w:eastAsia="zh-CN"/>
        </w:rPr>
      </w:pPr>
      <w:r>
        <w:rPr>
          <w:rFonts w:hint="eastAsia" w:ascii="宋体" w:hAnsi="宋体" w:eastAsia="宋体" w:cs="宋体"/>
          <w:b/>
          <w:bCs/>
          <w:color w:val="auto"/>
          <w:sz w:val="32"/>
          <w:szCs w:val="32"/>
          <w:lang w:val="en-US" w:eastAsia="zh-CN"/>
        </w:rPr>
        <w:t>附件1：《绿地养护管理考核办法》</w:t>
      </w:r>
    </w:p>
    <w:p w14:paraId="16993C84">
      <w:pPr>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为推进我县绿地养护管理工作的精细化、规范化、制度化，提高绿化养护管理水平，提升我县绿化养护管理质量，根据《萍乡市市区绿地养护管理质量标准》，特制定本考核办法。</w:t>
      </w:r>
    </w:p>
    <w:p w14:paraId="5D4C3755">
      <w:pPr>
        <w:spacing w:line="360" w:lineRule="auto"/>
        <w:ind w:firstLine="482" w:firstLineChars="200"/>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一、考评机构与职责</w:t>
      </w:r>
    </w:p>
    <w:p w14:paraId="18DDC24C">
      <w:pPr>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成立中心绿地养护考核工作组。主任担任组长，分管领导担任副组长，成员由相关业务股室负责人及工作人员组成。中心工作组负责月度考核，对各绿地养管情况进行全面考核。重点对绿地环境、浇水、缺株补苗、除杂草、安全生产、植物修剪、病虫害防治、景观效果、植物长势等进行检查。</w:t>
      </w:r>
    </w:p>
    <w:p w14:paraId="544D61EF">
      <w:pPr>
        <w:spacing w:line="360" w:lineRule="auto"/>
        <w:ind w:firstLine="482" w:firstLineChars="200"/>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二、评分办法及结果计算</w:t>
      </w:r>
    </w:p>
    <w:p w14:paraId="771D2D3F">
      <w:pPr>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（一）考核分数采取百分制，养护经费根据当月考核分数进行拨付。本考核办法考核评分细则为基本项目，每月附具体考评内容和分值。</w:t>
      </w:r>
      <w:bookmarkStart w:id="0" w:name="_GoBack"/>
      <w:bookmarkEnd w:id="0"/>
    </w:p>
    <w:p w14:paraId="63BF7C31">
      <w:pPr>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二）月考核综合得分包括中心工作小组月度考核得分和其它事项扣分。其它事项扣分包括在绿地范围内或在绿地养管过程中受到上级主管部门及上级领导批评、举报、投诉、媒体曝光等，造成负面影响，经查情况属实，统一纳入月考核。（月综合得分=中心月度考核得分-其它事项扣分）。</w:t>
      </w:r>
    </w:p>
    <w:p w14:paraId="728C7699">
      <w:pPr>
        <w:spacing w:line="360" w:lineRule="auto"/>
        <w:ind w:firstLine="482" w:firstLineChars="200"/>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三、检查考核措施</w:t>
      </w:r>
    </w:p>
    <w:p w14:paraId="6593FCAE">
      <w:pPr>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（一）实行考核制度</w:t>
      </w:r>
    </w:p>
    <w:p w14:paraId="67FB47AE">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firstLine="480" w:firstLineChars="200"/>
        <w:textAlignment w:val="baseline"/>
        <w:rPr>
          <w:rFonts w:hint="eastAsia" w:ascii="宋体" w:hAnsi="宋体" w:eastAsia="宋体" w:cs="宋体"/>
          <w:color w:val="auto"/>
          <w:spacing w:val="0"/>
          <w:position w:val="0"/>
          <w:sz w:val="24"/>
          <w:szCs w:val="24"/>
          <w:highlight w:val="none"/>
          <w:u w:val="none"/>
          <w:lang w:val="en-US" w:eastAsia="zh-CN"/>
        </w:rPr>
      </w:pPr>
      <w:r>
        <w:rPr>
          <w:rFonts w:hint="eastAsia" w:ascii="宋体" w:hAnsi="宋体" w:eastAsia="宋体" w:cs="宋体"/>
          <w:color w:val="auto"/>
          <w:spacing w:val="0"/>
          <w:position w:val="0"/>
          <w:sz w:val="24"/>
          <w:szCs w:val="24"/>
          <w:highlight w:val="none"/>
          <w:u w:val="none"/>
          <w:lang w:val="en-US" w:eastAsia="zh-CN"/>
        </w:rPr>
        <w:t>为更好地发掘单位内部潜力，充分调动养护公司的积极性，进一步提升我县公园绿化带养护管理水平，结合实际制定本办法：</w:t>
      </w:r>
    </w:p>
    <w:p w14:paraId="4046C5AE">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firstLine="480" w:firstLineChars="200"/>
        <w:textAlignment w:val="baseline"/>
        <w:rPr>
          <w:rFonts w:hint="eastAsia" w:ascii="宋体" w:hAnsi="宋体" w:eastAsia="宋体" w:cs="宋体"/>
          <w:color w:val="auto"/>
          <w:spacing w:val="0"/>
          <w:position w:val="0"/>
          <w:sz w:val="24"/>
          <w:szCs w:val="24"/>
          <w:highlight w:val="none"/>
          <w:u w:val="none"/>
          <w:lang w:val="en-US" w:eastAsia="zh-CN"/>
        </w:rPr>
      </w:pPr>
      <w:r>
        <w:rPr>
          <w:rFonts w:hint="eastAsia" w:ascii="宋体" w:hAnsi="宋体" w:eastAsia="宋体" w:cs="宋体"/>
          <w:color w:val="auto"/>
          <w:spacing w:val="0"/>
          <w:position w:val="0"/>
          <w:sz w:val="24"/>
          <w:szCs w:val="24"/>
          <w:highlight w:val="none"/>
          <w:u w:val="none"/>
          <w:lang w:val="en-US" w:eastAsia="zh-CN"/>
        </w:rPr>
        <w:t>考核标准依据《萍乡市公园管理规范》执行。</w:t>
      </w:r>
    </w:p>
    <w:p w14:paraId="3919ADE3">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firstLine="480" w:firstLineChars="200"/>
        <w:jc w:val="both"/>
        <w:textAlignment w:val="baseline"/>
        <w:rPr>
          <w:rFonts w:hint="eastAsia" w:ascii="宋体" w:hAnsi="宋体" w:eastAsia="宋体" w:cs="宋体"/>
          <w:color w:val="auto"/>
          <w:spacing w:val="0"/>
          <w:position w:val="0"/>
          <w:sz w:val="24"/>
          <w:szCs w:val="24"/>
          <w:highlight w:val="none"/>
          <w:u w:val="none"/>
          <w:lang w:val="en-US" w:eastAsia="zh-CN"/>
        </w:rPr>
      </w:pPr>
      <w:r>
        <w:rPr>
          <w:rFonts w:hint="eastAsia" w:ascii="宋体" w:hAnsi="宋体" w:eastAsia="宋体" w:cs="宋体"/>
          <w:color w:val="auto"/>
          <w:spacing w:val="0"/>
          <w:position w:val="0"/>
          <w:sz w:val="24"/>
          <w:szCs w:val="24"/>
          <w:highlight w:val="none"/>
          <w:u w:val="none"/>
          <w:lang w:val="en-US" w:eastAsia="zh-CN"/>
        </w:rPr>
        <w:t>考核实行百分制，每月考核一次，满分为100分，每月考核未达到100分的，每扣1分罚100元。</w:t>
      </w:r>
    </w:p>
    <w:p w14:paraId="3D25D302">
      <w:pPr>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（二）实行黄牌警告制</w:t>
      </w:r>
    </w:p>
    <w:p w14:paraId="6B19D14C">
      <w:pPr>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1、对二次通报的同一个问题或一次月考核不达标的项目；</w:t>
      </w:r>
    </w:p>
    <w:p w14:paraId="53ADD49F">
      <w:pPr>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2、存在问题严重，整改不力的。</w:t>
      </w:r>
    </w:p>
    <w:p w14:paraId="4F92E9FD">
      <w:pPr>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（三）建立举报投诉制</w:t>
      </w:r>
    </w:p>
    <w:p w14:paraId="61E490B9">
      <w:pPr>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在绿地范围内或绿地养管过程中凡受到举报、投诉、通报、媒体曝光、上级领导点名批评，造成负面影响，经查属实后，在当月月综合考评中按照养管承包合同约定条款执行处罚，并给予通报批评。</w:t>
      </w:r>
    </w:p>
    <w:p w14:paraId="039D0175">
      <w:pPr>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（四）出现下列情况之一的，收回中标承包人的承包权：</w:t>
      </w:r>
    </w:p>
    <w:p w14:paraId="246B1DAC">
      <w:pPr>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1、连续2次月检查考核未达标的；</w:t>
      </w:r>
    </w:p>
    <w:p w14:paraId="5AA98160">
      <w:pPr>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2、同一个工作质量问题2次未能整改或三次整改不到位的；</w:t>
      </w:r>
    </w:p>
    <w:p w14:paraId="776C8952">
      <w:pPr>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3、一年内月检查考核结果累计未达标3次的；</w:t>
      </w:r>
    </w:p>
    <w:p w14:paraId="379F03CB">
      <w:pPr>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4、因工作质量问题，被新闻媒体曝光或受到上级领导批评且整改不及时、不到位的；</w:t>
      </w:r>
    </w:p>
    <w:p w14:paraId="57AF6E2D">
      <w:pPr>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5、经举报、投诉的问题未及时整改，且情节严重，问题突出的。</w:t>
      </w:r>
    </w:p>
    <w:p w14:paraId="442BCD76">
      <w:pPr>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6、有违犯国家法律、法规行为的。</w:t>
      </w:r>
    </w:p>
    <w:p w14:paraId="4C1FD91D">
      <w:pPr>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（五）发生较重大安全事故的，收回中标承包人的承包权，同时按有关规定进行责任追究，并给予处罚。</w:t>
      </w:r>
    </w:p>
    <w:p w14:paraId="6F86437C">
      <w:pPr>
        <w:spacing w:line="360" w:lineRule="auto"/>
        <w:ind w:firstLine="482" w:firstLineChars="200"/>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四、考核评分细则（总分100分）</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688"/>
        <w:gridCol w:w="543"/>
        <w:gridCol w:w="2847"/>
        <w:gridCol w:w="525"/>
        <w:gridCol w:w="3305"/>
      </w:tblGrid>
      <w:tr w14:paraId="59B5C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7" w:type="dxa"/>
            <w:tcBorders>
              <w:top w:val="single" w:color="auto" w:sz="4" w:space="0"/>
              <w:left w:val="single" w:color="auto" w:sz="4" w:space="0"/>
              <w:bottom w:val="single" w:color="auto" w:sz="4" w:space="0"/>
              <w:right w:val="single" w:color="auto" w:sz="4" w:space="0"/>
            </w:tcBorders>
            <w:vAlign w:val="center"/>
          </w:tcPr>
          <w:p w14:paraId="0E3BC7BE">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序号</w:t>
            </w:r>
          </w:p>
        </w:tc>
        <w:tc>
          <w:tcPr>
            <w:tcW w:w="688" w:type="dxa"/>
            <w:tcBorders>
              <w:top w:val="single" w:color="auto" w:sz="4" w:space="0"/>
              <w:left w:val="nil"/>
              <w:bottom w:val="single" w:color="auto" w:sz="4" w:space="0"/>
              <w:right w:val="single" w:color="auto" w:sz="4" w:space="0"/>
            </w:tcBorders>
            <w:vAlign w:val="center"/>
          </w:tcPr>
          <w:p w14:paraId="4B7F4EA3">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分类</w:t>
            </w:r>
          </w:p>
        </w:tc>
        <w:tc>
          <w:tcPr>
            <w:tcW w:w="543" w:type="dxa"/>
            <w:tcBorders>
              <w:top w:val="single" w:color="auto" w:sz="4" w:space="0"/>
              <w:left w:val="nil"/>
              <w:bottom w:val="single" w:color="auto" w:sz="4" w:space="0"/>
              <w:right w:val="single" w:color="auto" w:sz="4" w:space="0"/>
            </w:tcBorders>
            <w:vAlign w:val="center"/>
          </w:tcPr>
          <w:p w14:paraId="2A6950A9">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条目</w:t>
            </w:r>
          </w:p>
        </w:tc>
        <w:tc>
          <w:tcPr>
            <w:tcW w:w="2847" w:type="dxa"/>
            <w:tcBorders>
              <w:top w:val="single" w:color="auto" w:sz="4" w:space="0"/>
              <w:left w:val="nil"/>
              <w:bottom w:val="single" w:color="auto" w:sz="4" w:space="0"/>
              <w:right w:val="single" w:color="auto" w:sz="4" w:space="0"/>
            </w:tcBorders>
            <w:vAlign w:val="center"/>
          </w:tcPr>
          <w:p w14:paraId="7F672477">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考核内容及管护要求</w:t>
            </w:r>
          </w:p>
        </w:tc>
        <w:tc>
          <w:tcPr>
            <w:tcW w:w="525" w:type="dxa"/>
            <w:tcBorders>
              <w:top w:val="single" w:color="auto" w:sz="4" w:space="0"/>
              <w:left w:val="nil"/>
              <w:bottom w:val="single" w:color="auto" w:sz="4" w:space="0"/>
              <w:right w:val="single" w:color="auto" w:sz="4" w:space="0"/>
            </w:tcBorders>
            <w:vAlign w:val="center"/>
          </w:tcPr>
          <w:p w14:paraId="6C8DA505">
            <w:pPr>
              <w:spacing w:line="260" w:lineRule="exact"/>
              <w:ind w:left="0" w:leftChars="-59" w:right="-97" w:rightChars="-46" w:hanging="124" w:hangingChars="63"/>
              <w:jc w:val="center"/>
              <w:rPr>
                <w:rFonts w:hint="eastAsia" w:ascii="宋体" w:hAnsi="宋体" w:eastAsia="宋体" w:cs="宋体"/>
                <w:color w:val="auto"/>
                <w:spacing w:val="-6"/>
              </w:rPr>
            </w:pPr>
            <w:r>
              <w:rPr>
                <w:rFonts w:hint="eastAsia" w:ascii="宋体" w:hAnsi="宋体" w:eastAsia="宋体" w:cs="宋体"/>
                <w:color w:val="auto"/>
                <w:spacing w:val="-6"/>
              </w:rPr>
              <w:t>标准</w:t>
            </w:r>
          </w:p>
          <w:p w14:paraId="5564C21D">
            <w:pPr>
              <w:spacing w:line="260" w:lineRule="exact"/>
              <w:ind w:left="0" w:leftChars="-59" w:right="-97" w:rightChars="-46" w:hanging="124" w:hangingChars="63"/>
              <w:jc w:val="center"/>
              <w:rPr>
                <w:rFonts w:hint="eastAsia" w:ascii="宋体" w:hAnsi="宋体" w:eastAsia="宋体" w:cs="宋体"/>
                <w:color w:val="auto"/>
                <w:spacing w:val="-6"/>
              </w:rPr>
            </w:pPr>
            <w:r>
              <w:rPr>
                <w:rFonts w:hint="eastAsia" w:ascii="宋体" w:hAnsi="宋体" w:eastAsia="宋体" w:cs="宋体"/>
                <w:color w:val="auto"/>
                <w:spacing w:val="-6"/>
              </w:rPr>
              <w:t>得分</w:t>
            </w:r>
          </w:p>
        </w:tc>
        <w:tc>
          <w:tcPr>
            <w:tcW w:w="3305" w:type="dxa"/>
            <w:tcBorders>
              <w:top w:val="single" w:color="auto" w:sz="4" w:space="0"/>
              <w:left w:val="nil"/>
              <w:bottom w:val="single" w:color="auto" w:sz="4" w:space="0"/>
              <w:right w:val="single" w:color="auto" w:sz="4" w:space="0"/>
            </w:tcBorders>
            <w:vAlign w:val="center"/>
          </w:tcPr>
          <w:p w14:paraId="4E8628C6">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扣分细则</w:t>
            </w:r>
          </w:p>
        </w:tc>
      </w:tr>
      <w:tr w14:paraId="5C5D0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tcBorders>
              <w:top w:val="nil"/>
              <w:left w:val="single" w:color="auto" w:sz="4" w:space="0"/>
              <w:bottom w:val="single" w:color="auto" w:sz="4" w:space="0"/>
              <w:right w:val="single" w:color="auto" w:sz="4" w:space="0"/>
            </w:tcBorders>
            <w:vAlign w:val="center"/>
          </w:tcPr>
          <w:p w14:paraId="0D57B5EE">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1</w:t>
            </w:r>
          </w:p>
        </w:tc>
        <w:tc>
          <w:tcPr>
            <w:tcW w:w="688" w:type="dxa"/>
            <w:tcBorders>
              <w:top w:val="nil"/>
              <w:left w:val="nil"/>
              <w:bottom w:val="single" w:color="auto" w:sz="4" w:space="0"/>
              <w:right w:val="single" w:color="auto" w:sz="4" w:space="0"/>
            </w:tcBorders>
            <w:vAlign w:val="center"/>
          </w:tcPr>
          <w:p w14:paraId="335A7E76">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卫</w:t>
            </w:r>
          </w:p>
          <w:p w14:paraId="52EFB83C">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生</w:t>
            </w:r>
          </w:p>
          <w:p w14:paraId="4214BBBB">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保</w:t>
            </w:r>
          </w:p>
          <w:p w14:paraId="0CF9A7CD">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洁</w:t>
            </w:r>
          </w:p>
          <w:p w14:paraId="7B9FCE2C">
            <w:pPr>
              <w:spacing w:line="260" w:lineRule="exact"/>
              <w:ind w:left="1" w:leftChars="-50" w:right="-92" w:rightChars="-44" w:hanging="106" w:hangingChars="54"/>
              <w:jc w:val="center"/>
              <w:rPr>
                <w:rFonts w:hint="eastAsia" w:ascii="宋体" w:hAnsi="宋体" w:eastAsia="宋体" w:cs="宋体"/>
                <w:color w:val="auto"/>
                <w:spacing w:val="-6"/>
              </w:rPr>
            </w:pPr>
            <w:r>
              <w:rPr>
                <w:rFonts w:hint="eastAsia" w:ascii="宋体" w:hAnsi="宋体" w:eastAsia="宋体" w:cs="宋体"/>
                <w:color w:val="auto"/>
                <w:spacing w:val="-6"/>
              </w:rPr>
              <w:t>(20分)</w:t>
            </w:r>
          </w:p>
        </w:tc>
        <w:tc>
          <w:tcPr>
            <w:tcW w:w="543" w:type="dxa"/>
            <w:tcBorders>
              <w:top w:val="single" w:color="auto" w:sz="4" w:space="0"/>
              <w:left w:val="nil"/>
              <w:bottom w:val="single" w:color="auto" w:sz="4" w:space="0"/>
              <w:right w:val="single" w:color="auto" w:sz="4" w:space="0"/>
            </w:tcBorders>
            <w:vAlign w:val="center"/>
          </w:tcPr>
          <w:p w14:paraId="7C3E6768">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1</w:t>
            </w:r>
          </w:p>
        </w:tc>
        <w:tc>
          <w:tcPr>
            <w:tcW w:w="2847" w:type="dxa"/>
            <w:tcBorders>
              <w:top w:val="single" w:color="auto" w:sz="4" w:space="0"/>
              <w:left w:val="nil"/>
              <w:bottom w:val="single" w:color="auto" w:sz="4" w:space="0"/>
              <w:right w:val="single" w:color="auto" w:sz="4" w:space="0"/>
            </w:tcBorders>
            <w:vAlign w:val="center"/>
          </w:tcPr>
          <w:p w14:paraId="710BB7E0">
            <w:pPr>
              <w:spacing w:line="260" w:lineRule="exact"/>
              <w:rPr>
                <w:rFonts w:hint="eastAsia" w:ascii="宋体" w:hAnsi="宋体" w:eastAsia="宋体" w:cs="宋体"/>
                <w:color w:val="auto"/>
                <w:spacing w:val="-6"/>
              </w:rPr>
            </w:pPr>
            <w:r>
              <w:rPr>
                <w:rFonts w:hint="eastAsia" w:ascii="宋体" w:hAnsi="宋体" w:eastAsia="宋体" w:cs="宋体"/>
                <w:color w:val="auto"/>
                <w:spacing w:val="-6"/>
              </w:rPr>
              <w:t>每天全天候保洁，及时清理绿地、广场、假山等处杂草</w:t>
            </w:r>
            <w:r>
              <w:rPr>
                <w:rFonts w:hint="eastAsia" w:ascii="宋体" w:hAnsi="宋体" w:eastAsia="宋体" w:cs="宋体"/>
                <w:color w:val="auto"/>
                <w:spacing w:val="-6"/>
                <w:lang w:eastAsia="zh-CN"/>
              </w:rPr>
              <w:t>、绿化垃圾</w:t>
            </w:r>
            <w:r>
              <w:rPr>
                <w:rFonts w:hint="eastAsia" w:ascii="宋体" w:hAnsi="宋体" w:eastAsia="宋体" w:cs="宋体"/>
                <w:color w:val="auto"/>
                <w:spacing w:val="-6"/>
              </w:rPr>
              <w:t>。</w:t>
            </w:r>
          </w:p>
        </w:tc>
        <w:tc>
          <w:tcPr>
            <w:tcW w:w="525" w:type="dxa"/>
            <w:tcBorders>
              <w:top w:val="single" w:color="auto" w:sz="4" w:space="0"/>
              <w:left w:val="nil"/>
              <w:bottom w:val="single" w:color="auto" w:sz="4" w:space="0"/>
              <w:right w:val="single" w:color="auto" w:sz="4" w:space="0"/>
            </w:tcBorders>
            <w:vAlign w:val="center"/>
          </w:tcPr>
          <w:p w14:paraId="15168CA7">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10</w:t>
            </w:r>
          </w:p>
        </w:tc>
        <w:tc>
          <w:tcPr>
            <w:tcW w:w="3305" w:type="dxa"/>
            <w:tcBorders>
              <w:top w:val="single" w:color="auto" w:sz="4" w:space="0"/>
              <w:left w:val="nil"/>
              <w:bottom w:val="single" w:color="auto" w:sz="4" w:space="0"/>
              <w:right w:val="single" w:color="auto" w:sz="4" w:space="0"/>
            </w:tcBorders>
            <w:vAlign w:val="center"/>
          </w:tcPr>
          <w:p w14:paraId="55FC65DD">
            <w:pPr>
              <w:spacing w:line="260" w:lineRule="exact"/>
              <w:rPr>
                <w:rFonts w:hint="eastAsia" w:ascii="宋体" w:hAnsi="宋体" w:eastAsia="宋体" w:cs="宋体"/>
                <w:color w:val="auto"/>
                <w:spacing w:val="-6"/>
              </w:rPr>
            </w:pPr>
            <w:r>
              <w:rPr>
                <w:rFonts w:hint="eastAsia" w:ascii="宋体" w:hAnsi="宋体" w:eastAsia="宋体" w:cs="宋体"/>
                <w:color w:val="auto"/>
                <w:spacing w:val="-6"/>
              </w:rPr>
              <w:t>发现有杂草，扣1分/处；</w:t>
            </w:r>
            <w:r>
              <w:rPr>
                <w:rFonts w:hint="eastAsia" w:ascii="宋体" w:hAnsi="宋体" w:eastAsia="宋体" w:cs="宋体"/>
                <w:color w:val="auto"/>
                <w:spacing w:val="-6"/>
                <w:lang w:eastAsia="zh-CN"/>
              </w:rPr>
              <w:t>绿化</w:t>
            </w:r>
            <w:r>
              <w:rPr>
                <w:rFonts w:hint="eastAsia" w:ascii="宋体" w:hAnsi="宋体" w:eastAsia="宋体" w:cs="宋体"/>
                <w:color w:val="auto"/>
                <w:spacing w:val="-6"/>
              </w:rPr>
              <w:t>垃圾拾后乱放扣1分/处；当天未及时清运扣2分。</w:t>
            </w:r>
          </w:p>
        </w:tc>
      </w:tr>
      <w:tr w14:paraId="15D4F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restart"/>
            <w:tcBorders>
              <w:top w:val="nil"/>
              <w:left w:val="single" w:color="auto" w:sz="4" w:space="0"/>
              <w:bottom w:val="single" w:color="auto" w:sz="4" w:space="0"/>
              <w:right w:val="single" w:color="auto" w:sz="4" w:space="0"/>
            </w:tcBorders>
            <w:vAlign w:val="center"/>
          </w:tcPr>
          <w:p w14:paraId="45BD7759">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2</w:t>
            </w:r>
          </w:p>
        </w:tc>
        <w:tc>
          <w:tcPr>
            <w:tcW w:w="688" w:type="dxa"/>
            <w:vMerge w:val="restart"/>
            <w:tcBorders>
              <w:top w:val="nil"/>
              <w:left w:val="nil"/>
              <w:bottom w:val="single" w:color="auto" w:sz="4" w:space="0"/>
              <w:right w:val="single" w:color="auto" w:sz="4" w:space="0"/>
            </w:tcBorders>
            <w:vAlign w:val="center"/>
          </w:tcPr>
          <w:p w14:paraId="1C56AC8C">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松</w:t>
            </w:r>
          </w:p>
          <w:p w14:paraId="40D156F4">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土</w:t>
            </w:r>
          </w:p>
          <w:p w14:paraId="5A77E46D">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除</w:t>
            </w:r>
          </w:p>
          <w:p w14:paraId="4229E432">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草</w:t>
            </w:r>
          </w:p>
          <w:p w14:paraId="65F40B1D">
            <w:pPr>
              <w:spacing w:line="260" w:lineRule="exact"/>
              <w:ind w:left="1" w:leftChars="-50" w:right="-78" w:rightChars="-37" w:hanging="106" w:hangingChars="54"/>
              <w:jc w:val="center"/>
              <w:rPr>
                <w:rFonts w:hint="eastAsia" w:ascii="宋体" w:hAnsi="宋体" w:eastAsia="宋体" w:cs="宋体"/>
                <w:color w:val="auto"/>
                <w:spacing w:val="-6"/>
              </w:rPr>
            </w:pPr>
            <w:r>
              <w:rPr>
                <w:rFonts w:hint="eastAsia" w:ascii="宋体" w:hAnsi="宋体" w:eastAsia="宋体" w:cs="宋体"/>
                <w:color w:val="auto"/>
                <w:spacing w:val="-6"/>
              </w:rPr>
              <w:t>（8分）</w:t>
            </w:r>
          </w:p>
        </w:tc>
        <w:tc>
          <w:tcPr>
            <w:tcW w:w="543" w:type="dxa"/>
            <w:tcBorders>
              <w:top w:val="single" w:color="auto" w:sz="4" w:space="0"/>
              <w:left w:val="nil"/>
              <w:bottom w:val="single" w:color="auto" w:sz="4" w:space="0"/>
              <w:right w:val="single" w:color="auto" w:sz="4" w:space="0"/>
            </w:tcBorders>
            <w:vAlign w:val="center"/>
          </w:tcPr>
          <w:p w14:paraId="2BAB1E2E">
            <w:pPr>
              <w:spacing w:line="260" w:lineRule="exact"/>
              <w:jc w:val="center"/>
              <w:rPr>
                <w:rFonts w:hint="eastAsia" w:ascii="宋体" w:hAnsi="宋体" w:eastAsia="宋体" w:cs="宋体"/>
                <w:color w:val="auto"/>
                <w:spacing w:val="-6"/>
                <w:lang w:eastAsia="zh-CN"/>
              </w:rPr>
            </w:pPr>
            <w:r>
              <w:rPr>
                <w:rFonts w:hint="eastAsia" w:ascii="宋体" w:hAnsi="宋体" w:eastAsia="宋体" w:cs="宋体"/>
                <w:color w:val="auto"/>
                <w:spacing w:val="-6"/>
                <w:lang w:val="en-US" w:eastAsia="zh-CN"/>
              </w:rPr>
              <w:t>2</w:t>
            </w:r>
          </w:p>
        </w:tc>
        <w:tc>
          <w:tcPr>
            <w:tcW w:w="2847" w:type="dxa"/>
            <w:tcBorders>
              <w:top w:val="single" w:color="auto" w:sz="4" w:space="0"/>
              <w:left w:val="nil"/>
              <w:bottom w:val="single" w:color="auto" w:sz="4" w:space="0"/>
              <w:right w:val="single" w:color="auto" w:sz="4" w:space="0"/>
            </w:tcBorders>
            <w:vAlign w:val="center"/>
          </w:tcPr>
          <w:p w14:paraId="58E89D9E">
            <w:pPr>
              <w:spacing w:line="260" w:lineRule="exact"/>
              <w:rPr>
                <w:rFonts w:hint="eastAsia" w:ascii="宋体" w:hAnsi="宋体" w:eastAsia="宋体" w:cs="宋体"/>
                <w:color w:val="auto"/>
                <w:spacing w:val="-6"/>
              </w:rPr>
            </w:pPr>
            <w:r>
              <w:rPr>
                <w:rFonts w:hint="eastAsia" w:ascii="宋体" w:hAnsi="宋体" w:eastAsia="宋体" w:cs="宋体"/>
                <w:color w:val="auto"/>
                <w:spacing w:val="-6"/>
              </w:rPr>
              <w:t>绿地及时松土除草，保持土壤疏松，松土深度不伤根系。</w:t>
            </w:r>
          </w:p>
        </w:tc>
        <w:tc>
          <w:tcPr>
            <w:tcW w:w="525" w:type="dxa"/>
            <w:tcBorders>
              <w:top w:val="single" w:color="auto" w:sz="4" w:space="0"/>
              <w:left w:val="nil"/>
              <w:bottom w:val="single" w:color="auto" w:sz="4" w:space="0"/>
              <w:right w:val="single" w:color="auto" w:sz="4" w:space="0"/>
            </w:tcBorders>
            <w:vAlign w:val="center"/>
          </w:tcPr>
          <w:p w14:paraId="7073E5A8">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2</w:t>
            </w:r>
          </w:p>
        </w:tc>
        <w:tc>
          <w:tcPr>
            <w:tcW w:w="3305" w:type="dxa"/>
            <w:tcBorders>
              <w:top w:val="single" w:color="auto" w:sz="4" w:space="0"/>
              <w:left w:val="nil"/>
              <w:bottom w:val="single" w:color="auto" w:sz="4" w:space="0"/>
              <w:right w:val="single" w:color="auto" w:sz="4" w:space="0"/>
            </w:tcBorders>
            <w:vAlign w:val="center"/>
          </w:tcPr>
          <w:p w14:paraId="79C45F6D">
            <w:pPr>
              <w:spacing w:line="260" w:lineRule="exact"/>
              <w:rPr>
                <w:rFonts w:hint="eastAsia" w:ascii="宋体" w:hAnsi="宋体" w:eastAsia="宋体" w:cs="宋体"/>
                <w:color w:val="auto"/>
                <w:spacing w:val="-6"/>
              </w:rPr>
            </w:pPr>
            <w:r>
              <w:rPr>
                <w:rFonts w:hint="eastAsia" w:ascii="宋体" w:hAnsi="宋体" w:eastAsia="宋体" w:cs="宋体"/>
                <w:color w:val="auto"/>
                <w:spacing w:val="-6"/>
              </w:rPr>
              <w:t>树穴、地被土壤板结，长期不疏松，扣1分/处。</w:t>
            </w:r>
          </w:p>
        </w:tc>
      </w:tr>
      <w:tr w14:paraId="1BDEC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continue"/>
            <w:tcBorders>
              <w:top w:val="nil"/>
              <w:left w:val="single" w:color="auto" w:sz="4" w:space="0"/>
              <w:bottom w:val="single" w:color="auto" w:sz="4" w:space="0"/>
              <w:right w:val="single" w:color="auto" w:sz="4" w:space="0"/>
            </w:tcBorders>
            <w:vAlign w:val="center"/>
          </w:tcPr>
          <w:p w14:paraId="7E05656E">
            <w:pPr>
              <w:widowControl/>
              <w:jc w:val="left"/>
              <w:rPr>
                <w:rFonts w:hint="eastAsia" w:ascii="宋体" w:hAnsi="宋体" w:eastAsia="宋体" w:cs="宋体"/>
                <w:color w:val="auto"/>
                <w:spacing w:val="-6"/>
              </w:rPr>
            </w:pPr>
          </w:p>
        </w:tc>
        <w:tc>
          <w:tcPr>
            <w:tcW w:w="688" w:type="dxa"/>
            <w:vMerge w:val="continue"/>
            <w:tcBorders>
              <w:top w:val="nil"/>
              <w:left w:val="nil"/>
              <w:bottom w:val="single" w:color="auto" w:sz="4" w:space="0"/>
              <w:right w:val="single" w:color="auto" w:sz="4" w:space="0"/>
            </w:tcBorders>
            <w:vAlign w:val="center"/>
          </w:tcPr>
          <w:p w14:paraId="7034B97B">
            <w:pPr>
              <w:widowControl/>
              <w:jc w:val="left"/>
              <w:rPr>
                <w:rFonts w:hint="eastAsia" w:ascii="宋体" w:hAnsi="宋体" w:eastAsia="宋体" w:cs="宋体"/>
                <w:color w:val="auto"/>
                <w:spacing w:val="-6"/>
              </w:rPr>
            </w:pPr>
          </w:p>
        </w:tc>
        <w:tc>
          <w:tcPr>
            <w:tcW w:w="543" w:type="dxa"/>
            <w:tcBorders>
              <w:top w:val="single" w:color="auto" w:sz="4" w:space="0"/>
              <w:left w:val="nil"/>
              <w:bottom w:val="single" w:color="auto" w:sz="4" w:space="0"/>
              <w:right w:val="single" w:color="auto" w:sz="4" w:space="0"/>
            </w:tcBorders>
            <w:vAlign w:val="center"/>
          </w:tcPr>
          <w:p w14:paraId="28020B1D">
            <w:pPr>
              <w:spacing w:line="260" w:lineRule="exact"/>
              <w:jc w:val="center"/>
              <w:rPr>
                <w:rFonts w:hint="eastAsia" w:ascii="宋体" w:hAnsi="宋体" w:eastAsia="宋体" w:cs="宋体"/>
                <w:color w:val="auto"/>
                <w:spacing w:val="-6"/>
                <w:lang w:eastAsia="zh-CN"/>
              </w:rPr>
            </w:pPr>
            <w:r>
              <w:rPr>
                <w:rFonts w:hint="eastAsia" w:ascii="宋体" w:hAnsi="宋体" w:eastAsia="宋体" w:cs="宋体"/>
                <w:color w:val="auto"/>
                <w:spacing w:val="-6"/>
                <w:lang w:val="en-US" w:eastAsia="zh-CN"/>
              </w:rPr>
              <w:t>3</w:t>
            </w:r>
          </w:p>
        </w:tc>
        <w:tc>
          <w:tcPr>
            <w:tcW w:w="2847" w:type="dxa"/>
            <w:tcBorders>
              <w:top w:val="single" w:color="auto" w:sz="4" w:space="0"/>
              <w:left w:val="nil"/>
              <w:bottom w:val="single" w:color="auto" w:sz="4" w:space="0"/>
              <w:right w:val="single" w:color="auto" w:sz="4" w:space="0"/>
            </w:tcBorders>
            <w:vAlign w:val="center"/>
          </w:tcPr>
          <w:p w14:paraId="2E4C8898">
            <w:pPr>
              <w:spacing w:line="260" w:lineRule="exact"/>
              <w:rPr>
                <w:rFonts w:hint="eastAsia" w:ascii="宋体" w:hAnsi="宋体" w:eastAsia="宋体" w:cs="宋体"/>
                <w:color w:val="auto"/>
                <w:spacing w:val="-6"/>
              </w:rPr>
            </w:pPr>
            <w:r>
              <w:rPr>
                <w:rFonts w:hint="eastAsia" w:ascii="宋体" w:hAnsi="宋体" w:eastAsia="宋体" w:cs="宋体"/>
                <w:color w:val="auto"/>
                <w:spacing w:val="-6"/>
              </w:rPr>
              <w:t>树穴整修，草坪内树穴与绿篱及时切边，草坪与树木、绿篱、草花应有分隔沟。</w:t>
            </w:r>
          </w:p>
        </w:tc>
        <w:tc>
          <w:tcPr>
            <w:tcW w:w="525" w:type="dxa"/>
            <w:tcBorders>
              <w:top w:val="single" w:color="auto" w:sz="4" w:space="0"/>
              <w:left w:val="nil"/>
              <w:bottom w:val="single" w:color="auto" w:sz="4" w:space="0"/>
              <w:right w:val="single" w:color="auto" w:sz="4" w:space="0"/>
            </w:tcBorders>
            <w:vAlign w:val="center"/>
          </w:tcPr>
          <w:p w14:paraId="1F289153">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4</w:t>
            </w:r>
          </w:p>
        </w:tc>
        <w:tc>
          <w:tcPr>
            <w:tcW w:w="3305" w:type="dxa"/>
            <w:tcBorders>
              <w:top w:val="single" w:color="auto" w:sz="4" w:space="0"/>
              <w:left w:val="nil"/>
              <w:bottom w:val="single" w:color="auto" w:sz="4" w:space="0"/>
              <w:right w:val="single" w:color="auto" w:sz="4" w:space="0"/>
            </w:tcBorders>
            <w:vAlign w:val="center"/>
          </w:tcPr>
          <w:p w14:paraId="4C6B4C43">
            <w:pPr>
              <w:spacing w:line="260" w:lineRule="exact"/>
              <w:rPr>
                <w:rFonts w:hint="eastAsia" w:ascii="宋体" w:hAnsi="宋体" w:eastAsia="宋体" w:cs="宋体"/>
                <w:color w:val="auto"/>
                <w:spacing w:val="-6"/>
              </w:rPr>
            </w:pPr>
            <w:r>
              <w:rPr>
                <w:rFonts w:hint="eastAsia" w:ascii="宋体" w:hAnsi="宋体" w:eastAsia="宋体" w:cs="宋体"/>
                <w:color w:val="auto"/>
                <w:spacing w:val="-6"/>
              </w:rPr>
              <w:t>树穴、绿篱等不及时切边，草坪与树木、绿篱、草花等无明显分隔沟1分/处。</w:t>
            </w:r>
          </w:p>
        </w:tc>
      </w:tr>
      <w:tr w14:paraId="2F6CE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continue"/>
            <w:tcBorders>
              <w:top w:val="nil"/>
              <w:left w:val="single" w:color="auto" w:sz="4" w:space="0"/>
              <w:bottom w:val="single" w:color="auto" w:sz="4" w:space="0"/>
              <w:right w:val="single" w:color="auto" w:sz="4" w:space="0"/>
            </w:tcBorders>
            <w:vAlign w:val="center"/>
          </w:tcPr>
          <w:p w14:paraId="3D03E26F">
            <w:pPr>
              <w:widowControl/>
              <w:jc w:val="left"/>
              <w:rPr>
                <w:rFonts w:hint="eastAsia" w:ascii="宋体" w:hAnsi="宋体" w:eastAsia="宋体" w:cs="宋体"/>
                <w:color w:val="auto"/>
                <w:spacing w:val="-6"/>
              </w:rPr>
            </w:pPr>
          </w:p>
        </w:tc>
        <w:tc>
          <w:tcPr>
            <w:tcW w:w="688" w:type="dxa"/>
            <w:vMerge w:val="continue"/>
            <w:tcBorders>
              <w:top w:val="nil"/>
              <w:left w:val="nil"/>
              <w:bottom w:val="single" w:color="auto" w:sz="4" w:space="0"/>
              <w:right w:val="single" w:color="auto" w:sz="4" w:space="0"/>
            </w:tcBorders>
            <w:vAlign w:val="center"/>
          </w:tcPr>
          <w:p w14:paraId="773B5CFA">
            <w:pPr>
              <w:widowControl/>
              <w:jc w:val="left"/>
              <w:rPr>
                <w:rFonts w:hint="eastAsia" w:ascii="宋体" w:hAnsi="宋体" w:eastAsia="宋体" w:cs="宋体"/>
                <w:color w:val="auto"/>
                <w:spacing w:val="-6"/>
              </w:rPr>
            </w:pPr>
          </w:p>
        </w:tc>
        <w:tc>
          <w:tcPr>
            <w:tcW w:w="543" w:type="dxa"/>
            <w:tcBorders>
              <w:top w:val="single" w:color="auto" w:sz="4" w:space="0"/>
              <w:left w:val="nil"/>
              <w:bottom w:val="single" w:color="auto" w:sz="4" w:space="0"/>
              <w:right w:val="single" w:color="auto" w:sz="4" w:space="0"/>
            </w:tcBorders>
            <w:vAlign w:val="center"/>
          </w:tcPr>
          <w:p w14:paraId="3898296D">
            <w:pPr>
              <w:spacing w:line="260" w:lineRule="exact"/>
              <w:jc w:val="center"/>
              <w:rPr>
                <w:rFonts w:hint="eastAsia" w:ascii="宋体" w:hAnsi="宋体" w:eastAsia="宋体" w:cs="宋体"/>
                <w:color w:val="auto"/>
                <w:spacing w:val="-6"/>
                <w:lang w:eastAsia="zh-CN"/>
              </w:rPr>
            </w:pPr>
            <w:r>
              <w:rPr>
                <w:rFonts w:hint="eastAsia" w:ascii="宋体" w:hAnsi="宋体" w:eastAsia="宋体" w:cs="宋体"/>
                <w:color w:val="auto"/>
                <w:spacing w:val="-6"/>
                <w:lang w:val="en-US" w:eastAsia="zh-CN"/>
              </w:rPr>
              <w:t>4</w:t>
            </w:r>
          </w:p>
        </w:tc>
        <w:tc>
          <w:tcPr>
            <w:tcW w:w="2847" w:type="dxa"/>
            <w:tcBorders>
              <w:top w:val="single" w:color="auto" w:sz="4" w:space="0"/>
              <w:left w:val="nil"/>
              <w:bottom w:val="single" w:color="auto" w:sz="4" w:space="0"/>
              <w:right w:val="single" w:color="auto" w:sz="4" w:space="0"/>
            </w:tcBorders>
            <w:vAlign w:val="center"/>
          </w:tcPr>
          <w:p w14:paraId="74001878">
            <w:pPr>
              <w:spacing w:line="260" w:lineRule="exact"/>
              <w:rPr>
                <w:rFonts w:hint="eastAsia" w:ascii="宋体" w:hAnsi="宋体" w:eastAsia="宋体" w:cs="宋体"/>
                <w:color w:val="auto"/>
                <w:spacing w:val="-6"/>
              </w:rPr>
            </w:pPr>
            <w:r>
              <w:rPr>
                <w:rFonts w:hint="eastAsia" w:ascii="宋体" w:hAnsi="宋体" w:eastAsia="宋体" w:cs="宋体"/>
                <w:color w:val="auto"/>
                <w:spacing w:val="-6"/>
              </w:rPr>
              <w:t>经同意使用除草剂需保证园林植物的安全，确保不发生药害。</w:t>
            </w:r>
          </w:p>
        </w:tc>
        <w:tc>
          <w:tcPr>
            <w:tcW w:w="525" w:type="dxa"/>
            <w:tcBorders>
              <w:top w:val="single" w:color="auto" w:sz="4" w:space="0"/>
              <w:left w:val="nil"/>
              <w:bottom w:val="single" w:color="auto" w:sz="4" w:space="0"/>
              <w:right w:val="single" w:color="auto" w:sz="4" w:space="0"/>
            </w:tcBorders>
            <w:vAlign w:val="center"/>
          </w:tcPr>
          <w:p w14:paraId="69533A5F">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2</w:t>
            </w:r>
          </w:p>
        </w:tc>
        <w:tc>
          <w:tcPr>
            <w:tcW w:w="3305" w:type="dxa"/>
            <w:tcBorders>
              <w:top w:val="single" w:color="auto" w:sz="4" w:space="0"/>
              <w:left w:val="nil"/>
              <w:bottom w:val="single" w:color="auto" w:sz="4" w:space="0"/>
              <w:right w:val="single" w:color="auto" w:sz="4" w:space="0"/>
            </w:tcBorders>
            <w:vAlign w:val="center"/>
          </w:tcPr>
          <w:p w14:paraId="45925F75">
            <w:pPr>
              <w:spacing w:line="260" w:lineRule="exact"/>
              <w:rPr>
                <w:rFonts w:hint="eastAsia" w:ascii="宋体" w:hAnsi="宋体" w:eastAsia="宋体" w:cs="宋体"/>
                <w:color w:val="auto"/>
                <w:spacing w:val="-6"/>
              </w:rPr>
            </w:pPr>
            <w:r>
              <w:rPr>
                <w:rFonts w:hint="eastAsia" w:ascii="宋体" w:hAnsi="宋体" w:eastAsia="宋体" w:cs="宋体"/>
                <w:color w:val="auto"/>
                <w:spacing w:val="-6"/>
              </w:rPr>
              <w:t>发现1处要害不得分。</w:t>
            </w:r>
          </w:p>
        </w:tc>
      </w:tr>
      <w:tr w14:paraId="00919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restart"/>
            <w:tcBorders>
              <w:top w:val="nil"/>
              <w:left w:val="single" w:color="auto" w:sz="4" w:space="0"/>
              <w:bottom w:val="single" w:color="auto" w:sz="4" w:space="0"/>
              <w:right w:val="single" w:color="auto" w:sz="4" w:space="0"/>
            </w:tcBorders>
            <w:vAlign w:val="center"/>
          </w:tcPr>
          <w:p w14:paraId="5CFE6795">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3</w:t>
            </w:r>
          </w:p>
        </w:tc>
        <w:tc>
          <w:tcPr>
            <w:tcW w:w="688" w:type="dxa"/>
            <w:vMerge w:val="restart"/>
            <w:tcBorders>
              <w:top w:val="nil"/>
              <w:left w:val="nil"/>
              <w:bottom w:val="single" w:color="auto" w:sz="4" w:space="0"/>
              <w:right w:val="single" w:color="auto" w:sz="4" w:space="0"/>
            </w:tcBorders>
            <w:vAlign w:val="center"/>
          </w:tcPr>
          <w:p w14:paraId="15E16409">
            <w:pPr>
              <w:spacing w:line="260" w:lineRule="exact"/>
              <w:ind w:left="1" w:leftChars="-50" w:right="-120" w:rightChars="-57" w:hanging="106" w:hangingChars="54"/>
              <w:jc w:val="center"/>
              <w:rPr>
                <w:rFonts w:hint="eastAsia" w:ascii="宋体" w:hAnsi="宋体" w:eastAsia="宋体" w:cs="宋体"/>
                <w:color w:val="auto"/>
                <w:spacing w:val="-6"/>
              </w:rPr>
            </w:pPr>
            <w:r>
              <w:rPr>
                <w:rFonts w:hint="eastAsia" w:ascii="宋体" w:hAnsi="宋体" w:eastAsia="宋体" w:cs="宋体"/>
                <w:color w:val="auto"/>
                <w:spacing w:val="-6"/>
              </w:rPr>
              <w:t>浇</w:t>
            </w:r>
          </w:p>
          <w:p w14:paraId="71930B38">
            <w:pPr>
              <w:spacing w:line="260" w:lineRule="exact"/>
              <w:ind w:left="1" w:leftChars="-50" w:right="-120" w:rightChars="-57" w:hanging="106" w:hangingChars="54"/>
              <w:jc w:val="center"/>
              <w:rPr>
                <w:rFonts w:hint="eastAsia" w:ascii="宋体" w:hAnsi="宋体" w:eastAsia="宋体" w:cs="宋体"/>
                <w:color w:val="auto"/>
                <w:spacing w:val="-6"/>
              </w:rPr>
            </w:pPr>
            <w:r>
              <w:rPr>
                <w:rFonts w:hint="eastAsia" w:ascii="宋体" w:hAnsi="宋体" w:eastAsia="宋体" w:cs="宋体"/>
                <w:color w:val="auto"/>
                <w:spacing w:val="-6"/>
              </w:rPr>
              <w:t>灌</w:t>
            </w:r>
          </w:p>
          <w:p w14:paraId="7F602DFD">
            <w:pPr>
              <w:spacing w:line="260" w:lineRule="exact"/>
              <w:ind w:left="1" w:leftChars="-50" w:right="-120" w:rightChars="-57" w:hanging="106" w:hangingChars="54"/>
              <w:jc w:val="center"/>
              <w:rPr>
                <w:rFonts w:hint="eastAsia" w:ascii="宋体" w:hAnsi="宋体" w:eastAsia="宋体" w:cs="宋体"/>
                <w:color w:val="auto"/>
                <w:spacing w:val="-6"/>
              </w:rPr>
            </w:pPr>
            <w:r>
              <w:rPr>
                <w:rFonts w:hint="eastAsia" w:ascii="宋体" w:hAnsi="宋体" w:eastAsia="宋体" w:cs="宋体"/>
                <w:color w:val="auto"/>
                <w:spacing w:val="-6"/>
              </w:rPr>
              <w:t>排</w:t>
            </w:r>
          </w:p>
          <w:p w14:paraId="1084D966">
            <w:pPr>
              <w:spacing w:line="260" w:lineRule="exact"/>
              <w:ind w:left="1" w:leftChars="-50" w:right="-120" w:rightChars="-57" w:hanging="106" w:hangingChars="54"/>
              <w:jc w:val="center"/>
              <w:rPr>
                <w:rFonts w:hint="eastAsia" w:ascii="宋体" w:hAnsi="宋体" w:eastAsia="宋体" w:cs="宋体"/>
                <w:color w:val="auto"/>
                <w:spacing w:val="-6"/>
              </w:rPr>
            </w:pPr>
            <w:r>
              <w:rPr>
                <w:rFonts w:hint="eastAsia" w:ascii="宋体" w:hAnsi="宋体" w:eastAsia="宋体" w:cs="宋体"/>
                <w:color w:val="auto"/>
                <w:spacing w:val="-6"/>
              </w:rPr>
              <w:t>水</w:t>
            </w:r>
          </w:p>
          <w:p w14:paraId="23CFEC44">
            <w:pPr>
              <w:spacing w:line="260" w:lineRule="exact"/>
              <w:ind w:left="1" w:leftChars="-50" w:right="-120" w:rightChars="-57" w:hanging="106" w:hangingChars="54"/>
              <w:jc w:val="center"/>
              <w:rPr>
                <w:rFonts w:hint="eastAsia" w:ascii="宋体" w:hAnsi="宋体" w:eastAsia="宋体" w:cs="宋体"/>
                <w:color w:val="auto"/>
                <w:spacing w:val="-6"/>
              </w:rPr>
            </w:pPr>
            <w:r>
              <w:rPr>
                <w:rFonts w:hint="eastAsia" w:ascii="宋体" w:hAnsi="宋体" w:eastAsia="宋体" w:cs="宋体"/>
                <w:color w:val="auto"/>
                <w:spacing w:val="-6"/>
              </w:rPr>
              <w:t>（8分）</w:t>
            </w:r>
          </w:p>
        </w:tc>
        <w:tc>
          <w:tcPr>
            <w:tcW w:w="543" w:type="dxa"/>
            <w:tcBorders>
              <w:top w:val="single" w:color="auto" w:sz="4" w:space="0"/>
              <w:left w:val="nil"/>
              <w:bottom w:val="single" w:color="auto" w:sz="4" w:space="0"/>
              <w:right w:val="single" w:color="auto" w:sz="4" w:space="0"/>
            </w:tcBorders>
            <w:vAlign w:val="center"/>
          </w:tcPr>
          <w:p w14:paraId="42DB6A3D">
            <w:pPr>
              <w:spacing w:line="260" w:lineRule="exact"/>
              <w:jc w:val="center"/>
              <w:rPr>
                <w:rFonts w:hint="eastAsia" w:ascii="宋体" w:hAnsi="宋体" w:eastAsia="宋体" w:cs="宋体"/>
                <w:color w:val="auto"/>
                <w:spacing w:val="-6"/>
                <w:lang w:eastAsia="zh-CN"/>
              </w:rPr>
            </w:pPr>
            <w:r>
              <w:rPr>
                <w:rFonts w:hint="eastAsia" w:ascii="宋体" w:hAnsi="宋体" w:eastAsia="宋体" w:cs="宋体"/>
                <w:color w:val="auto"/>
                <w:spacing w:val="-6"/>
                <w:lang w:val="en-US" w:eastAsia="zh-CN"/>
              </w:rPr>
              <w:t>5</w:t>
            </w:r>
          </w:p>
        </w:tc>
        <w:tc>
          <w:tcPr>
            <w:tcW w:w="2847" w:type="dxa"/>
            <w:tcBorders>
              <w:top w:val="single" w:color="auto" w:sz="4" w:space="0"/>
              <w:left w:val="nil"/>
              <w:bottom w:val="single" w:color="auto" w:sz="4" w:space="0"/>
              <w:right w:val="single" w:color="auto" w:sz="4" w:space="0"/>
            </w:tcBorders>
            <w:vAlign w:val="center"/>
          </w:tcPr>
          <w:p w14:paraId="6AECDE36">
            <w:pPr>
              <w:spacing w:line="260" w:lineRule="exact"/>
              <w:rPr>
                <w:rFonts w:hint="eastAsia" w:ascii="宋体" w:hAnsi="宋体" w:eastAsia="宋体" w:cs="宋体"/>
                <w:color w:val="auto"/>
                <w:spacing w:val="-6"/>
              </w:rPr>
            </w:pPr>
            <w:r>
              <w:rPr>
                <w:rFonts w:hint="eastAsia" w:ascii="宋体" w:hAnsi="宋体" w:eastAsia="宋体" w:cs="宋体"/>
                <w:color w:val="auto"/>
                <w:spacing w:val="-6"/>
              </w:rPr>
              <w:t>根据实际，对绿化树木及草坪进行适期适量浇水、喷水，及时抗旱，确保正常生长。</w:t>
            </w:r>
          </w:p>
        </w:tc>
        <w:tc>
          <w:tcPr>
            <w:tcW w:w="525" w:type="dxa"/>
            <w:tcBorders>
              <w:top w:val="single" w:color="auto" w:sz="4" w:space="0"/>
              <w:left w:val="nil"/>
              <w:bottom w:val="single" w:color="auto" w:sz="4" w:space="0"/>
              <w:right w:val="single" w:color="auto" w:sz="4" w:space="0"/>
            </w:tcBorders>
            <w:vAlign w:val="center"/>
          </w:tcPr>
          <w:p w14:paraId="5136A38A">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5</w:t>
            </w:r>
          </w:p>
        </w:tc>
        <w:tc>
          <w:tcPr>
            <w:tcW w:w="3305" w:type="dxa"/>
            <w:tcBorders>
              <w:top w:val="single" w:color="auto" w:sz="4" w:space="0"/>
              <w:left w:val="nil"/>
              <w:bottom w:val="single" w:color="auto" w:sz="4" w:space="0"/>
              <w:right w:val="single" w:color="auto" w:sz="4" w:space="0"/>
            </w:tcBorders>
            <w:vAlign w:val="center"/>
          </w:tcPr>
          <w:p w14:paraId="341D52A8">
            <w:pPr>
              <w:spacing w:line="260" w:lineRule="exact"/>
              <w:rPr>
                <w:rFonts w:hint="eastAsia" w:ascii="宋体" w:hAnsi="宋体" w:eastAsia="宋体" w:cs="宋体"/>
                <w:color w:val="auto"/>
                <w:spacing w:val="-6"/>
              </w:rPr>
            </w:pPr>
            <w:r>
              <w:rPr>
                <w:rFonts w:hint="eastAsia" w:ascii="宋体" w:hAnsi="宋体" w:eastAsia="宋体" w:cs="宋体"/>
                <w:color w:val="auto"/>
                <w:spacing w:val="-6"/>
              </w:rPr>
              <w:t>未及时浇水、喷水，致使树木、草坪生长不良，树木扣0.1分/株，草坪扣0.2分/㎡，致植物枯死的加倍扣分。</w:t>
            </w:r>
          </w:p>
        </w:tc>
      </w:tr>
      <w:tr w14:paraId="33409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continue"/>
            <w:tcBorders>
              <w:top w:val="nil"/>
              <w:left w:val="single" w:color="auto" w:sz="4" w:space="0"/>
              <w:bottom w:val="single" w:color="auto" w:sz="4" w:space="0"/>
              <w:right w:val="single" w:color="auto" w:sz="4" w:space="0"/>
            </w:tcBorders>
            <w:vAlign w:val="center"/>
          </w:tcPr>
          <w:p w14:paraId="236053E6">
            <w:pPr>
              <w:widowControl/>
              <w:jc w:val="left"/>
              <w:rPr>
                <w:rFonts w:hint="eastAsia" w:ascii="宋体" w:hAnsi="宋体" w:eastAsia="宋体" w:cs="宋体"/>
                <w:color w:val="auto"/>
                <w:spacing w:val="-6"/>
              </w:rPr>
            </w:pPr>
          </w:p>
        </w:tc>
        <w:tc>
          <w:tcPr>
            <w:tcW w:w="688" w:type="dxa"/>
            <w:vMerge w:val="continue"/>
            <w:tcBorders>
              <w:top w:val="nil"/>
              <w:left w:val="nil"/>
              <w:bottom w:val="single" w:color="auto" w:sz="4" w:space="0"/>
              <w:right w:val="single" w:color="auto" w:sz="4" w:space="0"/>
            </w:tcBorders>
            <w:vAlign w:val="center"/>
          </w:tcPr>
          <w:p w14:paraId="14F8B7A7">
            <w:pPr>
              <w:widowControl/>
              <w:jc w:val="left"/>
              <w:rPr>
                <w:rFonts w:hint="eastAsia" w:ascii="宋体" w:hAnsi="宋体" w:eastAsia="宋体" w:cs="宋体"/>
                <w:color w:val="auto"/>
                <w:spacing w:val="-6"/>
              </w:rPr>
            </w:pPr>
          </w:p>
        </w:tc>
        <w:tc>
          <w:tcPr>
            <w:tcW w:w="543" w:type="dxa"/>
            <w:tcBorders>
              <w:top w:val="single" w:color="auto" w:sz="4" w:space="0"/>
              <w:left w:val="nil"/>
              <w:bottom w:val="single" w:color="auto" w:sz="4" w:space="0"/>
              <w:right w:val="single" w:color="auto" w:sz="4" w:space="0"/>
            </w:tcBorders>
            <w:vAlign w:val="center"/>
          </w:tcPr>
          <w:p w14:paraId="41343478">
            <w:pPr>
              <w:spacing w:line="260" w:lineRule="exact"/>
              <w:jc w:val="center"/>
              <w:rPr>
                <w:rFonts w:hint="eastAsia" w:ascii="宋体" w:hAnsi="宋体" w:eastAsia="宋体" w:cs="宋体"/>
                <w:color w:val="auto"/>
                <w:spacing w:val="-6"/>
                <w:lang w:eastAsia="zh-CN"/>
              </w:rPr>
            </w:pPr>
            <w:r>
              <w:rPr>
                <w:rFonts w:hint="eastAsia" w:ascii="宋体" w:hAnsi="宋体" w:eastAsia="宋体" w:cs="宋体"/>
                <w:color w:val="auto"/>
                <w:spacing w:val="-6"/>
                <w:lang w:val="en-US" w:eastAsia="zh-CN"/>
              </w:rPr>
              <w:t>6</w:t>
            </w:r>
          </w:p>
        </w:tc>
        <w:tc>
          <w:tcPr>
            <w:tcW w:w="2847" w:type="dxa"/>
            <w:tcBorders>
              <w:top w:val="single" w:color="auto" w:sz="4" w:space="0"/>
              <w:left w:val="nil"/>
              <w:bottom w:val="single" w:color="auto" w:sz="4" w:space="0"/>
              <w:right w:val="single" w:color="auto" w:sz="4" w:space="0"/>
            </w:tcBorders>
            <w:vAlign w:val="center"/>
          </w:tcPr>
          <w:p w14:paraId="7AEC59E1">
            <w:pPr>
              <w:spacing w:line="260" w:lineRule="exact"/>
              <w:rPr>
                <w:rFonts w:hint="eastAsia" w:ascii="宋体" w:hAnsi="宋体" w:eastAsia="宋体" w:cs="宋体"/>
                <w:color w:val="auto"/>
                <w:spacing w:val="-6"/>
              </w:rPr>
            </w:pPr>
            <w:r>
              <w:rPr>
                <w:rFonts w:hint="eastAsia" w:ascii="宋体" w:hAnsi="宋体" w:eastAsia="宋体" w:cs="宋体"/>
                <w:color w:val="auto"/>
                <w:spacing w:val="-6"/>
              </w:rPr>
              <w:t>绿地内不积水，坑坑洼洼必须及时填平，确保雨后积水及时排除。</w:t>
            </w:r>
          </w:p>
        </w:tc>
        <w:tc>
          <w:tcPr>
            <w:tcW w:w="525" w:type="dxa"/>
            <w:tcBorders>
              <w:top w:val="single" w:color="auto" w:sz="4" w:space="0"/>
              <w:left w:val="nil"/>
              <w:bottom w:val="single" w:color="auto" w:sz="4" w:space="0"/>
              <w:right w:val="single" w:color="auto" w:sz="4" w:space="0"/>
            </w:tcBorders>
            <w:vAlign w:val="center"/>
          </w:tcPr>
          <w:p w14:paraId="36B2E1FA">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3</w:t>
            </w:r>
          </w:p>
        </w:tc>
        <w:tc>
          <w:tcPr>
            <w:tcW w:w="3305" w:type="dxa"/>
            <w:tcBorders>
              <w:top w:val="single" w:color="auto" w:sz="4" w:space="0"/>
              <w:left w:val="nil"/>
              <w:bottom w:val="single" w:color="auto" w:sz="4" w:space="0"/>
              <w:right w:val="single" w:color="auto" w:sz="4" w:space="0"/>
            </w:tcBorders>
            <w:vAlign w:val="center"/>
          </w:tcPr>
          <w:p w14:paraId="748F0479">
            <w:pPr>
              <w:spacing w:line="260" w:lineRule="exact"/>
              <w:rPr>
                <w:rFonts w:hint="eastAsia" w:ascii="宋体" w:hAnsi="宋体" w:eastAsia="宋体" w:cs="宋体"/>
                <w:color w:val="auto"/>
                <w:spacing w:val="-6"/>
              </w:rPr>
            </w:pPr>
            <w:r>
              <w:rPr>
                <w:rFonts w:hint="eastAsia" w:ascii="宋体" w:hAnsi="宋体" w:eastAsia="宋体" w:cs="宋体"/>
                <w:color w:val="auto"/>
                <w:spacing w:val="-6"/>
              </w:rPr>
              <w:t>雨后绿地、草坪有积水，扣1分/处。</w:t>
            </w:r>
          </w:p>
        </w:tc>
      </w:tr>
      <w:tr w14:paraId="07961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restart"/>
            <w:tcBorders>
              <w:top w:val="nil"/>
              <w:left w:val="single" w:color="auto" w:sz="4" w:space="0"/>
              <w:bottom w:val="single" w:color="auto" w:sz="4" w:space="0"/>
              <w:right w:val="single" w:color="auto" w:sz="4" w:space="0"/>
            </w:tcBorders>
            <w:vAlign w:val="center"/>
          </w:tcPr>
          <w:p w14:paraId="3B068BDC">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4</w:t>
            </w:r>
          </w:p>
        </w:tc>
        <w:tc>
          <w:tcPr>
            <w:tcW w:w="688" w:type="dxa"/>
            <w:vMerge w:val="restart"/>
            <w:tcBorders>
              <w:top w:val="nil"/>
              <w:left w:val="nil"/>
              <w:bottom w:val="single" w:color="auto" w:sz="4" w:space="0"/>
              <w:right w:val="single" w:color="auto" w:sz="4" w:space="0"/>
            </w:tcBorders>
            <w:vAlign w:val="center"/>
          </w:tcPr>
          <w:p w14:paraId="2CACC93C">
            <w:pPr>
              <w:spacing w:line="260" w:lineRule="exact"/>
              <w:ind w:left="0" w:leftChars="-57" w:right="-78" w:rightChars="-37" w:hanging="120" w:hangingChars="61"/>
              <w:jc w:val="center"/>
              <w:rPr>
                <w:rFonts w:hint="eastAsia" w:ascii="宋体" w:hAnsi="宋体" w:eastAsia="宋体" w:cs="宋体"/>
                <w:color w:val="auto"/>
                <w:spacing w:val="-6"/>
              </w:rPr>
            </w:pPr>
            <w:r>
              <w:rPr>
                <w:rFonts w:hint="eastAsia" w:ascii="宋体" w:hAnsi="宋体" w:eastAsia="宋体" w:cs="宋体"/>
                <w:color w:val="auto"/>
                <w:spacing w:val="-6"/>
              </w:rPr>
              <w:t>绿</w:t>
            </w:r>
          </w:p>
          <w:p w14:paraId="21B2A44E">
            <w:pPr>
              <w:spacing w:line="260" w:lineRule="exact"/>
              <w:ind w:left="0" w:leftChars="-57" w:right="-78" w:rightChars="-37" w:hanging="120" w:hangingChars="61"/>
              <w:jc w:val="center"/>
              <w:rPr>
                <w:rFonts w:hint="eastAsia" w:ascii="宋体" w:hAnsi="宋体" w:eastAsia="宋体" w:cs="宋体"/>
                <w:color w:val="auto"/>
                <w:spacing w:val="-6"/>
              </w:rPr>
            </w:pPr>
            <w:r>
              <w:rPr>
                <w:rFonts w:hint="eastAsia" w:ascii="宋体" w:hAnsi="宋体" w:eastAsia="宋体" w:cs="宋体"/>
                <w:color w:val="auto"/>
                <w:spacing w:val="-6"/>
              </w:rPr>
              <w:t>化</w:t>
            </w:r>
          </w:p>
          <w:p w14:paraId="438D2BC0">
            <w:pPr>
              <w:spacing w:line="260" w:lineRule="exact"/>
              <w:ind w:left="0" w:leftChars="-57" w:right="-78" w:rightChars="-37" w:hanging="120" w:hangingChars="61"/>
              <w:jc w:val="center"/>
              <w:rPr>
                <w:rFonts w:hint="eastAsia" w:ascii="宋体" w:hAnsi="宋体" w:eastAsia="宋体" w:cs="宋体"/>
                <w:color w:val="auto"/>
                <w:spacing w:val="-6"/>
              </w:rPr>
            </w:pPr>
            <w:r>
              <w:rPr>
                <w:rFonts w:hint="eastAsia" w:ascii="宋体" w:hAnsi="宋体" w:eastAsia="宋体" w:cs="宋体"/>
                <w:color w:val="auto"/>
                <w:spacing w:val="-6"/>
              </w:rPr>
              <w:t>长</w:t>
            </w:r>
          </w:p>
          <w:p w14:paraId="2EDDD0E5">
            <w:pPr>
              <w:spacing w:line="260" w:lineRule="exact"/>
              <w:ind w:left="0" w:leftChars="-57" w:right="-78" w:rightChars="-37" w:hanging="120" w:hangingChars="61"/>
              <w:jc w:val="center"/>
              <w:rPr>
                <w:rFonts w:hint="eastAsia" w:ascii="宋体" w:hAnsi="宋体" w:eastAsia="宋体" w:cs="宋体"/>
                <w:color w:val="auto"/>
                <w:spacing w:val="-6"/>
              </w:rPr>
            </w:pPr>
            <w:r>
              <w:rPr>
                <w:rFonts w:hint="eastAsia" w:ascii="宋体" w:hAnsi="宋体" w:eastAsia="宋体" w:cs="宋体"/>
                <w:color w:val="auto"/>
                <w:spacing w:val="-6"/>
              </w:rPr>
              <w:t>势</w:t>
            </w:r>
          </w:p>
          <w:p w14:paraId="1337113C">
            <w:pPr>
              <w:spacing w:line="260" w:lineRule="exact"/>
              <w:ind w:left="0" w:leftChars="-57" w:right="-78" w:rightChars="-37" w:hanging="120" w:hangingChars="61"/>
              <w:jc w:val="center"/>
              <w:rPr>
                <w:rFonts w:hint="eastAsia" w:ascii="宋体" w:hAnsi="宋体" w:eastAsia="宋体" w:cs="宋体"/>
                <w:color w:val="auto"/>
                <w:spacing w:val="-6"/>
              </w:rPr>
            </w:pPr>
            <w:r>
              <w:rPr>
                <w:rFonts w:hint="eastAsia" w:ascii="宋体" w:hAnsi="宋体" w:eastAsia="宋体" w:cs="宋体"/>
                <w:color w:val="auto"/>
                <w:spacing w:val="-6"/>
              </w:rPr>
              <w:t>(17分)</w:t>
            </w:r>
          </w:p>
        </w:tc>
        <w:tc>
          <w:tcPr>
            <w:tcW w:w="543" w:type="dxa"/>
            <w:tcBorders>
              <w:top w:val="single" w:color="auto" w:sz="4" w:space="0"/>
              <w:left w:val="nil"/>
              <w:bottom w:val="single" w:color="auto" w:sz="4" w:space="0"/>
              <w:right w:val="single" w:color="auto" w:sz="4" w:space="0"/>
            </w:tcBorders>
            <w:vAlign w:val="center"/>
          </w:tcPr>
          <w:p w14:paraId="547D2201">
            <w:pPr>
              <w:spacing w:line="260" w:lineRule="exact"/>
              <w:jc w:val="center"/>
              <w:rPr>
                <w:rFonts w:hint="eastAsia" w:ascii="宋体" w:hAnsi="宋体" w:eastAsia="宋体" w:cs="宋体"/>
                <w:color w:val="auto"/>
                <w:spacing w:val="-6"/>
                <w:lang w:eastAsia="zh-CN"/>
              </w:rPr>
            </w:pPr>
            <w:r>
              <w:rPr>
                <w:rFonts w:hint="eastAsia" w:ascii="宋体" w:hAnsi="宋体" w:eastAsia="宋体" w:cs="宋体"/>
                <w:color w:val="auto"/>
                <w:spacing w:val="-6"/>
                <w:lang w:val="en-US" w:eastAsia="zh-CN"/>
              </w:rPr>
              <w:t>7</w:t>
            </w:r>
          </w:p>
        </w:tc>
        <w:tc>
          <w:tcPr>
            <w:tcW w:w="2847" w:type="dxa"/>
            <w:tcBorders>
              <w:top w:val="single" w:color="auto" w:sz="4" w:space="0"/>
              <w:left w:val="nil"/>
              <w:bottom w:val="single" w:color="auto" w:sz="4" w:space="0"/>
              <w:right w:val="single" w:color="auto" w:sz="4" w:space="0"/>
            </w:tcBorders>
            <w:vAlign w:val="center"/>
          </w:tcPr>
          <w:p w14:paraId="6C7A5DB4">
            <w:pPr>
              <w:spacing w:line="260" w:lineRule="exact"/>
              <w:rPr>
                <w:rFonts w:hint="eastAsia" w:ascii="宋体" w:hAnsi="宋体" w:eastAsia="宋体" w:cs="宋体"/>
                <w:color w:val="auto"/>
                <w:spacing w:val="-6"/>
              </w:rPr>
            </w:pPr>
            <w:r>
              <w:rPr>
                <w:rFonts w:hint="eastAsia" w:ascii="宋体" w:hAnsi="宋体" w:eastAsia="宋体" w:cs="宋体"/>
                <w:color w:val="auto"/>
                <w:spacing w:val="-6"/>
              </w:rPr>
              <w:t>绿地内树木无死株、断枝及明显枯枝，树木无大片光秃落叶。</w:t>
            </w:r>
          </w:p>
        </w:tc>
        <w:tc>
          <w:tcPr>
            <w:tcW w:w="525" w:type="dxa"/>
            <w:tcBorders>
              <w:top w:val="single" w:color="auto" w:sz="4" w:space="0"/>
              <w:left w:val="nil"/>
              <w:bottom w:val="single" w:color="auto" w:sz="4" w:space="0"/>
              <w:right w:val="single" w:color="auto" w:sz="4" w:space="0"/>
            </w:tcBorders>
            <w:vAlign w:val="center"/>
          </w:tcPr>
          <w:p w14:paraId="3ABB642B">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5</w:t>
            </w:r>
          </w:p>
        </w:tc>
        <w:tc>
          <w:tcPr>
            <w:tcW w:w="3305" w:type="dxa"/>
            <w:tcBorders>
              <w:top w:val="single" w:color="auto" w:sz="4" w:space="0"/>
              <w:left w:val="nil"/>
              <w:bottom w:val="single" w:color="auto" w:sz="4" w:space="0"/>
              <w:right w:val="single" w:color="auto" w:sz="4" w:space="0"/>
            </w:tcBorders>
            <w:vAlign w:val="center"/>
          </w:tcPr>
          <w:p w14:paraId="6FF768D6">
            <w:pPr>
              <w:spacing w:line="260" w:lineRule="exact"/>
              <w:rPr>
                <w:rFonts w:hint="eastAsia" w:ascii="宋体" w:hAnsi="宋体" w:eastAsia="宋体" w:cs="宋体"/>
                <w:color w:val="auto"/>
                <w:spacing w:val="-6"/>
              </w:rPr>
            </w:pPr>
            <w:r>
              <w:rPr>
                <w:rFonts w:hint="eastAsia" w:ascii="宋体" w:hAnsi="宋体" w:eastAsia="宋体" w:cs="宋体"/>
                <w:color w:val="auto"/>
                <w:spacing w:val="-6"/>
              </w:rPr>
              <w:t>发现死树，扣1分/株；有断枝、枯叶、大片光秃落叶，发现一处扣0.5分。</w:t>
            </w:r>
          </w:p>
        </w:tc>
      </w:tr>
      <w:tr w14:paraId="293C4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continue"/>
            <w:tcBorders>
              <w:top w:val="nil"/>
              <w:left w:val="single" w:color="auto" w:sz="4" w:space="0"/>
              <w:bottom w:val="single" w:color="auto" w:sz="4" w:space="0"/>
              <w:right w:val="single" w:color="auto" w:sz="4" w:space="0"/>
            </w:tcBorders>
            <w:vAlign w:val="center"/>
          </w:tcPr>
          <w:p w14:paraId="10E05781">
            <w:pPr>
              <w:widowControl/>
              <w:jc w:val="left"/>
              <w:rPr>
                <w:rFonts w:hint="eastAsia" w:ascii="宋体" w:hAnsi="宋体" w:eastAsia="宋体" w:cs="宋体"/>
                <w:color w:val="auto"/>
                <w:spacing w:val="-6"/>
              </w:rPr>
            </w:pPr>
          </w:p>
        </w:tc>
        <w:tc>
          <w:tcPr>
            <w:tcW w:w="688" w:type="dxa"/>
            <w:vMerge w:val="continue"/>
            <w:tcBorders>
              <w:top w:val="nil"/>
              <w:left w:val="nil"/>
              <w:bottom w:val="single" w:color="auto" w:sz="4" w:space="0"/>
              <w:right w:val="single" w:color="auto" w:sz="4" w:space="0"/>
            </w:tcBorders>
            <w:vAlign w:val="center"/>
          </w:tcPr>
          <w:p w14:paraId="49B23EB7">
            <w:pPr>
              <w:widowControl/>
              <w:jc w:val="left"/>
              <w:rPr>
                <w:rFonts w:hint="eastAsia" w:ascii="宋体" w:hAnsi="宋体" w:eastAsia="宋体" w:cs="宋体"/>
                <w:color w:val="auto"/>
                <w:spacing w:val="-6"/>
              </w:rPr>
            </w:pPr>
          </w:p>
        </w:tc>
        <w:tc>
          <w:tcPr>
            <w:tcW w:w="543" w:type="dxa"/>
            <w:tcBorders>
              <w:top w:val="single" w:color="auto" w:sz="4" w:space="0"/>
              <w:left w:val="nil"/>
              <w:bottom w:val="single" w:color="auto" w:sz="4" w:space="0"/>
              <w:right w:val="single" w:color="auto" w:sz="4" w:space="0"/>
            </w:tcBorders>
            <w:vAlign w:val="center"/>
          </w:tcPr>
          <w:p w14:paraId="60505F67">
            <w:pPr>
              <w:spacing w:line="260" w:lineRule="exact"/>
              <w:jc w:val="center"/>
              <w:rPr>
                <w:rFonts w:hint="eastAsia" w:ascii="宋体" w:hAnsi="宋体" w:eastAsia="宋体" w:cs="宋体"/>
                <w:color w:val="auto"/>
                <w:spacing w:val="-6"/>
                <w:lang w:eastAsia="zh-CN"/>
              </w:rPr>
            </w:pPr>
            <w:r>
              <w:rPr>
                <w:rFonts w:hint="eastAsia" w:ascii="宋体" w:hAnsi="宋体" w:eastAsia="宋体" w:cs="宋体"/>
                <w:color w:val="auto"/>
                <w:spacing w:val="-6"/>
                <w:lang w:val="en-US" w:eastAsia="zh-CN"/>
              </w:rPr>
              <w:t>8</w:t>
            </w:r>
          </w:p>
        </w:tc>
        <w:tc>
          <w:tcPr>
            <w:tcW w:w="2847" w:type="dxa"/>
            <w:tcBorders>
              <w:top w:val="single" w:color="auto" w:sz="4" w:space="0"/>
              <w:left w:val="nil"/>
              <w:bottom w:val="single" w:color="auto" w:sz="4" w:space="0"/>
              <w:right w:val="single" w:color="auto" w:sz="4" w:space="0"/>
            </w:tcBorders>
            <w:vAlign w:val="center"/>
          </w:tcPr>
          <w:p w14:paraId="2AFD9870">
            <w:pPr>
              <w:spacing w:line="280" w:lineRule="exact"/>
              <w:rPr>
                <w:rFonts w:hint="eastAsia" w:ascii="宋体" w:hAnsi="宋体" w:eastAsia="宋体" w:cs="宋体"/>
                <w:color w:val="auto"/>
                <w:spacing w:val="-6"/>
              </w:rPr>
            </w:pPr>
            <w:r>
              <w:rPr>
                <w:rFonts w:hint="eastAsia" w:ascii="宋体" w:hAnsi="宋体" w:eastAsia="宋体" w:cs="宋体"/>
                <w:color w:val="auto"/>
                <w:spacing w:val="-6"/>
              </w:rPr>
              <w:t>绿地内乔灌木有缺株，绿篱及满种模纹、草花有空缺应及时补缺，少数树种因季节不能及时补种除外。</w:t>
            </w:r>
          </w:p>
        </w:tc>
        <w:tc>
          <w:tcPr>
            <w:tcW w:w="525" w:type="dxa"/>
            <w:tcBorders>
              <w:top w:val="single" w:color="auto" w:sz="4" w:space="0"/>
              <w:left w:val="nil"/>
              <w:bottom w:val="single" w:color="auto" w:sz="4" w:space="0"/>
              <w:right w:val="single" w:color="auto" w:sz="4" w:space="0"/>
            </w:tcBorders>
            <w:vAlign w:val="center"/>
          </w:tcPr>
          <w:p w14:paraId="371979E4">
            <w:pPr>
              <w:spacing w:line="280" w:lineRule="exact"/>
              <w:jc w:val="center"/>
              <w:rPr>
                <w:rFonts w:hint="eastAsia" w:ascii="宋体" w:hAnsi="宋体" w:eastAsia="宋体" w:cs="宋体"/>
                <w:color w:val="auto"/>
                <w:spacing w:val="-6"/>
              </w:rPr>
            </w:pPr>
            <w:r>
              <w:rPr>
                <w:rFonts w:hint="eastAsia" w:ascii="宋体" w:hAnsi="宋体" w:eastAsia="宋体" w:cs="宋体"/>
                <w:color w:val="auto"/>
                <w:spacing w:val="-6"/>
              </w:rPr>
              <w:t>3</w:t>
            </w:r>
          </w:p>
        </w:tc>
        <w:tc>
          <w:tcPr>
            <w:tcW w:w="3305" w:type="dxa"/>
            <w:tcBorders>
              <w:top w:val="single" w:color="auto" w:sz="4" w:space="0"/>
              <w:left w:val="nil"/>
              <w:bottom w:val="single" w:color="auto" w:sz="4" w:space="0"/>
              <w:right w:val="single" w:color="auto" w:sz="4" w:space="0"/>
            </w:tcBorders>
            <w:vAlign w:val="center"/>
          </w:tcPr>
          <w:p w14:paraId="26B60E33">
            <w:pPr>
              <w:spacing w:line="280" w:lineRule="exact"/>
              <w:rPr>
                <w:rFonts w:hint="eastAsia" w:ascii="宋体" w:hAnsi="宋体" w:eastAsia="宋体" w:cs="宋体"/>
                <w:color w:val="auto"/>
                <w:spacing w:val="-6"/>
              </w:rPr>
            </w:pPr>
            <w:r>
              <w:rPr>
                <w:rFonts w:hint="eastAsia" w:ascii="宋体" w:hAnsi="宋体" w:eastAsia="宋体" w:cs="宋体"/>
                <w:color w:val="auto"/>
                <w:spacing w:val="-6"/>
              </w:rPr>
              <w:t>乔灌木未按规定及时补缺，扣1分/株；绿篱未按及时补缺，扣1分/米；草花未按及时补缺扣1分/㎡。</w:t>
            </w:r>
          </w:p>
        </w:tc>
      </w:tr>
      <w:tr w14:paraId="67A97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continue"/>
            <w:tcBorders>
              <w:top w:val="nil"/>
              <w:left w:val="single" w:color="auto" w:sz="4" w:space="0"/>
              <w:bottom w:val="single" w:color="auto" w:sz="4" w:space="0"/>
              <w:right w:val="single" w:color="auto" w:sz="4" w:space="0"/>
            </w:tcBorders>
            <w:vAlign w:val="center"/>
          </w:tcPr>
          <w:p w14:paraId="12D547E7">
            <w:pPr>
              <w:widowControl/>
              <w:jc w:val="left"/>
              <w:rPr>
                <w:rFonts w:hint="eastAsia" w:ascii="宋体" w:hAnsi="宋体" w:eastAsia="宋体" w:cs="宋体"/>
                <w:color w:val="auto"/>
                <w:spacing w:val="-6"/>
              </w:rPr>
            </w:pPr>
          </w:p>
        </w:tc>
        <w:tc>
          <w:tcPr>
            <w:tcW w:w="688" w:type="dxa"/>
            <w:vMerge w:val="continue"/>
            <w:tcBorders>
              <w:top w:val="nil"/>
              <w:left w:val="nil"/>
              <w:bottom w:val="single" w:color="auto" w:sz="4" w:space="0"/>
              <w:right w:val="single" w:color="auto" w:sz="4" w:space="0"/>
            </w:tcBorders>
            <w:vAlign w:val="center"/>
          </w:tcPr>
          <w:p w14:paraId="198EE825">
            <w:pPr>
              <w:widowControl/>
              <w:jc w:val="left"/>
              <w:rPr>
                <w:rFonts w:hint="eastAsia" w:ascii="宋体" w:hAnsi="宋体" w:eastAsia="宋体" w:cs="宋体"/>
                <w:color w:val="auto"/>
                <w:spacing w:val="-6"/>
              </w:rPr>
            </w:pPr>
          </w:p>
        </w:tc>
        <w:tc>
          <w:tcPr>
            <w:tcW w:w="543" w:type="dxa"/>
            <w:tcBorders>
              <w:top w:val="single" w:color="auto" w:sz="4" w:space="0"/>
              <w:left w:val="nil"/>
              <w:bottom w:val="single" w:color="auto" w:sz="4" w:space="0"/>
              <w:right w:val="single" w:color="auto" w:sz="4" w:space="0"/>
            </w:tcBorders>
            <w:vAlign w:val="center"/>
          </w:tcPr>
          <w:p w14:paraId="6C4B9F15">
            <w:pPr>
              <w:spacing w:line="260" w:lineRule="exact"/>
              <w:jc w:val="center"/>
              <w:rPr>
                <w:rFonts w:hint="eastAsia" w:ascii="宋体" w:hAnsi="宋体" w:eastAsia="宋体" w:cs="宋体"/>
                <w:color w:val="auto"/>
                <w:spacing w:val="-6"/>
                <w:lang w:eastAsia="zh-CN"/>
              </w:rPr>
            </w:pPr>
            <w:r>
              <w:rPr>
                <w:rFonts w:hint="eastAsia" w:ascii="宋体" w:hAnsi="宋体" w:eastAsia="宋体" w:cs="宋体"/>
                <w:color w:val="auto"/>
                <w:spacing w:val="-6"/>
                <w:lang w:val="en-US" w:eastAsia="zh-CN"/>
              </w:rPr>
              <w:t>9</w:t>
            </w:r>
          </w:p>
        </w:tc>
        <w:tc>
          <w:tcPr>
            <w:tcW w:w="2847" w:type="dxa"/>
            <w:tcBorders>
              <w:top w:val="single" w:color="auto" w:sz="4" w:space="0"/>
              <w:left w:val="nil"/>
              <w:bottom w:val="single" w:color="auto" w:sz="4" w:space="0"/>
              <w:right w:val="single" w:color="auto" w:sz="4" w:space="0"/>
            </w:tcBorders>
            <w:vAlign w:val="center"/>
          </w:tcPr>
          <w:p w14:paraId="09106222">
            <w:pPr>
              <w:spacing w:line="280" w:lineRule="exact"/>
              <w:rPr>
                <w:rFonts w:hint="eastAsia" w:ascii="宋体" w:hAnsi="宋体" w:eastAsia="宋体" w:cs="宋体"/>
                <w:color w:val="auto"/>
                <w:spacing w:val="-6"/>
              </w:rPr>
            </w:pPr>
            <w:r>
              <w:rPr>
                <w:rFonts w:hint="eastAsia" w:ascii="宋体" w:hAnsi="宋体" w:eastAsia="宋体" w:cs="宋体"/>
                <w:color w:val="auto"/>
                <w:spacing w:val="-6"/>
              </w:rPr>
              <w:t>绿地内树木无倾斜、倒歪现象，高大乔木在大风来临时应采取防倒有效措施，因台风等灾害天气造成树木倒伏时，应及时扶正支撑倒伏树木。</w:t>
            </w:r>
          </w:p>
        </w:tc>
        <w:tc>
          <w:tcPr>
            <w:tcW w:w="525" w:type="dxa"/>
            <w:tcBorders>
              <w:top w:val="single" w:color="auto" w:sz="4" w:space="0"/>
              <w:left w:val="nil"/>
              <w:bottom w:val="single" w:color="auto" w:sz="4" w:space="0"/>
              <w:right w:val="single" w:color="auto" w:sz="4" w:space="0"/>
            </w:tcBorders>
            <w:vAlign w:val="center"/>
          </w:tcPr>
          <w:p w14:paraId="4C618DDE">
            <w:pPr>
              <w:spacing w:line="280" w:lineRule="exact"/>
              <w:jc w:val="center"/>
              <w:rPr>
                <w:rFonts w:hint="eastAsia" w:ascii="宋体" w:hAnsi="宋体" w:eastAsia="宋体" w:cs="宋体"/>
                <w:color w:val="auto"/>
                <w:spacing w:val="-6"/>
              </w:rPr>
            </w:pPr>
            <w:r>
              <w:rPr>
                <w:rFonts w:hint="eastAsia" w:ascii="宋体" w:hAnsi="宋体" w:eastAsia="宋体" w:cs="宋体"/>
                <w:color w:val="auto"/>
                <w:spacing w:val="-6"/>
              </w:rPr>
              <w:t>3</w:t>
            </w:r>
          </w:p>
        </w:tc>
        <w:tc>
          <w:tcPr>
            <w:tcW w:w="3305" w:type="dxa"/>
            <w:tcBorders>
              <w:top w:val="single" w:color="auto" w:sz="4" w:space="0"/>
              <w:left w:val="nil"/>
              <w:bottom w:val="single" w:color="auto" w:sz="4" w:space="0"/>
              <w:right w:val="single" w:color="auto" w:sz="4" w:space="0"/>
            </w:tcBorders>
            <w:vAlign w:val="center"/>
          </w:tcPr>
          <w:p w14:paraId="4C4F8606">
            <w:pPr>
              <w:spacing w:line="280" w:lineRule="exact"/>
              <w:rPr>
                <w:rFonts w:hint="eastAsia" w:ascii="宋体" w:hAnsi="宋体" w:eastAsia="宋体" w:cs="宋体"/>
                <w:color w:val="auto"/>
                <w:spacing w:val="-6"/>
              </w:rPr>
            </w:pPr>
            <w:r>
              <w:rPr>
                <w:rFonts w:hint="eastAsia" w:ascii="宋体" w:hAnsi="宋体" w:eastAsia="宋体" w:cs="宋体"/>
                <w:color w:val="auto"/>
                <w:spacing w:val="-6"/>
              </w:rPr>
              <w:t>正常情况下，绿地内乔木、大灌木有倒伏现象，扣1分/株；因灾害天气造成树木倒伏，应在规定时间内扶正支撑，逾期扣1分/株；无有效措施导致高大乔木倒伏，扣1分/株。</w:t>
            </w:r>
          </w:p>
        </w:tc>
      </w:tr>
      <w:tr w14:paraId="684A0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continue"/>
            <w:tcBorders>
              <w:top w:val="nil"/>
              <w:left w:val="single" w:color="auto" w:sz="4" w:space="0"/>
              <w:bottom w:val="single" w:color="auto" w:sz="4" w:space="0"/>
              <w:right w:val="single" w:color="auto" w:sz="4" w:space="0"/>
            </w:tcBorders>
            <w:vAlign w:val="center"/>
          </w:tcPr>
          <w:p w14:paraId="44A90E2C">
            <w:pPr>
              <w:widowControl/>
              <w:jc w:val="left"/>
              <w:rPr>
                <w:rFonts w:hint="eastAsia" w:ascii="宋体" w:hAnsi="宋体" w:eastAsia="宋体" w:cs="宋体"/>
                <w:color w:val="auto"/>
                <w:spacing w:val="-6"/>
              </w:rPr>
            </w:pPr>
          </w:p>
        </w:tc>
        <w:tc>
          <w:tcPr>
            <w:tcW w:w="688" w:type="dxa"/>
            <w:vMerge w:val="continue"/>
            <w:tcBorders>
              <w:top w:val="nil"/>
              <w:left w:val="nil"/>
              <w:bottom w:val="single" w:color="auto" w:sz="4" w:space="0"/>
              <w:right w:val="single" w:color="auto" w:sz="4" w:space="0"/>
            </w:tcBorders>
            <w:vAlign w:val="center"/>
          </w:tcPr>
          <w:p w14:paraId="4D5605E2">
            <w:pPr>
              <w:widowControl/>
              <w:jc w:val="left"/>
              <w:rPr>
                <w:rFonts w:hint="eastAsia" w:ascii="宋体" w:hAnsi="宋体" w:eastAsia="宋体" w:cs="宋体"/>
                <w:color w:val="auto"/>
                <w:spacing w:val="-6"/>
              </w:rPr>
            </w:pPr>
          </w:p>
        </w:tc>
        <w:tc>
          <w:tcPr>
            <w:tcW w:w="543" w:type="dxa"/>
            <w:tcBorders>
              <w:top w:val="single" w:color="auto" w:sz="4" w:space="0"/>
              <w:left w:val="nil"/>
              <w:bottom w:val="single" w:color="auto" w:sz="4" w:space="0"/>
              <w:right w:val="single" w:color="auto" w:sz="4" w:space="0"/>
            </w:tcBorders>
            <w:vAlign w:val="center"/>
          </w:tcPr>
          <w:p w14:paraId="4167CAD7">
            <w:pPr>
              <w:spacing w:line="260" w:lineRule="exact"/>
              <w:jc w:val="center"/>
              <w:rPr>
                <w:rFonts w:hint="eastAsia" w:ascii="宋体" w:hAnsi="宋体" w:eastAsia="宋体" w:cs="宋体"/>
                <w:color w:val="auto"/>
                <w:spacing w:val="-6"/>
                <w:lang w:val="en-US" w:eastAsia="zh-CN"/>
              </w:rPr>
            </w:pPr>
            <w:r>
              <w:rPr>
                <w:rFonts w:hint="eastAsia" w:ascii="宋体" w:hAnsi="宋体" w:eastAsia="宋体" w:cs="宋体"/>
                <w:color w:val="auto"/>
                <w:spacing w:val="-6"/>
                <w:lang w:val="en-US" w:eastAsia="zh-CN"/>
              </w:rPr>
              <w:t>10</w:t>
            </w:r>
          </w:p>
        </w:tc>
        <w:tc>
          <w:tcPr>
            <w:tcW w:w="2847" w:type="dxa"/>
            <w:tcBorders>
              <w:top w:val="single" w:color="auto" w:sz="4" w:space="0"/>
              <w:left w:val="nil"/>
              <w:bottom w:val="single" w:color="auto" w:sz="4" w:space="0"/>
              <w:right w:val="single" w:color="auto" w:sz="4" w:space="0"/>
            </w:tcBorders>
            <w:vAlign w:val="center"/>
          </w:tcPr>
          <w:p w14:paraId="5FE57FBE">
            <w:pPr>
              <w:spacing w:line="280" w:lineRule="exact"/>
              <w:rPr>
                <w:rFonts w:hint="eastAsia" w:ascii="宋体" w:hAnsi="宋体" w:eastAsia="宋体" w:cs="宋体"/>
                <w:color w:val="auto"/>
                <w:spacing w:val="-6"/>
              </w:rPr>
            </w:pPr>
            <w:r>
              <w:rPr>
                <w:rFonts w:hint="eastAsia" w:ascii="宋体" w:hAnsi="宋体" w:eastAsia="宋体" w:cs="宋体"/>
                <w:color w:val="auto"/>
                <w:spacing w:val="-6"/>
              </w:rPr>
              <w:t>草坪应长势良好，无黄化、积水及明显杂草未拔除迹象。</w:t>
            </w:r>
          </w:p>
        </w:tc>
        <w:tc>
          <w:tcPr>
            <w:tcW w:w="525" w:type="dxa"/>
            <w:tcBorders>
              <w:top w:val="single" w:color="auto" w:sz="4" w:space="0"/>
              <w:left w:val="nil"/>
              <w:bottom w:val="single" w:color="auto" w:sz="4" w:space="0"/>
              <w:right w:val="single" w:color="auto" w:sz="4" w:space="0"/>
            </w:tcBorders>
            <w:vAlign w:val="center"/>
          </w:tcPr>
          <w:p w14:paraId="291B78F4">
            <w:pPr>
              <w:spacing w:line="280" w:lineRule="exact"/>
              <w:jc w:val="center"/>
              <w:rPr>
                <w:rFonts w:hint="eastAsia" w:ascii="宋体" w:hAnsi="宋体" w:eastAsia="宋体" w:cs="宋体"/>
                <w:color w:val="auto"/>
                <w:spacing w:val="-6"/>
              </w:rPr>
            </w:pPr>
            <w:r>
              <w:rPr>
                <w:rFonts w:hint="eastAsia" w:ascii="宋体" w:hAnsi="宋体" w:eastAsia="宋体" w:cs="宋体"/>
                <w:color w:val="auto"/>
                <w:spacing w:val="-6"/>
              </w:rPr>
              <w:t>3</w:t>
            </w:r>
          </w:p>
        </w:tc>
        <w:tc>
          <w:tcPr>
            <w:tcW w:w="3305" w:type="dxa"/>
            <w:tcBorders>
              <w:top w:val="single" w:color="auto" w:sz="4" w:space="0"/>
              <w:left w:val="nil"/>
              <w:bottom w:val="single" w:color="auto" w:sz="4" w:space="0"/>
              <w:right w:val="single" w:color="auto" w:sz="4" w:space="0"/>
            </w:tcBorders>
            <w:vAlign w:val="center"/>
          </w:tcPr>
          <w:p w14:paraId="40EA08A9">
            <w:pPr>
              <w:spacing w:line="280" w:lineRule="exact"/>
              <w:rPr>
                <w:rFonts w:hint="eastAsia" w:ascii="宋体" w:hAnsi="宋体" w:eastAsia="宋体" w:cs="宋体"/>
                <w:color w:val="auto"/>
                <w:spacing w:val="-6"/>
              </w:rPr>
            </w:pPr>
            <w:r>
              <w:rPr>
                <w:rFonts w:hint="eastAsia" w:ascii="宋体" w:hAnsi="宋体" w:eastAsia="宋体" w:cs="宋体"/>
                <w:color w:val="auto"/>
                <w:spacing w:val="-6"/>
              </w:rPr>
              <w:t>草坪有黄化现象，扣1分/处；有积水现象扣1分/处；有明显杂草未拔除现象，扣0.2分/㎡。</w:t>
            </w:r>
          </w:p>
        </w:tc>
      </w:tr>
      <w:tr w14:paraId="2D541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continue"/>
            <w:tcBorders>
              <w:top w:val="nil"/>
              <w:left w:val="single" w:color="auto" w:sz="4" w:space="0"/>
              <w:bottom w:val="single" w:color="auto" w:sz="4" w:space="0"/>
              <w:right w:val="single" w:color="auto" w:sz="4" w:space="0"/>
            </w:tcBorders>
            <w:vAlign w:val="center"/>
          </w:tcPr>
          <w:p w14:paraId="36F3880A">
            <w:pPr>
              <w:widowControl/>
              <w:jc w:val="left"/>
              <w:rPr>
                <w:rFonts w:hint="eastAsia" w:ascii="宋体" w:hAnsi="宋体" w:eastAsia="宋体" w:cs="宋体"/>
                <w:color w:val="auto"/>
                <w:spacing w:val="-6"/>
              </w:rPr>
            </w:pPr>
          </w:p>
        </w:tc>
        <w:tc>
          <w:tcPr>
            <w:tcW w:w="688" w:type="dxa"/>
            <w:vMerge w:val="continue"/>
            <w:tcBorders>
              <w:top w:val="nil"/>
              <w:left w:val="nil"/>
              <w:bottom w:val="single" w:color="auto" w:sz="4" w:space="0"/>
              <w:right w:val="single" w:color="auto" w:sz="4" w:space="0"/>
            </w:tcBorders>
            <w:vAlign w:val="center"/>
          </w:tcPr>
          <w:p w14:paraId="1DB82073">
            <w:pPr>
              <w:widowControl/>
              <w:jc w:val="left"/>
              <w:rPr>
                <w:rFonts w:hint="eastAsia" w:ascii="宋体" w:hAnsi="宋体" w:eastAsia="宋体" w:cs="宋体"/>
                <w:color w:val="auto"/>
                <w:spacing w:val="-6"/>
              </w:rPr>
            </w:pPr>
          </w:p>
        </w:tc>
        <w:tc>
          <w:tcPr>
            <w:tcW w:w="543" w:type="dxa"/>
            <w:tcBorders>
              <w:top w:val="single" w:color="auto" w:sz="4" w:space="0"/>
              <w:left w:val="nil"/>
              <w:bottom w:val="single" w:color="auto" w:sz="4" w:space="0"/>
              <w:right w:val="single" w:color="auto" w:sz="4" w:space="0"/>
            </w:tcBorders>
            <w:vAlign w:val="center"/>
          </w:tcPr>
          <w:p w14:paraId="2CC665DF">
            <w:pPr>
              <w:spacing w:line="260" w:lineRule="exact"/>
              <w:jc w:val="center"/>
              <w:rPr>
                <w:rFonts w:hint="eastAsia" w:ascii="宋体" w:hAnsi="宋体" w:eastAsia="宋体" w:cs="宋体"/>
                <w:color w:val="auto"/>
                <w:spacing w:val="-6"/>
                <w:lang w:eastAsia="zh-CN"/>
              </w:rPr>
            </w:pPr>
            <w:r>
              <w:rPr>
                <w:rFonts w:hint="eastAsia" w:ascii="宋体" w:hAnsi="宋体" w:eastAsia="宋体" w:cs="宋体"/>
                <w:color w:val="auto"/>
                <w:spacing w:val="-6"/>
              </w:rPr>
              <w:t>1</w:t>
            </w:r>
            <w:r>
              <w:rPr>
                <w:rFonts w:hint="eastAsia" w:ascii="宋体" w:hAnsi="宋体" w:eastAsia="宋体" w:cs="宋体"/>
                <w:color w:val="auto"/>
                <w:spacing w:val="-6"/>
                <w:lang w:val="en-US" w:eastAsia="zh-CN"/>
              </w:rPr>
              <w:t>1</w:t>
            </w:r>
          </w:p>
        </w:tc>
        <w:tc>
          <w:tcPr>
            <w:tcW w:w="2847" w:type="dxa"/>
            <w:tcBorders>
              <w:top w:val="single" w:color="auto" w:sz="4" w:space="0"/>
              <w:left w:val="nil"/>
              <w:bottom w:val="single" w:color="auto" w:sz="4" w:space="0"/>
              <w:right w:val="single" w:color="auto" w:sz="4" w:space="0"/>
            </w:tcBorders>
            <w:vAlign w:val="center"/>
          </w:tcPr>
          <w:p w14:paraId="33BACAE3">
            <w:pPr>
              <w:spacing w:line="280" w:lineRule="exact"/>
              <w:rPr>
                <w:rFonts w:hint="eastAsia" w:ascii="宋体" w:hAnsi="宋体" w:eastAsia="宋体" w:cs="宋体"/>
                <w:color w:val="auto"/>
                <w:spacing w:val="-6"/>
              </w:rPr>
            </w:pPr>
            <w:r>
              <w:rPr>
                <w:rFonts w:hint="eastAsia" w:ascii="宋体" w:hAnsi="宋体" w:eastAsia="宋体" w:cs="宋体"/>
                <w:color w:val="auto"/>
                <w:spacing w:val="-6"/>
              </w:rPr>
              <w:t>草坪无空缺，如有空缺应及时重播或重铺。</w:t>
            </w:r>
          </w:p>
        </w:tc>
        <w:tc>
          <w:tcPr>
            <w:tcW w:w="525" w:type="dxa"/>
            <w:tcBorders>
              <w:top w:val="single" w:color="auto" w:sz="4" w:space="0"/>
              <w:left w:val="nil"/>
              <w:bottom w:val="single" w:color="auto" w:sz="4" w:space="0"/>
              <w:right w:val="single" w:color="auto" w:sz="4" w:space="0"/>
            </w:tcBorders>
            <w:vAlign w:val="center"/>
          </w:tcPr>
          <w:p w14:paraId="046F1701">
            <w:pPr>
              <w:spacing w:line="280" w:lineRule="exact"/>
              <w:jc w:val="center"/>
              <w:rPr>
                <w:rFonts w:hint="eastAsia" w:ascii="宋体" w:hAnsi="宋体" w:eastAsia="宋体" w:cs="宋体"/>
                <w:color w:val="auto"/>
                <w:spacing w:val="-6"/>
              </w:rPr>
            </w:pPr>
            <w:r>
              <w:rPr>
                <w:rFonts w:hint="eastAsia" w:ascii="宋体" w:hAnsi="宋体" w:eastAsia="宋体" w:cs="宋体"/>
                <w:color w:val="auto"/>
                <w:spacing w:val="-6"/>
              </w:rPr>
              <w:t>3</w:t>
            </w:r>
          </w:p>
        </w:tc>
        <w:tc>
          <w:tcPr>
            <w:tcW w:w="3305" w:type="dxa"/>
            <w:tcBorders>
              <w:top w:val="single" w:color="auto" w:sz="4" w:space="0"/>
              <w:left w:val="nil"/>
              <w:bottom w:val="single" w:color="auto" w:sz="4" w:space="0"/>
              <w:right w:val="single" w:color="auto" w:sz="4" w:space="0"/>
            </w:tcBorders>
            <w:vAlign w:val="center"/>
          </w:tcPr>
          <w:p w14:paraId="7D5E75A0">
            <w:pPr>
              <w:spacing w:line="280" w:lineRule="exact"/>
              <w:rPr>
                <w:rFonts w:hint="eastAsia" w:ascii="宋体" w:hAnsi="宋体" w:eastAsia="宋体" w:cs="宋体"/>
                <w:color w:val="auto"/>
                <w:spacing w:val="-6"/>
              </w:rPr>
            </w:pPr>
            <w:r>
              <w:rPr>
                <w:rFonts w:hint="eastAsia" w:ascii="宋体" w:hAnsi="宋体" w:eastAsia="宋体" w:cs="宋体"/>
                <w:color w:val="auto"/>
                <w:spacing w:val="-6"/>
              </w:rPr>
              <w:t>草坪有空缺，未按规定及时完成补种的，扣0.2分/㎡。</w:t>
            </w:r>
          </w:p>
        </w:tc>
      </w:tr>
      <w:tr w14:paraId="35C67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restart"/>
            <w:tcBorders>
              <w:top w:val="nil"/>
              <w:left w:val="single" w:color="auto" w:sz="4" w:space="0"/>
              <w:bottom w:val="single" w:color="auto" w:sz="4" w:space="0"/>
              <w:right w:val="single" w:color="auto" w:sz="4" w:space="0"/>
            </w:tcBorders>
            <w:vAlign w:val="center"/>
          </w:tcPr>
          <w:p w14:paraId="3339C9D5">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5</w:t>
            </w:r>
          </w:p>
        </w:tc>
        <w:tc>
          <w:tcPr>
            <w:tcW w:w="688" w:type="dxa"/>
            <w:vMerge w:val="restart"/>
            <w:tcBorders>
              <w:top w:val="nil"/>
              <w:left w:val="nil"/>
              <w:bottom w:val="single" w:color="auto" w:sz="4" w:space="0"/>
              <w:right w:val="single" w:color="auto" w:sz="4" w:space="0"/>
            </w:tcBorders>
            <w:vAlign w:val="center"/>
          </w:tcPr>
          <w:p w14:paraId="24DC8E9E">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施</w:t>
            </w:r>
          </w:p>
          <w:p w14:paraId="674F0D48">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肥</w:t>
            </w:r>
          </w:p>
          <w:p w14:paraId="10D998C6">
            <w:pPr>
              <w:spacing w:line="260" w:lineRule="exact"/>
              <w:ind w:left="1" w:leftChars="-50" w:right="-78" w:rightChars="-37" w:hanging="106" w:hangingChars="54"/>
              <w:jc w:val="center"/>
              <w:rPr>
                <w:rFonts w:hint="eastAsia" w:ascii="宋体" w:hAnsi="宋体" w:eastAsia="宋体" w:cs="宋体"/>
                <w:color w:val="auto"/>
                <w:spacing w:val="-6"/>
              </w:rPr>
            </w:pPr>
            <w:r>
              <w:rPr>
                <w:rFonts w:hint="eastAsia" w:ascii="宋体" w:hAnsi="宋体" w:eastAsia="宋体" w:cs="宋体"/>
                <w:color w:val="auto"/>
                <w:spacing w:val="-6"/>
              </w:rPr>
              <w:t>（5分）</w:t>
            </w:r>
          </w:p>
        </w:tc>
        <w:tc>
          <w:tcPr>
            <w:tcW w:w="543" w:type="dxa"/>
            <w:tcBorders>
              <w:top w:val="single" w:color="auto" w:sz="4" w:space="0"/>
              <w:left w:val="nil"/>
              <w:bottom w:val="single" w:color="auto" w:sz="4" w:space="0"/>
              <w:right w:val="single" w:color="auto" w:sz="4" w:space="0"/>
            </w:tcBorders>
            <w:vAlign w:val="center"/>
          </w:tcPr>
          <w:p w14:paraId="24FDFCBC">
            <w:pPr>
              <w:spacing w:line="260" w:lineRule="exact"/>
              <w:jc w:val="center"/>
              <w:rPr>
                <w:rFonts w:hint="eastAsia" w:ascii="宋体" w:hAnsi="宋体" w:eastAsia="宋体" w:cs="宋体"/>
                <w:color w:val="auto"/>
                <w:spacing w:val="-6"/>
                <w:lang w:eastAsia="zh-CN"/>
              </w:rPr>
            </w:pPr>
            <w:r>
              <w:rPr>
                <w:rFonts w:hint="eastAsia" w:ascii="宋体" w:hAnsi="宋体" w:eastAsia="宋体" w:cs="宋体"/>
                <w:color w:val="auto"/>
                <w:spacing w:val="-6"/>
              </w:rPr>
              <w:t>1</w:t>
            </w:r>
            <w:r>
              <w:rPr>
                <w:rFonts w:hint="eastAsia" w:ascii="宋体" w:hAnsi="宋体" w:eastAsia="宋体" w:cs="宋体"/>
                <w:color w:val="auto"/>
                <w:spacing w:val="-6"/>
                <w:lang w:val="en-US" w:eastAsia="zh-CN"/>
              </w:rPr>
              <w:t>2</w:t>
            </w:r>
          </w:p>
        </w:tc>
        <w:tc>
          <w:tcPr>
            <w:tcW w:w="2847" w:type="dxa"/>
            <w:tcBorders>
              <w:top w:val="single" w:color="auto" w:sz="4" w:space="0"/>
              <w:left w:val="nil"/>
              <w:bottom w:val="single" w:color="auto" w:sz="4" w:space="0"/>
              <w:right w:val="single" w:color="auto" w:sz="4" w:space="0"/>
            </w:tcBorders>
            <w:vAlign w:val="center"/>
          </w:tcPr>
          <w:p w14:paraId="2E9CF53A">
            <w:pPr>
              <w:spacing w:line="260" w:lineRule="exact"/>
              <w:rPr>
                <w:rFonts w:hint="eastAsia" w:ascii="宋体" w:hAnsi="宋体" w:eastAsia="宋体" w:cs="宋体"/>
                <w:color w:val="auto"/>
                <w:spacing w:val="-6"/>
              </w:rPr>
            </w:pPr>
            <w:r>
              <w:rPr>
                <w:rFonts w:hint="eastAsia" w:ascii="宋体" w:hAnsi="宋体" w:eastAsia="宋体" w:cs="宋体"/>
                <w:color w:val="auto"/>
                <w:spacing w:val="-6"/>
              </w:rPr>
              <w:t>绿地、草坪、植物按要求施肥及时，每年休眠期施基肥，生长期施2-3次追肥，规范操作，施肥后及时覆盖。</w:t>
            </w:r>
          </w:p>
        </w:tc>
        <w:tc>
          <w:tcPr>
            <w:tcW w:w="525" w:type="dxa"/>
            <w:tcBorders>
              <w:top w:val="single" w:color="auto" w:sz="4" w:space="0"/>
              <w:left w:val="nil"/>
              <w:bottom w:val="single" w:color="auto" w:sz="4" w:space="0"/>
              <w:right w:val="single" w:color="auto" w:sz="4" w:space="0"/>
            </w:tcBorders>
            <w:vAlign w:val="center"/>
          </w:tcPr>
          <w:p w14:paraId="5C9F0C01">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3</w:t>
            </w:r>
          </w:p>
        </w:tc>
        <w:tc>
          <w:tcPr>
            <w:tcW w:w="3305" w:type="dxa"/>
            <w:tcBorders>
              <w:top w:val="single" w:color="auto" w:sz="4" w:space="0"/>
              <w:left w:val="nil"/>
              <w:bottom w:val="single" w:color="auto" w:sz="4" w:space="0"/>
              <w:right w:val="single" w:color="auto" w:sz="4" w:space="0"/>
            </w:tcBorders>
            <w:vAlign w:val="center"/>
          </w:tcPr>
          <w:p w14:paraId="47FF1046">
            <w:pPr>
              <w:spacing w:line="260" w:lineRule="exact"/>
              <w:rPr>
                <w:rFonts w:hint="eastAsia" w:ascii="宋体" w:hAnsi="宋体" w:eastAsia="宋体" w:cs="宋体"/>
                <w:color w:val="auto"/>
                <w:spacing w:val="-6"/>
              </w:rPr>
            </w:pPr>
            <w:r>
              <w:rPr>
                <w:rFonts w:hint="eastAsia" w:ascii="宋体" w:hAnsi="宋体" w:eastAsia="宋体" w:cs="宋体"/>
                <w:color w:val="auto"/>
                <w:spacing w:val="-6"/>
              </w:rPr>
              <w:t>不按规定及时施肥，扣1分/处；偷工减料，肥料挪作他用，发现一次扣2分，不及时覆盖，发现一处扣1分。</w:t>
            </w:r>
          </w:p>
        </w:tc>
      </w:tr>
      <w:tr w14:paraId="1B2A3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continue"/>
            <w:tcBorders>
              <w:top w:val="nil"/>
              <w:left w:val="single" w:color="auto" w:sz="4" w:space="0"/>
              <w:bottom w:val="single" w:color="auto" w:sz="4" w:space="0"/>
              <w:right w:val="single" w:color="auto" w:sz="4" w:space="0"/>
            </w:tcBorders>
            <w:vAlign w:val="center"/>
          </w:tcPr>
          <w:p w14:paraId="2CC78FB9">
            <w:pPr>
              <w:widowControl/>
              <w:jc w:val="left"/>
              <w:rPr>
                <w:rFonts w:hint="eastAsia" w:ascii="宋体" w:hAnsi="宋体" w:eastAsia="宋体" w:cs="宋体"/>
                <w:color w:val="auto"/>
                <w:spacing w:val="-6"/>
              </w:rPr>
            </w:pPr>
          </w:p>
        </w:tc>
        <w:tc>
          <w:tcPr>
            <w:tcW w:w="688" w:type="dxa"/>
            <w:vMerge w:val="continue"/>
            <w:tcBorders>
              <w:top w:val="nil"/>
              <w:left w:val="nil"/>
              <w:bottom w:val="single" w:color="auto" w:sz="4" w:space="0"/>
              <w:right w:val="single" w:color="auto" w:sz="4" w:space="0"/>
            </w:tcBorders>
            <w:vAlign w:val="center"/>
          </w:tcPr>
          <w:p w14:paraId="59EEBD64">
            <w:pPr>
              <w:widowControl/>
              <w:jc w:val="left"/>
              <w:rPr>
                <w:rFonts w:hint="eastAsia" w:ascii="宋体" w:hAnsi="宋体" w:eastAsia="宋体" w:cs="宋体"/>
                <w:color w:val="auto"/>
                <w:spacing w:val="-6"/>
              </w:rPr>
            </w:pPr>
          </w:p>
        </w:tc>
        <w:tc>
          <w:tcPr>
            <w:tcW w:w="543" w:type="dxa"/>
            <w:tcBorders>
              <w:top w:val="single" w:color="auto" w:sz="4" w:space="0"/>
              <w:left w:val="nil"/>
              <w:bottom w:val="single" w:color="auto" w:sz="4" w:space="0"/>
              <w:right w:val="single" w:color="auto" w:sz="4" w:space="0"/>
            </w:tcBorders>
            <w:vAlign w:val="center"/>
          </w:tcPr>
          <w:p w14:paraId="0011ED98">
            <w:pPr>
              <w:spacing w:line="260" w:lineRule="exact"/>
              <w:jc w:val="center"/>
              <w:rPr>
                <w:rFonts w:hint="eastAsia" w:ascii="宋体" w:hAnsi="宋体" w:eastAsia="宋体" w:cs="宋体"/>
                <w:color w:val="auto"/>
                <w:spacing w:val="-6"/>
                <w:lang w:eastAsia="zh-CN"/>
              </w:rPr>
            </w:pPr>
            <w:r>
              <w:rPr>
                <w:rFonts w:hint="eastAsia" w:ascii="宋体" w:hAnsi="宋体" w:eastAsia="宋体" w:cs="宋体"/>
                <w:color w:val="auto"/>
                <w:spacing w:val="-6"/>
              </w:rPr>
              <w:t>1</w:t>
            </w:r>
            <w:r>
              <w:rPr>
                <w:rFonts w:hint="eastAsia" w:ascii="宋体" w:hAnsi="宋体" w:eastAsia="宋体" w:cs="宋体"/>
                <w:color w:val="auto"/>
                <w:spacing w:val="-6"/>
                <w:lang w:val="en-US" w:eastAsia="zh-CN"/>
              </w:rPr>
              <w:t>3</w:t>
            </w:r>
          </w:p>
        </w:tc>
        <w:tc>
          <w:tcPr>
            <w:tcW w:w="2847" w:type="dxa"/>
            <w:tcBorders>
              <w:top w:val="single" w:color="auto" w:sz="4" w:space="0"/>
              <w:left w:val="nil"/>
              <w:bottom w:val="single" w:color="auto" w:sz="4" w:space="0"/>
              <w:right w:val="single" w:color="auto" w:sz="4" w:space="0"/>
            </w:tcBorders>
            <w:vAlign w:val="center"/>
          </w:tcPr>
          <w:p w14:paraId="6BBE7A61">
            <w:pPr>
              <w:spacing w:line="260" w:lineRule="exact"/>
              <w:rPr>
                <w:rFonts w:hint="eastAsia" w:ascii="宋体" w:hAnsi="宋体" w:eastAsia="宋体" w:cs="宋体"/>
                <w:color w:val="auto"/>
                <w:spacing w:val="-6"/>
              </w:rPr>
            </w:pPr>
            <w:r>
              <w:rPr>
                <w:rFonts w:hint="eastAsia" w:ascii="宋体" w:hAnsi="宋体" w:eastAsia="宋体" w:cs="宋体"/>
                <w:color w:val="auto"/>
                <w:spacing w:val="-6"/>
              </w:rPr>
              <w:t>施肥方法适当，用量合理，不产生肥害。</w:t>
            </w:r>
          </w:p>
        </w:tc>
        <w:tc>
          <w:tcPr>
            <w:tcW w:w="525" w:type="dxa"/>
            <w:tcBorders>
              <w:top w:val="single" w:color="auto" w:sz="4" w:space="0"/>
              <w:left w:val="nil"/>
              <w:bottom w:val="single" w:color="auto" w:sz="4" w:space="0"/>
              <w:right w:val="single" w:color="auto" w:sz="4" w:space="0"/>
            </w:tcBorders>
            <w:vAlign w:val="center"/>
          </w:tcPr>
          <w:p w14:paraId="3FFC1555">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2</w:t>
            </w:r>
          </w:p>
        </w:tc>
        <w:tc>
          <w:tcPr>
            <w:tcW w:w="3305" w:type="dxa"/>
            <w:tcBorders>
              <w:top w:val="single" w:color="auto" w:sz="4" w:space="0"/>
              <w:left w:val="nil"/>
              <w:bottom w:val="single" w:color="auto" w:sz="4" w:space="0"/>
              <w:right w:val="single" w:color="auto" w:sz="4" w:space="0"/>
            </w:tcBorders>
            <w:vAlign w:val="center"/>
          </w:tcPr>
          <w:p w14:paraId="7A4221FF">
            <w:pPr>
              <w:spacing w:line="260" w:lineRule="exact"/>
              <w:rPr>
                <w:rFonts w:hint="eastAsia" w:ascii="宋体" w:hAnsi="宋体" w:eastAsia="宋体" w:cs="宋体"/>
                <w:color w:val="auto"/>
                <w:spacing w:val="-6"/>
              </w:rPr>
            </w:pPr>
            <w:r>
              <w:rPr>
                <w:rFonts w:hint="eastAsia" w:ascii="宋体" w:hAnsi="宋体" w:eastAsia="宋体" w:cs="宋体"/>
                <w:color w:val="auto"/>
                <w:spacing w:val="-6"/>
              </w:rPr>
              <w:t>如发生肥害，扣1分/处，致使植物死亡，加倍扣分。</w:t>
            </w:r>
          </w:p>
        </w:tc>
      </w:tr>
      <w:tr w14:paraId="0B09E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restart"/>
            <w:tcBorders>
              <w:top w:val="nil"/>
              <w:left w:val="single" w:color="auto" w:sz="4" w:space="0"/>
              <w:bottom w:val="single" w:color="auto" w:sz="4" w:space="0"/>
              <w:right w:val="single" w:color="auto" w:sz="4" w:space="0"/>
            </w:tcBorders>
            <w:vAlign w:val="center"/>
          </w:tcPr>
          <w:p w14:paraId="63B07372">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6</w:t>
            </w:r>
          </w:p>
        </w:tc>
        <w:tc>
          <w:tcPr>
            <w:tcW w:w="688" w:type="dxa"/>
            <w:vMerge w:val="restart"/>
            <w:tcBorders>
              <w:top w:val="nil"/>
              <w:left w:val="nil"/>
              <w:bottom w:val="single" w:color="auto" w:sz="4" w:space="0"/>
              <w:right w:val="single" w:color="auto" w:sz="4" w:space="0"/>
            </w:tcBorders>
            <w:vAlign w:val="center"/>
          </w:tcPr>
          <w:p w14:paraId="238BD1F5">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病</w:t>
            </w:r>
          </w:p>
          <w:p w14:paraId="139738AE">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虫</w:t>
            </w:r>
          </w:p>
          <w:p w14:paraId="7B6143DC">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防</w:t>
            </w:r>
          </w:p>
          <w:p w14:paraId="133B2247">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治</w:t>
            </w:r>
          </w:p>
          <w:p w14:paraId="1F9D67BB">
            <w:pPr>
              <w:spacing w:line="260" w:lineRule="exact"/>
              <w:ind w:left="-1" w:leftChars="-37" w:right="-92" w:rightChars="-44" w:hanging="77" w:hangingChars="39"/>
              <w:jc w:val="center"/>
              <w:rPr>
                <w:rFonts w:hint="eastAsia" w:ascii="宋体" w:hAnsi="宋体" w:eastAsia="宋体" w:cs="宋体"/>
                <w:color w:val="auto"/>
                <w:spacing w:val="-6"/>
              </w:rPr>
            </w:pPr>
            <w:r>
              <w:rPr>
                <w:rFonts w:hint="eastAsia" w:ascii="宋体" w:hAnsi="宋体" w:eastAsia="宋体" w:cs="宋体"/>
                <w:color w:val="auto"/>
                <w:spacing w:val="-6"/>
              </w:rPr>
              <w:t>(10分)</w:t>
            </w:r>
          </w:p>
        </w:tc>
        <w:tc>
          <w:tcPr>
            <w:tcW w:w="543" w:type="dxa"/>
            <w:tcBorders>
              <w:top w:val="single" w:color="auto" w:sz="4" w:space="0"/>
              <w:left w:val="nil"/>
              <w:bottom w:val="single" w:color="auto" w:sz="4" w:space="0"/>
              <w:right w:val="single" w:color="auto" w:sz="4" w:space="0"/>
            </w:tcBorders>
            <w:vAlign w:val="center"/>
          </w:tcPr>
          <w:p w14:paraId="3A61989E">
            <w:pPr>
              <w:spacing w:line="260" w:lineRule="exact"/>
              <w:jc w:val="center"/>
              <w:rPr>
                <w:rFonts w:hint="eastAsia" w:ascii="宋体" w:hAnsi="宋体" w:eastAsia="宋体" w:cs="宋体"/>
                <w:color w:val="auto"/>
                <w:spacing w:val="-6"/>
                <w:lang w:eastAsia="zh-CN"/>
              </w:rPr>
            </w:pPr>
            <w:r>
              <w:rPr>
                <w:rFonts w:hint="eastAsia" w:ascii="宋体" w:hAnsi="宋体" w:eastAsia="宋体" w:cs="宋体"/>
                <w:color w:val="auto"/>
                <w:spacing w:val="-6"/>
              </w:rPr>
              <w:t>1</w:t>
            </w:r>
            <w:r>
              <w:rPr>
                <w:rFonts w:hint="eastAsia" w:ascii="宋体" w:hAnsi="宋体" w:eastAsia="宋体" w:cs="宋体"/>
                <w:color w:val="auto"/>
                <w:spacing w:val="-6"/>
                <w:lang w:val="en-US" w:eastAsia="zh-CN"/>
              </w:rPr>
              <w:t>4</w:t>
            </w:r>
          </w:p>
        </w:tc>
        <w:tc>
          <w:tcPr>
            <w:tcW w:w="2847" w:type="dxa"/>
            <w:tcBorders>
              <w:top w:val="single" w:color="auto" w:sz="4" w:space="0"/>
              <w:left w:val="nil"/>
              <w:bottom w:val="single" w:color="auto" w:sz="4" w:space="0"/>
              <w:right w:val="single" w:color="auto" w:sz="4" w:space="0"/>
            </w:tcBorders>
            <w:vAlign w:val="center"/>
          </w:tcPr>
          <w:p w14:paraId="7E4C0272">
            <w:pPr>
              <w:spacing w:line="260" w:lineRule="exact"/>
              <w:rPr>
                <w:rFonts w:hint="eastAsia" w:ascii="宋体" w:hAnsi="宋体" w:eastAsia="宋体" w:cs="宋体"/>
                <w:color w:val="auto"/>
                <w:spacing w:val="-6"/>
              </w:rPr>
            </w:pPr>
            <w:r>
              <w:rPr>
                <w:rFonts w:hint="eastAsia" w:ascii="宋体" w:hAnsi="宋体" w:eastAsia="宋体" w:cs="宋体"/>
                <w:color w:val="auto"/>
                <w:spacing w:val="-6"/>
              </w:rPr>
              <w:t>发现病虫害应主动汇报，积极防治，效果明显。</w:t>
            </w:r>
          </w:p>
        </w:tc>
        <w:tc>
          <w:tcPr>
            <w:tcW w:w="525" w:type="dxa"/>
            <w:tcBorders>
              <w:top w:val="single" w:color="auto" w:sz="4" w:space="0"/>
              <w:left w:val="nil"/>
              <w:bottom w:val="single" w:color="auto" w:sz="4" w:space="0"/>
              <w:right w:val="single" w:color="auto" w:sz="4" w:space="0"/>
            </w:tcBorders>
            <w:vAlign w:val="center"/>
          </w:tcPr>
          <w:p w14:paraId="73698917">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4</w:t>
            </w:r>
          </w:p>
        </w:tc>
        <w:tc>
          <w:tcPr>
            <w:tcW w:w="3305" w:type="dxa"/>
            <w:tcBorders>
              <w:top w:val="single" w:color="auto" w:sz="4" w:space="0"/>
              <w:left w:val="nil"/>
              <w:bottom w:val="single" w:color="auto" w:sz="4" w:space="0"/>
              <w:right w:val="single" w:color="auto" w:sz="4" w:space="0"/>
            </w:tcBorders>
            <w:vAlign w:val="center"/>
          </w:tcPr>
          <w:p w14:paraId="0799263F">
            <w:pPr>
              <w:spacing w:line="260" w:lineRule="exact"/>
              <w:rPr>
                <w:rFonts w:hint="eastAsia" w:ascii="宋体" w:hAnsi="宋体" w:eastAsia="宋体" w:cs="宋体"/>
                <w:color w:val="auto"/>
                <w:spacing w:val="-6"/>
              </w:rPr>
            </w:pPr>
            <w:r>
              <w:rPr>
                <w:rFonts w:hint="eastAsia" w:ascii="宋体" w:hAnsi="宋体" w:eastAsia="宋体" w:cs="宋体"/>
                <w:color w:val="auto"/>
                <w:spacing w:val="-6"/>
              </w:rPr>
              <w:t>发现病虫害不汇报，扣2分/次；不及时防治，有明显危害症状扣2分/次；大面积危害加倍扣分。</w:t>
            </w:r>
          </w:p>
        </w:tc>
      </w:tr>
      <w:tr w14:paraId="61AA6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continue"/>
            <w:tcBorders>
              <w:top w:val="nil"/>
              <w:left w:val="single" w:color="auto" w:sz="4" w:space="0"/>
              <w:bottom w:val="single" w:color="auto" w:sz="4" w:space="0"/>
              <w:right w:val="single" w:color="auto" w:sz="4" w:space="0"/>
            </w:tcBorders>
            <w:vAlign w:val="center"/>
          </w:tcPr>
          <w:p w14:paraId="31CAB2A9">
            <w:pPr>
              <w:widowControl/>
              <w:jc w:val="left"/>
              <w:rPr>
                <w:rFonts w:hint="eastAsia" w:ascii="宋体" w:hAnsi="宋体" w:eastAsia="宋体" w:cs="宋体"/>
                <w:color w:val="auto"/>
                <w:spacing w:val="-6"/>
              </w:rPr>
            </w:pPr>
          </w:p>
        </w:tc>
        <w:tc>
          <w:tcPr>
            <w:tcW w:w="688" w:type="dxa"/>
            <w:vMerge w:val="continue"/>
            <w:tcBorders>
              <w:top w:val="nil"/>
              <w:left w:val="nil"/>
              <w:bottom w:val="single" w:color="auto" w:sz="4" w:space="0"/>
              <w:right w:val="single" w:color="auto" w:sz="4" w:space="0"/>
            </w:tcBorders>
            <w:vAlign w:val="center"/>
          </w:tcPr>
          <w:p w14:paraId="7605CF04">
            <w:pPr>
              <w:widowControl/>
              <w:jc w:val="left"/>
              <w:rPr>
                <w:rFonts w:hint="eastAsia" w:ascii="宋体" w:hAnsi="宋体" w:eastAsia="宋体" w:cs="宋体"/>
                <w:color w:val="auto"/>
                <w:spacing w:val="-6"/>
              </w:rPr>
            </w:pPr>
          </w:p>
        </w:tc>
        <w:tc>
          <w:tcPr>
            <w:tcW w:w="543" w:type="dxa"/>
            <w:tcBorders>
              <w:top w:val="single" w:color="auto" w:sz="4" w:space="0"/>
              <w:left w:val="nil"/>
              <w:bottom w:val="single" w:color="auto" w:sz="4" w:space="0"/>
              <w:right w:val="single" w:color="auto" w:sz="4" w:space="0"/>
            </w:tcBorders>
            <w:vAlign w:val="center"/>
          </w:tcPr>
          <w:p w14:paraId="3F449307">
            <w:pPr>
              <w:spacing w:line="260" w:lineRule="exact"/>
              <w:jc w:val="center"/>
              <w:rPr>
                <w:rFonts w:hint="eastAsia" w:ascii="宋体" w:hAnsi="宋体" w:eastAsia="宋体" w:cs="宋体"/>
                <w:color w:val="auto"/>
                <w:spacing w:val="-6"/>
                <w:lang w:eastAsia="zh-CN"/>
              </w:rPr>
            </w:pPr>
            <w:r>
              <w:rPr>
                <w:rFonts w:hint="eastAsia" w:ascii="宋体" w:hAnsi="宋体" w:eastAsia="宋体" w:cs="宋体"/>
                <w:color w:val="auto"/>
                <w:spacing w:val="-6"/>
              </w:rPr>
              <w:t>1</w:t>
            </w:r>
            <w:r>
              <w:rPr>
                <w:rFonts w:hint="eastAsia" w:ascii="宋体" w:hAnsi="宋体" w:eastAsia="宋体" w:cs="宋体"/>
                <w:color w:val="auto"/>
                <w:spacing w:val="-6"/>
                <w:lang w:val="en-US" w:eastAsia="zh-CN"/>
              </w:rPr>
              <w:t>5</w:t>
            </w:r>
          </w:p>
        </w:tc>
        <w:tc>
          <w:tcPr>
            <w:tcW w:w="2847" w:type="dxa"/>
            <w:tcBorders>
              <w:top w:val="single" w:color="auto" w:sz="4" w:space="0"/>
              <w:left w:val="nil"/>
              <w:bottom w:val="single" w:color="auto" w:sz="4" w:space="0"/>
              <w:right w:val="single" w:color="auto" w:sz="4" w:space="0"/>
            </w:tcBorders>
            <w:vAlign w:val="center"/>
          </w:tcPr>
          <w:p w14:paraId="29730CC7">
            <w:pPr>
              <w:spacing w:line="260" w:lineRule="exact"/>
              <w:rPr>
                <w:rFonts w:hint="eastAsia" w:ascii="宋体" w:hAnsi="宋体" w:eastAsia="宋体" w:cs="宋体"/>
                <w:color w:val="auto"/>
                <w:spacing w:val="-6"/>
              </w:rPr>
            </w:pPr>
            <w:r>
              <w:rPr>
                <w:rFonts w:hint="eastAsia" w:ascii="宋体" w:hAnsi="宋体" w:eastAsia="宋体" w:cs="宋体"/>
                <w:color w:val="auto"/>
                <w:spacing w:val="-6"/>
              </w:rPr>
              <w:t>使用农药严格按操作规程和有关规定进行配比、用量正确，无药害产生。</w:t>
            </w:r>
          </w:p>
        </w:tc>
        <w:tc>
          <w:tcPr>
            <w:tcW w:w="525" w:type="dxa"/>
            <w:tcBorders>
              <w:top w:val="single" w:color="auto" w:sz="4" w:space="0"/>
              <w:left w:val="nil"/>
              <w:bottom w:val="single" w:color="auto" w:sz="4" w:space="0"/>
              <w:right w:val="single" w:color="auto" w:sz="4" w:space="0"/>
            </w:tcBorders>
            <w:vAlign w:val="center"/>
          </w:tcPr>
          <w:p w14:paraId="626A94F7">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4</w:t>
            </w:r>
          </w:p>
        </w:tc>
        <w:tc>
          <w:tcPr>
            <w:tcW w:w="3305" w:type="dxa"/>
            <w:tcBorders>
              <w:top w:val="single" w:color="auto" w:sz="4" w:space="0"/>
              <w:left w:val="nil"/>
              <w:bottom w:val="single" w:color="auto" w:sz="4" w:space="0"/>
              <w:right w:val="single" w:color="auto" w:sz="4" w:space="0"/>
            </w:tcBorders>
            <w:vAlign w:val="center"/>
          </w:tcPr>
          <w:p w14:paraId="77FD1903">
            <w:pPr>
              <w:spacing w:line="260" w:lineRule="exact"/>
              <w:rPr>
                <w:rFonts w:hint="eastAsia" w:ascii="宋体" w:hAnsi="宋体" w:eastAsia="宋体" w:cs="宋体"/>
                <w:color w:val="auto"/>
                <w:spacing w:val="-6"/>
              </w:rPr>
            </w:pPr>
            <w:r>
              <w:rPr>
                <w:rFonts w:hint="eastAsia" w:ascii="宋体" w:hAnsi="宋体" w:eastAsia="宋体" w:cs="宋体"/>
                <w:color w:val="auto"/>
                <w:spacing w:val="-6"/>
              </w:rPr>
              <w:t>用药效果不佳，造成病虫危害症状加重，扣1分/次；使用不当发生药害，致使植物落叶死亡，扣2分/处。</w:t>
            </w:r>
          </w:p>
        </w:tc>
      </w:tr>
      <w:tr w14:paraId="5A92B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continue"/>
            <w:tcBorders>
              <w:top w:val="nil"/>
              <w:left w:val="single" w:color="auto" w:sz="4" w:space="0"/>
              <w:bottom w:val="single" w:color="auto" w:sz="4" w:space="0"/>
              <w:right w:val="single" w:color="auto" w:sz="4" w:space="0"/>
            </w:tcBorders>
            <w:vAlign w:val="center"/>
          </w:tcPr>
          <w:p w14:paraId="2DE11229">
            <w:pPr>
              <w:widowControl/>
              <w:jc w:val="left"/>
              <w:rPr>
                <w:rFonts w:hint="eastAsia" w:ascii="宋体" w:hAnsi="宋体" w:eastAsia="宋体" w:cs="宋体"/>
                <w:color w:val="auto"/>
                <w:spacing w:val="-6"/>
              </w:rPr>
            </w:pPr>
          </w:p>
        </w:tc>
        <w:tc>
          <w:tcPr>
            <w:tcW w:w="688" w:type="dxa"/>
            <w:vMerge w:val="continue"/>
            <w:tcBorders>
              <w:top w:val="nil"/>
              <w:left w:val="nil"/>
              <w:bottom w:val="single" w:color="auto" w:sz="4" w:space="0"/>
              <w:right w:val="single" w:color="auto" w:sz="4" w:space="0"/>
            </w:tcBorders>
            <w:vAlign w:val="center"/>
          </w:tcPr>
          <w:p w14:paraId="21216344">
            <w:pPr>
              <w:widowControl/>
              <w:jc w:val="left"/>
              <w:rPr>
                <w:rFonts w:hint="eastAsia" w:ascii="宋体" w:hAnsi="宋体" w:eastAsia="宋体" w:cs="宋体"/>
                <w:color w:val="auto"/>
                <w:spacing w:val="-6"/>
              </w:rPr>
            </w:pPr>
          </w:p>
        </w:tc>
        <w:tc>
          <w:tcPr>
            <w:tcW w:w="543" w:type="dxa"/>
            <w:tcBorders>
              <w:top w:val="single" w:color="auto" w:sz="4" w:space="0"/>
              <w:left w:val="nil"/>
              <w:bottom w:val="single" w:color="auto" w:sz="4" w:space="0"/>
              <w:right w:val="single" w:color="auto" w:sz="4" w:space="0"/>
            </w:tcBorders>
            <w:vAlign w:val="center"/>
          </w:tcPr>
          <w:p w14:paraId="2497F5A1">
            <w:pPr>
              <w:spacing w:line="260" w:lineRule="exact"/>
              <w:jc w:val="center"/>
              <w:rPr>
                <w:rFonts w:hint="eastAsia" w:ascii="宋体" w:hAnsi="宋体" w:eastAsia="宋体" w:cs="宋体"/>
                <w:color w:val="auto"/>
                <w:spacing w:val="-6"/>
                <w:lang w:eastAsia="zh-CN"/>
              </w:rPr>
            </w:pPr>
            <w:r>
              <w:rPr>
                <w:rFonts w:hint="eastAsia" w:ascii="宋体" w:hAnsi="宋体" w:eastAsia="宋体" w:cs="宋体"/>
                <w:color w:val="auto"/>
                <w:spacing w:val="-6"/>
              </w:rPr>
              <w:t>1</w:t>
            </w:r>
            <w:r>
              <w:rPr>
                <w:rFonts w:hint="eastAsia" w:ascii="宋体" w:hAnsi="宋体" w:eastAsia="宋体" w:cs="宋体"/>
                <w:color w:val="auto"/>
                <w:spacing w:val="-6"/>
                <w:lang w:val="en-US" w:eastAsia="zh-CN"/>
              </w:rPr>
              <w:t>6</w:t>
            </w:r>
          </w:p>
        </w:tc>
        <w:tc>
          <w:tcPr>
            <w:tcW w:w="2847" w:type="dxa"/>
            <w:tcBorders>
              <w:top w:val="single" w:color="auto" w:sz="4" w:space="0"/>
              <w:left w:val="nil"/>
              <w:bottom w:val="single" w:color="auto" w:sz="4" w:space="0"/>
              <w:right w:val="single" w:color="auto" w:sz="4" w:space="0"/>
            </w:tcBorders>
            <w:vAlign w:val="center"/>
          </w:tcPr>
          <w:p w14:paraId="77453670">
            <w:pPr>
              <w:spacing w:line="260" w:lineRule="exact"/>
              <w:rPr>
                <w:rFonts w:hint="eastAsia" w:ascii="宋体" w:hAnsi="宋体" w:eastAsia="宋体" w:cs="宋体"/>
                <w:color w:val="auto"/>
                <w:spacing w:val="-6"/>
              </w:rPr>
            </w:pPr>
            <w:r>
              <w:rPr>
                <w:rFonts w:hint="eastAsia" w:ascii="宋体" w:hAnsi="宋体" w:eastAsia="宋体" w:cs="宋体"/>
                <w:color w:val="auto"/>
                <w:spacing w:val="-6"/>
              </w:rPr>
              <w:t>结合冬季树木涂白、修剪，及时清理消灭越冬虫蛹、虫茧及有关病原体。</w:t>
            </w:r>
          </w:p>
        </w:tc>
        <w:tc>
          <w:tcPr>
            <w:tcW w:w="525" w:type="dxa"/>
            <w:tcBorders>
              <w:top w:val="single" w:color="auto" w:sz="4" w:space="0"/>
              <w:left w:val="nil"/>
              <w:bottom w:val="single" w:color="auto" w:sz="4" w:space="0"/>
              <w:right w:val="single" w:color="auto" w:sz="4" w:space="0"/>
            </w:tcBorders>
            <w:vAlign w:val="center"/>
          </w:tcPr>
          <w:p w14:paraId="1C967DF3">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2</w:t>
            </w:r>
          </w:p>
        </w:tc>
        <w:tc>
          <w:tcPr>
            <w:tcW w:w="3305" w:type="dxa"/>
            <w:tcBorders>
              <w:top w:val="single" w:color="auto" w:sz="4" w:space="0"/>
              <w:left w:val="nil"/>
              <w:bottom w:val="single" w:color="auto" w:sz="4" w:space="0"/>
              <w:right w:val="single" w:color="auto" w:sz="4" w:space="0"/>
            </w:tcBorders>
            <w:vAlign w:val="center"/>
          </w:tcPr>
          <w:p w14:paraId="1958A973">
            <w:pPr>
              <w:spacing w:line="260" w:lineRule="exact"/>
              <w:rPr>
                <w:rFonts w:hint="eastAsia" w:ascii="宋体" w:hAnsi="宋体" w:eastAsia="宋体" w:cs="宋体"/>
                <w:color w:val="auto"/>
                <w:spacing w:val="-6"/>
              </w:rPr>
            </w:pPr>
            <w:r>
              <w:rPr>
                <w:rFonts w:hint="eastAsia" w:ascii="宋体" w:hAnsi="宋体" w:eastAsia="宋体" w:cs="宋体"/>
                <w:color w:val="auto"/>
                <w:spacing w:val="-6"/>
              </w:rPr>
              <w:t>不实施，有一项扣1分。</w:t>
            </w:r>
          </w:p>
        </w:tc>
      </w:tr>
      <w:tr w14:paraId="35BDC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restart"/>
            <w:tcBorders>
              <w:top w:val="nil"/>
              <w:left w:val="single" w:color="auto" w:sz="4" w:space="0"/>
              <w:bottom w:val="single" w:color="auto" w:sz="4" w:space="0"/>
              <w:right w:val="single" w:color="auto" w:sz="4" w:space="0"/>
            </w:tcBorders>
            <w:vAlign w:val="center"/>
          </w:tcPr>
          <w:p w14:paraId="0641B9B4">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7</w:t>
            </w:r>
          </w:p>
        </w:tc>
        <w:tc>
          <w:tcPr>
            <w:tcW w:w="688" w:type="dxa"/>
            <w:vMerge w:val="restart"/>
            <w:tcBorders>
              <w:top w:val="nil"/>
              <w:left w:val="nil"/>
              <w:bottom w:val="single" w:color="auto" w:sz="4" w:space="0"/>
              <w:right w:val="single" w:color="auto" w:sz="4" w:space="0"/>
            </w:tcBorders>
            <w:vAlign w:val="center"/>
          </w:tcPr>
          <w:p w14:paraId="71796385">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整</w:t>
            </w:r>
          </w:p>
          <w:p w14:paraId="65036CA8">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枝</w:t>
            </w:r>
          </w:p>
          <w:p w14:paraId="49FFA274">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修</w:t>
            </w:r>
          </w:p>
          <w:p w14:paraId="4A690B87">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剪</w:t>
            </w:r>
          </w:p>
          <w:p w14:paraId="5786876C">
            <w:pPr>
              <w:wordWrap w:val="0"/>
              <w:spacing w:line="260" w:lineRule="exact"/>
              <w:ind w:leftChars="-80" w:right="-92" w:rightChars="-44" w:hanging="168" w:hangingChars="85"/>
              <w:jc w:val="right"/>
              <w:rPr>
                <w:rFonts w:hint="eastAsia" w:ascii="宋体" w:hAnsi="宋体" w:eastAsia="宋体" w:cs="宋体"/>
                <w:color w:val="auto"/>
                <w:spacing w:val="-6"/>
              </w:rPr>
            </w:pPr>
            <w:r>
              <w:rPr>
                <w:rFonts w:hint="eastAsia" w:ascii="宋体" w:hAnsi="宋体" w:eastAsia="宋体" w:cs="宋体"/>
                <w:color w:val="auto"/>
                <w:spacing w:val="-6"/>
              </w:rPr>
              <w:t>(17分)</w:t>
            </w:r>
          </w:p>
        </w:tc>
        <w:tc>
          <w:tcPr>
            <w:tcW w:w="543" w:type="dxa"/>
            <w:tcBorders>
              <w:top w:val="single" w:color="auto" w:sz="4" w:space="0"/>
              <w:left w:val="nil"/>
              <w:bottom w:val="single" w:color="auto" w:sz="4" w:space="0"/>
              <w:right w:val="single" w:color="auto" w:sz="4" w:space="0"/>
            </w:tcBorders>
            <w:vAlign w:val="center"/>
          </w:tcPr>
          <w:p w14:paraId="186A636D">
            <w:pPr>
              <w:spacing w:line="260" w:lineRule="exact"/>
              <w:jc w:val="center"/>
              <w:rPr>
                <w:rFonts w:hint="eastAsia" w:ascii="宋体" w:hAnsi="宋体" w:eastAsia="宋体" w:cs="宋体"/>
                <w:color w:val="auto"/>
                <w:spacing w:val="-6"/>
                <w:lang w:eastAsia="zh-CN"/>
              </w:rPr>
            </w:pPr>
            <w:r>
              <w:rPr>
                <w:rFonts w:hint="eastAsia" w:ascii="宋体" w:hAnsi="宋体" w:eastAsia="宋体" w:cs="宋体"/>
                <w:color w:val="auto"/>
                <w:spacing w:val="-6"/>
              </w:rPr>
              <w:t>1</w:t>
            </w:r>
            <w:r>
              <w:rPr>
                <w:rFonts w:hint="eastAsia" w:ascii="宋体" w:hAnsi="宋体" w:eastAsia="宋体" w:cs="宋体"/>
                <w:color w:val="auto"/>
                <w:spacing w:val="-6"/>
                <w:lang w:val="en-US" w:eastAsia="zh-CN"/>
              </w:rPr>
              <w:t>7</w:t>
            </w:r>
          </w:p>
        </w:tc>
        <w:tc>
          <w:tcPr>
            <w:tcW w:w="2847" w:type="dxa"/>
            <w:tcBorders>
              <w:top w:val="single" w:color="auto" w:sz="4" w:space="0"/>
              <w:left w:val="nil"/>
              <w:bottom w:val="single" w:color="auto" w:sz="4" w:space="0"/>
              <w:right w:val="single" w:color="auto" w:sz="4" w:space="0"/>
            </w:tcBorders>
            <w:vAlign w:val="center"/>
          </w:tcPr>
          <w:p w14:paraId="678775E3">
            <w:pPr>
              <w:spacing w:line="260" w:lineRule="exact"/>
              <w:rPr>
                <w:rFonts w:hint="eastAsia" w:ascii="宋体" w:hAnsi="宋体" w:eastAsia="宋体" w:cs="宋体"/>
                <w:color w:val="auto"/>
                <w:spacing w:val="-6"/>
              </w:rPr>
            </w:pPr>
            <w:r>
              <w:rPr>
                <w:rFonts w:hint="eastAsia" w:ascii="宋体" w:hAnsi="宋体" w:eastAsia="宋体" w:cs="宋体"/>
                <w:color w:val="auto"/>
                <w:spacing w:val="-6"/>
              </w:rPr>
              <w:t>树木修剪规范整齐，定枝、整枝合理均匀；花灌木修剪及时、准确；色块、绿篱适期修剪，曲线润畅，轮廓明显，不脱脚，不缺损，三面整齐平整，球类修剪圆整。</w:t>
            </w:r>
          </w:p>
        </w:tc>
        <w:tc>
          <w:tcPr>
            <w:tcW w:w="525" w:type="dxa"/>
            <w:tcBorders>
              <w:top w:val="single" w:color="auto" w:sz="4" w:space="0"/>
              <w:left w:val="nil"/>
              <w:bottom w:val="single" w:color="auto" w:sz="4" w:space="0"/>
              <w:right w:val="single" w:color="auto" w:sz="4" w:space="0"/>
            </w:tcBorders>
            <w:vAlign w:val="center"/>
          </w:tcPr>
          <w:p w14:paraId="08D9CFEC">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8</w:t>
            </w:r>
          </w:p>
        </w:tc>
        <w:tc>
          <w:tcPr>
            <w:tcW w:w="3305" w:type="dxa"/>
            <w:tcBorders>
              <w:top w:val="single" w:color="auto" w:sz="4" w:space="0"/>
              <w:left w:val="nil"/>
              <w:bottom w:val="single" w:color="auto" w:sz="4" w:space="0"/>
              <w:right w:val="single" w:color="auto" w:sz="4" w:space="0"/>
            </w:tcBorders>
            <w:vAlign w:val="center"/>
          </w:tcPr>
          <w:p w14:paraId="4C431855">
            <w:pPr>
              <w:spacing w:line="260" w:lineRule="exact"/>
              <w:rPr>
                <w:rFonts w:hint="eastAsia" w:ascii="宋体" w:hAnsi="宋体" w:eastAsia="宋体" w:cs="宋体"/>
                <w:color w:val="auto"/>
                <w:spacing w:val="-6"/>
              </w:rPr>
            </w:pPr>
            <w:r>
              <w:rPr>
                <w:rFonts w:hint="eastAsia" w:ascii="宋体" w:hAnsi="宋体" w:eastAsia="宋体" w:cs="宋体"/>
                <w:color w:val="auto"/>
                <w:spacing w:val="-6"/>
              </w:rPr>
              <w:t>不及时修剪，扣2分；不按要求乱修剪，扣3分，有脱脚、缺损，扣0.5分/处；绿篱修剪面不平、不直，宽度不匀，扣1分/100m；有明显凹凸，扣0.5分/处；色块轮廓不明显，面不平，扣0.5分/处；球类修整不圆，同条路或同块趋向不一，扣0.5分/处。</w:t>
            </w:r>
          </w:p>
        </w:tc>
      </w:tr>
      <w:tr w14:paraId="31078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continue"/>
            <w:tcBorders>
              <w:top w:val="nil"/>
              <w:left w:val="single" w:color="auto" w:sz="4" w:space="0"/>
              <w:bottom w:val="single" w:color="auto" w:sz="4" w:space="0"/>
              <w:right w:val="single" w:color="auto" w:sz="4" w:space="0"/>
            </w:tcBorders>
            <w:vAlign w:val="center"/>
          </w:tcPr>
          <w:p w14:paraId="36CE866F">
            <w:pPr>
              <w:widowControl/>
              <w:jc w:val="left"/>
              <w:rPr>
                <w:rFonts w:hint="eastAsia" w:ascii="宋体" w:hAnsi="宋体" w:eastAsia="宋体" w:cs="宋体"/>
                <w:color w:val="auto"/>
                <w:spacing w:val="-6"/>
              </w:rPr>
            </w:pPr>
          </w:p>
        </w:tc>
        <w:tc>
          <w:tcPr>
            <w:tcW w:w="688" w:type="dxa"/>
            <w:vMerge w:val="continue"/>
            <w:tcBorders>
              <w:top w:val="nil"/>
              <w:left w:val="nil"/>
              <w:bottom w:val="single" w:color="auto" w:sz="4" w:space="0"/>
              <w:right w:val="single" w:color="auto" w:sz="4" w:space="0"/>
            </w:tcBorders>
            <w:vAlign w:val="center"/>
          </w:tcPr>
          <w:p w14:paraId="628385D3">
            <w:pPr>
              <w:widowControl/>
              <w:jc w:val="left"/>
              <w:rPr>
                <w:rFonts w:hint="eastAsia" w:ascii="宋体" w:hAnsi="宋体" w:eastAsia="宋体" w:cs="宋体"/>
                <w:color w:val="auto"/>
                <w:spacing w:val="-6"/>
              </w:rPr>
            </w:pPr>
          </w:p>
        </w:tc>
        <w:tc>
          <w:tcPr>
            <w:tcW w:w="543" w:type="dxa"/>
            <w:tcBorders>
              <w:top w:val="single" w:color="auto" w:sz="4" w:space="0"/>
              <w:left w:val="nil"/>
              <w:bottom w:val="single" w:color="auto" w:sz="4" w:space="0"/>
              <w:right w:val="single" w:color="auto" w:sz="4" w:space="0"/>
            </w:tcBorders>
            <w:vAlign w:val="center"/>
          </w:tcPr>
          <w:p w14:paraId="30920014">
            <w:pPr>
              <w:spacing w:line="260" w:lineRule="exact"/>
              <w:jc w:val="center"/>
              <w:rPr>
                <w:rFonts w:hint="eastAsia" w:ascii="宋体" w:hAnsi="宋体" w:eastAsia="宋体" w:cs="宋体"/>
                <w:color w:val="auto"/>
                <w:spacing w:val="-6"/>
                <w:lang w:val="en-US" w:eastAsia="zh-CN"/>
              </w:rPr>
            </w:pPr>
            <w:r>
              <w:rPr>
                <w:rFonts w:hint="eastAsia" w:ascii="宋体" w:hAnsi="宋体" w:eastAsia="宋体" w:cs="宋体"/>
                <w:color w:val="auto"/>
                <w:spacing w:val="-6"/>
                <w:lang w:val="en-US" w:eastAsia="zh-CN"/>
              </w:rPr>
              <w:t>18</w:t>
            </w:r>
          </w:p>
        </w:tc>
        <w:tc>
          <w:tcPr>
            <w:tcW w:w="2847" w:type="dxa"/>
            <w:tcBorders>
              <w:top w:val="single" w:color="auto" w:sz="4" w:space="0"/>
              <w:left w:val="nil"/>
              <w:bottom w:val="single" w:color="auto" w:sz="4" w:space="0"/>
              <w:right w:val="single" w:color="auto" w:sz="4" w:space="0"/>
            </w:tcBorders>
            <w:vAlign w:val="center"/>
          </w:tcPr>
          <w:p w14:paraId="318BC3F9">
            <w:pPr>
              <w:spacing w:line="260" w:lineRule="exact"/>
              <w:rPr>
                <w:rFonts w:hint="eastAsia" w:ascii="宋体" w:hAnsi="宋体" w:eastAsia="宋体" w:cs="宋体"/>
                <w:color w:val="auto"/>
                <w:spacing w:val="-6"/>
              </w:rPr>
            </w:pPr>
            <w:r>
              <w:rPr>
                <w:rFonts w:hint="eastAsia" w:ascii="宋体" w:hAnsi="宋体" w:eastAsia="宋体" w:cs="宋体"/>
                <w:color w:val="auto"/>
                <w:spacing w:val="-6"/>
              </w:rPr>
              <w:t>根据树木习性及时修剪剥芽，修剪符合要求，树木通风透光良好。</w:t>
            </w:r>
          </w:p>
        </w:tc>
        <w:tc>
          <w:tcPr>
            <w:tcW w:w="525" w:type="dxa"/>
            <w:tcBorders>
              <w:top w:val="single" w:color="auto" w:sz="4" w:space="0"/>
              <w:left w:val="nil"/>
              <w:bottom w:val="single" w:color="auto" w:sz="4" w:space="0"/>
              <w:right w:val="single" w:color="auto" w:sz="4" w:space="0"/>
            </w:tcBorders>
            <w:vAlign w:val="center"/>
          </w:tcPr>
          <w:p w14:paraId="608C928C">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4</w:t>
            </w:r>
          </w:p>
        </w:tc>
        <w:tc>
          <w:tcPr>
            <w:tcW w:w="3305" w:type="dxa"/>
            <w:tcBorders>
              <w:top w:val="single" w:color="auto" w:sz="4" w:space="0"/>
              <w:left w:val="nil"/>
              <w:bottom w:val="single" w:color="auto" w:sz="4" w:space="0"/>
              <w:right w:val="single" w:color="auto" w:sz="4" w:space="0"/>
            </w:tcBorders>
            <w:vAlign w:val="center"/>
          </w:tcPr>
          <w:p w14:paraId="44220A87">
            <w:pPr>
              <w:spacing w:line="260" w:lineRule="exact"/>
              <w:rPr>
                <w:rFonts w:hint="eastAsia" w:ascii="宋体" w:hAnsi="宋体" w:eastAsia="宋体" w:cs="宋体"/>
                <w:color w:val="auto"/>
                <w:spacing w:val="-6"/>
              </w:rPr>
            </w:pPr>
            <w:r>
              <w:rPr>
                <w:rFonts w:hint="eastAsia" w:ascii="宋体" w:hAnsi="宋体" w:eastAsia="宋体" w:cs="宋体"/>
                <w:color w:val="auto"/>
                <w:spacing w:val="-6"/>
              </w:rPr>
              <w:t>树木未及时修剪剥芽，扣1分/处；乔木萌孽芽未及时剥除，发现一株扣0.5分；修剪不当造成树木枯死，扣1分/株。</w:t>
            </w:r>
          </w:p>
        </w:tc>
      </w:tr>
      <w:tr w14:paraId="3D3F6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continue"/>
            <w:tcBorders>
              <w:top w:val="nil"/>
              <w:left w:val="single" w:color="auto" w:sz="4" w:space="0"/>
              <w:bottom w:val="single" w:color="auto" w:sz="4" w:space="0"/>
              <w:right w:val="single" w:color="auto" w:sz="4" w:space="0"/>
            </w:tcBorders>
            <w:vAlign w:val="center"/>
          </w:tcPr>
          <w:p w14:paraId="088C0D62">
            <w:pPr>
              <w:widowControl/>
              <w:jc w:val="left"/>
              <w:rPr>
                <w:rFonts w:hint="eastAsia" w:ascii="宋体" w:hAnsi="宋体" w:eastAsia="宋体" w:cs="宋体"/>
                <w:color w:val="auto"/>
                <w:spacing w:val="-6"/>
              </w:rPr>
            </w:pPr>
          </w:p>
        </w:tc>
        <w:tc>
          <w:tcPr>
            <w:tcW w:w="688" w:type="dxa"/>
            <w:vMerge w:val="continue"/>
            <w:tcBorders>
              <w:top w:val="nil"/>
              <w:left w:val="nil"/>
              <w:bottom w:val="single" w:color="auto" w:sz="4" w:space="0"/>
              <w:right w:val="single" w:color="auto" w:sz="4" w:space="0"/>
            </w:tcBorders>
            <w:vAlign w:val="center"/>
          </w:tcPr>
          <w:p w14:paraId="05E5640B">
            <w:pPr>
              <w:widowControl/>
              <w:jc w:val="left"/>
              <w:rPr>
                <w:rFonts w:hint="eastAsia" w:ascii="宋体" w:hAnsi="宋体" w:eastAsia="宋体" w:cs="宋体"/>
                <w:color w:val="auto"/>
                <w:spacing w:val="-6"/>
              </w:rPr>
            </w:pPr>
          </w:p>
        </w:tc>
        <w:tc>
          <w:tcPr>
            <w:tcW w:w="543" w:type="dxa"/>
            <w:tcBorders>
              <w:top w:val="single" w:color="auto" w:sz="4" w:space="0"/>
              <w:left w:val="nil"/>
              <w:bottom w:val="single" w:color="auto" w:sz="4" w:space="0"/>
              <w:right w:val="single" w:color="auto" w:sz="4" w:space="0"/>
            </w:tcBorders>
            <w:vAlign w:val="center"/>
          </w:tcPr>
          <w:p w14:paraId="3E4BE787">
            <w:pPr>
              <w:spacing w:line="260" w:lineRule="exact"/>
              <w:jc w:val="center"/>
              <w:rPr>
                <w:rFonts w:hint="eastAsia" w:ascii="宋体" w:hAnsi="宋体" w:eastAsia="宋体" w:cs="宋体"/>
                <w:color w:val="auto"/>
                <w:spacing w:val="-6"/>
                <w:lang w:val="en-US" w:eastAsia="zh-CN"/>
              </w:rPr>
            </w:pPr>
            <w:r>
              <w:rPr>
                <w:rFonts w:hint="eastAsia" w:ascii="宋体" w:hAnsi="宋体" w:eastAsia="宋体" w:cs="宋体"/>
                <w:color w:val="auto"/>
                <w:spacing w:val="-6"/>
                <w:lang w:val="en-US" w:eastAsia="zh-CN"/>
              </w:rPr>
              <w:t>19</w:t>
            </w:r>
          </w:p>
        </w:tc>
        <w:tc>
          <w:tcPr>
            <w:tcW w:w="2847" w:type="dxa"/>
            <w:tcBorders>
              <w:top w:val="single" w:color="auto" w:sz="4" w:space="0"/>
              <w:left w:val="nil"/>
              <w:bottom w:val="single" w:color="auto" w:sz="4" w:space="0"/>
              <w:right w:val="single" w:color="auto" w:sz="4" w:space="0"/>
            </w:tcBorders>
            <w:vAlign w:val="center"/>
          </w:tcPr>
          <w:p w14:paraId="0B6283EA">
            <w:pPr>
              <w:spacing w:line="260" w:lineRule="exact"/>
              <w:rPr>
                <w:rFonts w:hint="eastAsia" w:ascii="宋体" w:hAnsi="宋体" w:eastAsia="宋体" w:cs="宋体"/>
                <w:color w:val="auto"/>
                <w:spacing w:val="-6"/>
              </w:rPr>
            </w:pPr>
            <w:r>
              <w:rPr>
                <w:rFonts w:hint="eastAsia" w:ascii="宋体" w:hAnsi="宋体" w:eastAsia="宋体" w:cs="宋体"/>
                <w:color w:val="auto"/>
                <w:spacing w:val="-6"/>
              </w:rPr>
              <w:t>草坪按照1/3原则适时进行修剪，保持一定高度，修剪面平整，边角无遗留，草屑及时扫尽运出。草坪修剪高度；冷季型为5-7cm；夏季6-8cm；暖季型3-5cm。</w:t>
            </w:r>
          </w:p>
        </w:tc>
        <w:tc>
          <w:tcPr>
            <w:tcW w:w="525" w:type="dxa"/>
            <w:tcBorders>
              <w:top w:val="single" w:color="auto" w:sz="4" w:space="0"/>
              <w:left w:val="nil"/>
              <w:bottom w:val="single" w:color="auto" w:sz="4" w:space="0"/>
              <w:right w:val="single" w:color="auto" w:sz="4" w:space="0"/>
            </w:tcBorders>
            <w:vAlign w:val="center"/>
          </w:tcPr>
          <w:p w14:paraId="31C4A8B2">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5</w:t>
            </w:r>
          </w:p>
        </w:tc>
        <w:tc>
          <w:tcPr>
            <w:tcW w:w="3305" w:type="dxa"/>
            <w:tcBorders>
              <w:top w:val="single" w:color="auto" w:sz="4" w:space="0"/>
              <w:left w:val="nil"/>
              <w:bottom w:val="single" w:color="auto" w:sz="4" w:space="0"/>
              <w:right w:val="single" w:color="auto" w:sz="4" w:space="0"/>
            </w:tcBorders>
            <w:vAlign w:val="center"/>
          </w:tcPr>
          <w:p w14:paraId="53E00825">
            <w:pPr>
              <w:spacing w:line="260" w:lineRule="exact"/>
              <w:rPr>
                <w:rFonts w:hint="eastAsia" w:ascii="宋体" w:hAnsi="宋体" w:eastAsia="宋体" w:cs="宋体"/>
                <w:color w:val="auto"/>
                <w:spacing w:val="-6"/>
              </w:rPr>
            </w:pPr>
            <w:r>
              <w:rPr>
                <w:rFonts w:hint="eastAsia" w:ascii="宋体" w:hAnsi="宋体" w:eastAsia="宋体" w:cs="宋体"/>
                <w:color w:val="auto"/>
                <w:spacing w:val="-6"/>
              </w:rPr>
              <w:t>修剪面不平，边角有遗留，扣1分/处；修剪后色斑明显，扣0.5分/处；不及时修剪，扣1分/处。</w:t>
            </w:r>
          </w:p>
        </w:tc>
      </w:tr>
      <w:tr w14:paraId="130E1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restart"/>
            <w:tcBorders>
              <w:top w:val="nil"/>
              <w:left w:val="single" w:color="auto" w:sz="4" w:space="0"/>
              <w:bottom w:val="single" w:color="auto" w:sz="4" w:space="0"/>
              <w:right w:val="single" w:color="auto" w:sz="4" w:space="0"/>
            </w:tcBorders>
            <w:vAlign w:val="center"/>
          </w:tcPr>
          <w:p w14:paraId="34126577">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8</w:t>
            </w:r>
          </w:p>
        </w:tc>
        <w:tc>
          <w:tcPr>
            <w:tcW w:w="688" w:type="dxa"/>
            <w:vMerge w:val="restart"/>
            <w:tcBorders>
              <w:top w:val="nil"/>
              <w:left w:val="nil"/>
              <w:bottom w:val="single" w:color="auto" w:sz="4" w:space="0"/>
              <w:right w:val="single" w:color="auto" w:sz="4" w:space="0"/>
            </w:tcBorders>
            <w:vAlign w:val="center"/>
          </w:tcPr>
          <w:p w14:paraId="6636AB49">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其</w:t>
            </w:r>
          </w:p>
          <w:p w14:paraId="10B7BC81">
            <w:pPr>
              <w:spacing w:line="260" w:lineRule="exact"/>
              <w:jc w:val="center"/>
              <w:rPr>
                <w:rFonts w:hint="eastAsia" w:ascii="宋体" w:hAnsi="宋体" w:eastAsia="宋体" w:cs="宋体"/>
                <w:color w:val="auto"/>
                <w:spacing w:val="-6"/>
              </w:rPr>
            </w:pPr>
          </w:p>
          <w:p w14:paraId="5EB39A74">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它</w:t>
            </w:r>
          </w:p>
          <w:p w14:paraId="24F8EDD8">
            <w:pPr>
              <w:spacing w:line="260" w:lineRule="exact"/>
              <w:ind w:left="-1" w:leftChars="-44" w:right="-78" w:rightChars="-37" w:hanging="91" w:hangingChars="46"/>
              <w:jc w:val="center"/>
              <w:rPr>
                <w:rFonts w:hint="eastAsia" w:ascii="宋体" w:hAnsi="宋体" w:eastAsia="宋体" w:cs="宋体"/>
                <w:color w:val="auto"/>
                <w:spacing w:val="-6"/>
              </w:rPr>
            </w:pPr>
            <w:r>
              <w:rPr>
                <w:rFonts w:hint="eastAsia" w:ascii="宋体" w:hAnsi="宋体" w:eastAsia="宋体" w:cs="宋体"/>
                <w:color w:val="auto"/>
                <w:spacing w:val="-6"/>
              </w:rPr>
              <w:t>(15分)</w:t>
            </w:r>
          </w:p>
        </w:tc>
        <w:tc>
          <w:tcPr>
            <w:tcW w:w="543" w:type="dxa"/>
            <w:tcBorders>
              <w:top w:val="single" w:color="auto" w:sz="4" w:space="0"/>
              <w:left w:val="nil"/>
              <w:bottom w:val="single" w:color="auto" w:sz="4" w:space="0"/>
              <w:right w:val="single" w:color="auto" w:sz="4" w:space="0"/>
            </w:tcBorders>
            <w:vAlign w:val="center"/>
          </w:tcPr>
          <w:p w14:paraId="2DC9A28C">
            <w:pPr>
              <w:spacing w:line="260" w:lineRule="exact"/>
              <w:jc w:val="center"/>
              <w:rPr>
                <w:rFonts w:hint="eastAsia" w:ascii="宋体" w:hAnsi="宋体" w:eastAsia="宋体" w:cs="宋体"/>
                <w:color w:val="auto"/>
                <w:spacing w:val="-6"/>
                <w:lang w:eastAsia="zh-CN"/>
              </w:rPr>
            </w:pPr>
            <w:r>
              <w:rPr>
                <w:rFonts w:hint="eastAsia" w:ascii="宋体" w:hAnsi="宋体" w:eastAsia="宋体" w:cs="宋体"/>
                <w:color w:val="auto"/>
                <w:spacing w:val="-6"/>
              </w:rPr>
              <w:t>2</w:t>
            </w:r>
            <w:r>
              <w:rPr>
                <w:rFonts w:hint="eastAsia" w:ascii="宋体" w:hAnsi="宋体" w:eastAsia="宋体" w:cs="宋体"/>
                <w:color w:val="auto"/>
                <w:spacing w:val="-6"/>
                <w:lang w:val="en-US" w:eastAsia="zh-CN"/>
              </w:rPr>
              <w:t>0</w:t>
            </w:r>
          </w:p>
        </w:tc>
        <w:tc>
          <w:tcPr>
            <w:tcW w:w="2847" w:type="dxa"/>
            <w:tcBorders>
              <w:top w:val="single" w:color="auto" w:sz="4" w:space="0"/>
              <w:left w:val="nil"/>
              <w:bottom w:val="single" w:color="auto" w:sz="4" w:space="0"/>
              <w:right w:val="single" w:color="auto" w:sz="4" w:space="0"/>
            </w:tcBorders>
            <w:vAlign w:val="center"/>
          </w:tcPr>
          <w:p w14:paraId="3472821A">
            <w:pPr>
              <w:spacing w:line="260" w:lineRule="exact"/>
              <w:rPr>
                <w:rFonts w:hint="eastAsia" w:ascii="宋体" w:hAnsi="宋体" w:eastAsia="宋体" w:cs="宋体"/>
                <w:color w:val="auto"/>
                <w:spacing w:val="-6"/>
              </w:rPr>
            </w:pPr>
            <w:r>
              <w:rPr>
                <w:rFonts w:hint="eastAsia" w:ascii="宋体" w:hAnsi="宋体" w:eastAsia="宋体" w:cs="宋体"/>
                <w:color w:val="auto"/>
                <w:spacing w:val="-6"/>
              </w:rPr>
              <w:t>管护组织制度全，工作有台帐，记录全，内容实并及时上报。</w:t>
            </w:r>
          </w:p>
        </w:tc>
        <w:tc>
          <w:tcPr>
            <w:tcW w:w="525" w:type="dxa"/>
            <w:tcBorders>
              <w:top w:val="single" w:color="auto" w:sz="4" w:space="0"/>
              <w:left w:val="nil"/>
              <w:bottom w:val="single" w:color="auto" w:sz="4" w:space="0"/>
              <w:right w:val="single" w:color="auto" w:sz="4" w:space="0"/>
            </w:tcBorders>
            <w:vAlign w:val="center"/>
          </w:tcPr>
          <w:p w14:paraId="792177F0">
            <w:pPr>
              <w:spacing w:line="260" w:lineRule="exact"/>
              <w:jc w:val="center"/>
              <w:rPr>
                <w:rFonts w:hint="eastAsia" w:ascii="宋体" w:hAnsi="宋体" w:eastAsia="宋体" w:cs="宋体"/>
                <w:color w:val="auto"/>
                <w:spacing w:val="-6"/>
              </w:rPr>
            </w:pPr>
            <w:r>
              <w:rPr>
                <w:rFonts w:hint="eastAsia" w:ascii="宋体" w:hAnsi="宋体" w:eastAsia="宋体" w:cs="宋体"/>
                <w:color w:val="auto"/>
                <w:spacing w:val="-6"/>
              </w:rPr>
              <w:t>2</w:t>
            </w:r>
          </w:p>
        </w:tc>
        <w:tc>
          <w:tcPr>
            <w:tcW w:w="3305" w:type="dxa"/>
            <w:tcBorders>
              <w:top w:val="single" w:color="auto" w:sz="4" w:space="0"/>
              <w:left w:val="nil"/>
              <w:bottom w:val="single" w:color="auto" w:sz="4" w:space="0"/>
              <w:right w:val="single" w:color="auto" w:sz="4" w:space="0"/>
            </w:tcBorders>
            <w:vAlign w:val="center"/>
          </w:tcPr>
          <w:p w14:paraId="05AF372F">
            <w:pPr>
              <w:spacing w:line="260" w:lineRule="exact"/>
              <w:rPr>
                <w:rFonts w:hint="eastAsia" w:ascii="宋体" w:hAnsi="宋体" w:eastAsia="宋体" w:cs="宋体"/>
                <w:color w:val="auto"/>
                <w:spacing w:val="-6"/>
              </w:rPr>
            </w:pPr>
            <w:r>
              <w:rPr>
                <w:rFonts w:hint="eastAsia" w:ascii="宋体" w:hAnsi="宋体" w:eastAsia="宋体" w:cs="宋体"/>
                <w:color w:val="auto"/>
                <w:spacing w:val="-6"/>
              </w:rPr>
              <w:t>管护小结及记录不及时，上报少不全，每次扣0.5分；无管护台帐，不得分。</w:t>
            </w:r>
          </w:p>
        </w:tc>
      </w:tr>
      <w:tr w14:paraId="68D4C1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continue"/>
            <w:tcBorders>
              <w:top w:val="nil"/>
              <w:left w:val="single" w:color="auto" w:sz="4" w:space="0"/>
              <w:bottom w:val="single" w:color="auto" w:sz="4" w:space="0"/>
              <w:right w:val="single" w:color="auto" w:sz="4" w:space="0"/>
            </w:tcBorders>
            <w:vAlign w:val="center"/>
          </w:tcPr>
          <w:p w14:paraId="37C8C3E8">
            <w:pPr>
              <w:widowControl/>
              <w:jc w:val="left"/>
              <w:rPr>
                <w:rFonts w:hint="eastAsia" w:ascii="宋体" w:hAnsi="宋体" w:eastAsia="宋体" w:cs="宋体"/>
                <w:color w:val="auto"/>
                <w:spacing w:val="-6"/>
              </w:rPr>
            </w:pPr>
          </w:p>
        </w:tc>
        <w:tc>
          <w:tcPr>
            <w:tcW w:w="688" w:type="dxa"/>
            <w:vMerge w:val="continue"/>
            <w:tcBorders>
              <w:top w:val="nil"/>
              <w:left w:val="nil"/>
              <w:bottom w:val="single" w:color="auto" w:sz="4" w:space="0"/>
              <w:right w:val="single" w:color="auto" w:sz="4" w:space="0"/>
            </w:tcBorders>
            <w:vAlign w:val="center"/>
          </w:tcPr>
          <w:p w14:paraId="5C119AFD">
            <w:pPr>
              <w:widowControl/>
              <w:jc w:val="left"/>
              <w:rPr>
                <w:rFonts w:hint="eastAsia" w:ascii="宋体" w:hAnsi="宋体" w:eastAsia="宋体" w:cs="宋体"/>
                <w:color w:val="auto"/>
                <w:spacing w:val="-6"/>
              </w:rPr>
            </w:pPr>
          </w:p>
        </w:tc>
        <w:tc>
          <w:tcPr>
            <w:tcW w:w="543" w:type="dxa"/>
            <w:tcBorders>
              <w:top w:val="single" w:color="auto" w:sz="4" w:space="0"/>
              <w:left w:val="nil"/>
              <w:bottom w:val="single" w:color="auto" w:sz="4" w:space="0"/>
              <w:right w:val="single" w:color="auto" w:sz="4" w:space="0"/>
            </w:tcBorders>
            <w:vAlign w:val="center"/>
          </w:tcPr>
          <w:p w14:paraId="27C053CA">
            <w:pPr>
              <w:spacing w:line="260" w:lineRule="exact"/>
              <w:jc w:val="center"/>
              <w:rPr>
                <w:rFonts w:hint="eastAsia" w:ascii="宋体" w:hAnsi="宋体" w:eastAsia="宋体" w:cs="宋体"/>
                <w:color w:val="auto"/>
                <w:spacing w:val="-6"/>
                <w:lang w:eastAsia="zh-CN"/>
              </w:rPr>
            </w:pPr>
            <w:r>
              <w:rPr>
                <w:rFonts w:hint="eastAsia" w:ascii="宋体" w:hAnsi="宋体" w:eastAsia="宋体" w:cs="宋体"/>
                <w:color w:val="auto"/>
                <w:spacing w:val="-6"/>
              </w:rPr>
              <w:t>2</w:t>
            </w:r>
            <w:r>
              <w:rPr>
                <w:rFonts w:hint="eastAsia" w:ascii="宋体" w:hAnsi="宋体" w:eastAsia="宋体" w:cs="宋体"/>
                <w:color w:val="auto"/>
                <w:spacing w:val="-6"/>
                <w:lang w:val="en-US" w:eastAsia="zh-CN"/>
              </w:rPr>
              <w:t>1</w:t>
            </w:r>
          </w:p>
        </w:tc>
        <w:tc>
          <w:tcPr>
            <w:tcW w:w="2847" w:type="dxa"/>
            <w:tcBorders>
              <w:top w:val="single" w:color="auto" w:sz="4" w:space="0"/>
              <w:left w:val="nil"/>
              <w:bottom w:val="single" w:color="auto" w:sz="4" w:space="0"/>
              <w:right w:val="single" w:color="auto" w:sz="4" w:space="0"/>
            </w:tcBorders>
            <w:vAlign w:val="center"/>
          </w:tcPr>
          <w:p w14:paraId="0DB42DF0">
            <w:pPr>
              <w:spacing w:line="280" w:lineRule="exact"/>
              <w:rPr>
                <w:rFonts w:hint="eastAsia" w:ascii="宋体" w:hAnsi="宋体" w:eastAsia="宋体" w:cs="宋体"/>
                <w:color w:val="auto"/>
                <w:spacing w:val="-6"/>
              </w:rPr>
            </w:pPr>
            <w:r>
              <w:rPr>
                <w:rFonts w:hint="eastAsia" w:ascii="宋体" w:hAnsi="宋体" w:eastAsia="宋体" w:cs="宋体"/>
                <w:color w:val="auto"/>
                <w:spacing w:val="-6"/>
              </w:rPr>
              <w:t>着装仪容整洁上岗，严格按安全生产操作规程组织作业，养护管理规范。</w:t>
            </w:r>
          </w:p>
        </w:tc>
        <w:tc>
          <w:tcPr>
            <w:tcW w:w="525" w:type="dxa"/>
            <w:tcBorders>
              <w:top w:val="single" w:color="auto" w:sz="4" w:space="0"/>
              <w:left w:val="nil"/>
              <w:bottom w:val="single" w:color="auto" w:sz="4" w:space="0"/>
              <w:right w:val="single" w:color="auto" w:sz="4" w:space="0"/>
            </w:tcBorders>
            <w:vAlign w:val="center"/>
          </w:tcPr>
          <w:p w14:paraId="4F4D9E1F">
            <w:pPr>
              <w:spacing w:line="280" w:lineRule="exact"/>
              <w:jc w:val="center"/>
              <w:rPr>
                <w:rFonts w:hint="eastAsia" w:ascii="宋体" w:hAnsi="宋体" w:eastAsia="宋体" w:cs="宋体"/>
                <w:color w:val="auto"/>
                <w:spacing w:val="-6"/>
              </w:rPr>
            </w:pPr>
            <w:r>
              <w:rPr>
                <w:rFonts w:hint="eastAsia" w:ascii="宋体" w:hAnsi="宋体" w:eastAsia="宋体" w:cs="宋体"/>
                <w:color w:val="auto"/>
                <w:spacing w:val="-6"/>
              </w:rPr>
              <w:t>2</w:t>
            </w:r>
          </w:p>
        </w:tc>
        <w:tc>
          <w:tcPr>
            <w:tcW w:w="3305" w:type="dxa"/>
            <w:tcBorders>
              <w:top w:val="single" w:color="auto" w:sz="4" w:space="0"/>
              <w:left w:val="nil"/>
              <w:bottom w:val="single" w:color="auto" w:sz="4" w:space="0"/>
              <w:right w:val="single" w:color="auto" w:sz="4" w:space="0"/>
            </w:tcBorders>
            <w:vAlign w:val="center"/>
          </w:tcPr>
          <w:p w14:paraId="2773021D">
            <w:pPr>
              <w:spacing w:line="280" w:lineRule="exact"/>
              <w:rPr>
                <w:rFonts w:hint="eastAsia" w:ascii="宋体" w:hAnsi="宋体" w:eastAsia="宋体" w:cs="宋体"/>
                <w:color w:val="auto"/>
                <w:spacing w:val="-6"/>
              </w:rPr>
            </w:pPr>
            <w:r>
              <w:rPr>
                <w:rFonts w:hint="eastAsia" w:ascii="宋体" w:hAnsi="宋体" w:eastAsia="宋体" w:cs="宋体"/>
                <w:color w:val="auto"/>
                <w:spacing w:val="-6"/>
              </w:rPr>
              <w:t>无养护计划，现场管理乱，发现一次扣1分，管护员仪容不整，不按要求安全作业，不得分。</w:t>
            </w:r>
          </w:p>
        </w:tc>
      </w:tr>
      <w:tr w14:paraId="02904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continue"/>
            <w:tcBorders>
              <w:top w:val="nil"/>
              <w:left w:val="single" w:color="auto" w:sz="4" w:space="0"/>
              <w:bottom w:val="single" w:color="auto" w:sz="4" w:space="0"/>
              <w:right w:val="single" w:color="auto" w:sz="4" w:space="0"/>
            </w:tcBorders>
            <w:vAlign w:val="center"/>
          </w:tcPr>
          <w:p w14:paraId="648059FA">
            <w:pPr>
              <w:widowControl/>
              <w:jc w:val="left"/>
              <w:rPr>
                <w:rFonts w:hint="eastAsia" w:ascii="宋体" w:hAnsi="宋体" w:eastAsia="宋体" w:cs="宋体"/>
                <w:color w:val="auto"/>
                <w:spacing w:val="-6"/>
              </w:rPr>
            </w:pPr>
          </w:p>
        </w:tc>
        <w:tc>
          <w:tcPr>
            <w:tcW w:w="688" w:type="dxa"/>
            <w:vMerge w:val="continue"/>
            <w:tcBorders>
              <w:top w:val="nil"/>
              <w:left w:val="nil"/>
              <w:bottom w:val="single" w:color="auto" w:sz="4" w:space="0"/>
              <w:right w:val="single" w:color="auto" w:sz="4" w:space="0"/>
            </w:tcBorders>
            <w:vAlign w:val="center"/>
          </w:tcPr>
          <w:p w14:paraId="6CA44E53">
            <w:pPr>
              <w:widowControl/>
              <w:jc w:val="left"/>
              <w:rPr>
                <w:rFonts w:hint="eastAsia" w:ascii="宋体" w:hAnsi="宋体" w:eastAsia="宋体" w:cs="宋体"/>
                <w:color w:val="auto"/>
                <w:spacing w:val="-6"/>
              </w:rPr>
            </w:pPr>
          </w:p>
        </w:tc>
        <w:tc>
          <w:tcPr>
            <w:tcW w:w="543" w:type="dxa"/>
            <w:tcBorders>
              <w:top w:val="single" w:color="auto" w:sz="4" w:space="0"/>
              <w:left w:val="nil"/>
              <w:bottom w:val="single" w:color="auto" w:sz="4" w:space="0"/>
              <w:right w:val="single" w:color="auto" w:sz="4" w:space="0"/>
            </w:tcBorders>
            <w:vAlign w:val="center"/>
          </w:tcPr>
          <w:p w14:paraId="3F0FCB4A">
            <w:pPr>
              <w:spacing w:line="260" w:lineRule="exact"/>
              <w:jc w:val="center"/>
              <w:rPr>
                <w:rFonts w:hint="eastAsia" w:ascii="宋体" w:hAnsi="宋体" w:eastAsia="宋体" w:cs="宋体"/>
                <w:color w:val="auto"/>
                <w:spacing w:val="-6"/>
                <w:lang w:eastAsia="zh-CN"/>
              </w:rPr>
            </w:pPr>
            <w:r>
              <w:rPr>
                <w:rFonts w:hint="eastAsia" w:ascii="宋体" w:hAnsi="宋体" w:eastAsia="宋体" w:cs="宋体"/>
                <w:color w:val="auto"/>
                <w:spacing w:val="-6"/>
              </w:rPr>
              <w:t>2</w:t>
            </w:r>
            <w:r>
              <w:rPr>
                <w:rFonts w:hint="eastAsia" w:ascii="宋体" w:hAnsi="宋体" w:eastAsia="宋体" w:cs="宋体"/>
                <w:color w:val="auto"/>
                <w:spacing w:val="-6"/>
                <w:lang w:val="en-US" w:eastAsia="zh-CN"/>
              </w:rPr>
              <w:t>2</w:t>
            </w:r>
          </w:p>
        </w:tc>
        <w:tc>
          <w:tcPr>
            <w:tcW w:w="2847" w:type="dxa"/>
            <w:tcBorders>
              <w:top w:val="single" w:color="auto" w:sz="4" w:space="0"/>
              <w:left w:val="nil"/>
              <w:bottom w:val="single" w:color="auto" w:sz="4" w:space="0"/>
              <w:right w:val="single" w:color="auto" w:sz="4" w:space="0"/>
            </w:tcBorders>
            <w:vAlign w:val="center"/>
          </w:tcPr>
          <w:p w14:paraId="1D539A5D">
            <w:pPr>
              <w:spacing w:line="280" w:lineRule="exact"/>
              <w:rPr>
                <w:rFonts w:hint="eastAsia" w:ascii="宋体" w:hAnsi="宋体" w:eastAsia="宋体" w:cs="宋体"/>
                <w:color w:val="auto"/>
                <w:spacing w:val="-6"/>
              </w:rPr>
            </w:pPr>
            <w:r>
              <w:rPr>
                <w:rFonts w:hint="eastAsia" w:ascii="宋体" w:hAnsi="宋体" w:eastAsia="宋体" w:cs="宋体"/>
                <w:color w:val="auto"/>
                <w:spacing w:val="-6"/>
              </w:rPr>
              <w:t>检查不在岗，或迟到、早退</w:t>
            </w:r>
          </w:p>
        </w:tc>
        <w:tc>
          <w:tcPr>
            <w:tcW w:w="525" w:type="dxa"/>
            <w:tcBorders>
              <w:top w:val="single" w:color="auto" w:sz="4" w:space="0"/>
              <w:left w:val="nil"/>
              <w:bottom w:val="single" w:color="auto" w:sz="4" w:space="0"/>
              <w:right w:val="single" w:color="auto" w:sz="4" w:space="0"/>
            </w:tcBorders>
            <w:vAlign w:val="center"/>
          </w:tcPr>
          <w:p w14:paraId="5A00F11C">
            <w:pPr>
              <w:spacing w:line="280" w:lineRule="exact"/>
              <w:jc w:val="center"/>
              <w:rPr>
                <w:rFonts w:hint="eastAsia" w:ascii="宋体" w:hAnsi="宋体" w:eastAsia="宋体" w:cs="宋体"/>
                <w:color w:val="auto"/>
                <w:spacing w:val="-6"/>
              </w:rPr>
            </w:pPr>
            <w:r>
              <w:rPr>
                <w:rFonts w:hint="eastAsia" w:ascii="宋体" w:hAnsi="宋体" w:eastAsia="宋体" w:cs="宋体"/>
                <w:color w:val="auto"/>
                <w:spacing w:val="-6"/>
              </w:rPr>
              <w:t>5</w:t>
            </w:r>
          </w:p>
        </w:tc>
        <w:tc>
          <w:tcPr>
            <w:tcW w:w="3305" w:type="dxa"/>
            <w:tcBorders>
              <w:top w:val="single" w:color="auto" w:sz="4" w:space="0"/>
              <w:left w:val="nil"/>
              <w:bottom w:val="single" w:color="auto" w:sz="4" w:space="0"/>
              <w:right w:val="single" w:color="auto" w:sz="4" w:space="0"/>
            </w:tcBorders>
            <w:vAlign w:val="center"/>
          </w:tcPr>
          <w:p w14:paraId="23C7C25D">
            <w:pPr>
              <w:spacing w:line="280" w:lineRule="exact"/>
              <w:rPr>
                <w:rFonts w:hint="eastAsia" w:ascii="宋体" w:hAnsi="宋体" w:eastAsia="宋体" w:cs="宋体"/>
                <w:color w:val="auto"/>
                <w:spacing w:val="-6"/>
              </w:rPr>
            </w:pPr>
            <w:r>
              <w:rPr>
                <w:rFonts w:hint="eastAsia" w:ascii="宋体" w:hAnsi="宋体" w:eastAsia="宋体" w:cs="宋体"/>
                <w:color w:val="auto"/>
                <w:spacing w:val="-6"/>
              </w:rPr>
              <w:t>不在岗、迟到、早退现象每次扣1分</w:t>
            </w:r>
          </w:p>
        </w:tc>
      </w:tr>
      <w:tr w14:paraId="3817F3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continue"/>
            <w:tcBorders>
              <w:top w:val="nil"/>
              <w:left w:val="single" w:color="auto" w:sz="4" w:space="0"/>
              <w:bottom w:val="single" w:color="auto" w:sz="4" w:space="0"/>
              <w:right w:val="single" w:color="auto" w:sz="4" w:space="0"/>
            </w:tcBorders>
            <w:vAlign w:val="center"/>
          </w:tcPr>
          <w:p w14:paraId="54A3A27E">
            <w:pPr>
              <w:widowControl/>
              <w:jc w:val="left"/>
              <w:rPr>
                <w:rFonts w:hint="eastAsia" w:ascii="宋体" w:hAnsi="宋体" w:eastAsia="宋体" w:cs="宋体"/>
                <w:color w:val="auto"/>
                <w:spacing w:val="-6"/>
              </w:rPr>
            </w:pPr>
          </w:p>
        </w:tc>
        <w:tc>
          <w:tcPr>
            <w:tcW w:w="688" w:type="dxa"/>
            <w:vMerge w:val="continue"/>
            <w:tcBorders>
              <w:top w:val="nil"/>
              <w:left w:val="nil"/>
              <w:bottom w:val="single" w:color="auto" w:sz="4" w:space="0"/>
              <w:right w:val="single" w:color="auto" w:sz="4" w:space="0"/>
            </w:tcBorders>
            <w:vAlign w:val="center"/>
          </w:tcPr>
          <w:p w14:paraId="720E8C20">
            <w:pPr>
              <w:widowControl/>
              <w:jc w:val="left"/>
              <w:rPr>
                <w:rFonts w:hint="eastAsia" w:ascii="宋体" w:hAnsi="宋体" w:eastAsia="宋体" w:cs="宋体"/>
                <w:color w:val="auto"/>
                <w:spacing w:val="-6"/>
              </w:rPr>
            </w:pPr>
          </w:p>
        </w:tc>
        <w:tc>
          <w:tcPr>
            <w:tcW w:w="543" w:type="dxa"/>
            <w:tcBorders>
              <w:top w:val="single" w:color="auto" w:sz="4" w:space="0"/>
              <w:left w:val="nil"/>
              <w:bottom w:val="single" w:color="auto" w:sz="4" w:space="0"/>
              <w:right w:val="single" w:color="auto" w:sz="4" w:space="0"/>
            </w:tcBorders>
            <w:vAlign w:val="center"/>
          </w:tcPr>
          <w:p w14:paraId="76001240">
            <w:pPr>
              <w:spacing w:line="260" w:lineRule="exact"/>
              <w:jc w:val="center"/>
              <w:rPr>
                <w:rFonts w:hint="eastAsia" w:ascii="宋体" w:hAnsi="宋体" w:eastAsia="宋体" w:cs="宋体"/>
                <w:color w:val="auto"/>
                <w:spacing w:val="-6"/>
                <w:lang w:eastAsia="zh-CN"/>
              </w:rPr>
            </w:pPr>
            <w:r>
              <w:rPr>
                <w:rFonts w:hint="eastAsia" w:ascii="宋体" w:hAnsi="宋体" w:eastAsia="宋体" w:cs="宋体"/>
                <w:color w:val="auto"/>
                <w:spacing w:val="-6"/>
              </w:rPr>
              <w:t>2</w:t>
            </w:r>
            <w:r>
              <w:rPr>
                <w:rFonts w:hint="eastAsia" w:ascii="宋体" w:hAnsi="宋体" w:eastAsia="宋体" w:cs="宋体"/>
                <w:color w:val="auto"/>
                <w:spacing w:val="-6"/>
                <w:lang w:val="en-US" w:eastAsia="zh-CN"/>
              </w:rPr>
              <w:t>3</w:t>
            </w:r>
          </w:p>
        </w:tc>
        <w:tc>
          <w:tcPr>
            <w:tcW w:w="2847" w:type="dxa"/>
            <w:tcBorders>
              <w:top w:val="single" w:color="auto" w:sz="4" w:space="0"/>
              <w:left w:val="nil"/>
              <w:bottom w:val="single" w:color="auto" w:sz="4" w:space="0"/>
              <w:right w:val="single" w:color="auto" w:sz="4" w:space="0"/>
            </w:tcBorders>
            <w:vAlign w:val="center"/>
          </w:tcPr>
          <w:p w14:paraId="0A5F5BCB">
            <w:pPr>
              <w:spacing w:line="280" w:lineRule="exact"/>
              <w:rPr>
                <w:rFonts w:hint="eastAsia" w:ascii="宋体" w:hAnsi="宋体" w:eastAsia="宋体" w:cs="宋体"/>
                <w:color w:val="auto"/>
                <w:spacing w:val="-6"/>
              </w:rPr>
            </w:pPr>
            <w:r>
              <w:rPr>
                <w:rFonts w:hint="eastAsia" w:ascii="宋体" w:hAnsi="宋体" w:eastAsia="宋体" w:cs="宋体"/>
                <w:color w:val="auto"/>
                <w:spacing w:val="-6"/>
              </w:rPr>
              <w:t>按绿化办要求，准时参加会议、活动及各类业务培训。</w:t>
            </w:r>
          </w:p>
        </w:tc>
        <w:tc>
          <w:tcPr>
            <w:tcW w:w="525" w:type="dxa"/>
            <w:tcBorders>
              <w:top w:val="single" w:color="auto" w:sz="4" w:space="0"/>
              <w:left w:val="nil"/>
              <w:bottom w:val="single" w:color="auto" w:sz="4" w:space="0"/>
              <w:right w:val="single" w:color="auto" w:sz="4" w:space="0"/>
            </w:tcBorders>
            <w:vAlign w:val="center"/>
          </w:tcPr>
          <w:p w14:paraId="09F47801">
            <w:pPr>
              <w:spacing w:line="280" w:lineRule="exact"/>
              <w:jc w:val="center"/>
              <w:rPr>
                <w:rFonts w:hint="eastAsia" w:ascii="宋体" w:hAnsi="宋体" w:eastAsia="宋体" w:cs="宋体"/>
                <w:color w:val="auto"/>
                <w:spacing w:val="-6"/>
              </w:rPr>
            </w:pPr>
            <w:r>
              <w:rPr>
                <w:rFonts w:hint="eastAsia" w:ascii="宋体" w:hAnsi="宋体" w:eastAsia="宋体" w:cs="宋体"/>
                <w:color w:val="auto"/>
                <w:spacing w:val="-6"/>
              </w:rPr>
              <w:t>2</w:t>
            </w:r>
          </w:p>
        </w:tc>
        <w:tc>
          <w:tcPr>
            <w:tcW w:w="3305" w:type="dxa"/>
            <w:tcBorders>
              <w:top w:val="single" w:color="auto" w:sz="4" w:space="0"/>
              <w:left w:val="nil"/>
              <w:bottom w:val="single" w:color="auto" w:sz="4" w:space="0"/>
              <w:right w:val="single" w:color="auto" w:sz="4" w:space="0"/>
            </w:tcBorders>
            <w:vAlign w:val="center"/>
          </w:tcPr>
          <w:p w14:paraId="5507C60C">
            <w:pPr>
              <w:spacing w:line="280" w:lineRule="exact"/>
              <w:rPr>
                <w:rFonts w:hint="eastAsia" w:ascii="宋体" w:hAnsi="宋体" w:eastAsia="宋体" w:cs="宋体"/>
                <w:color w:val="auto"/>
                <w:spacing w:val="-6"/>
              </w:rPr>
            </w:pPr>
            <w:r>
              <w:rPr>
                <w:rFonts w:hint="eastAsia" w:ascii="宋体" w:hAnsi="宋体" w:eastAsia="宋体" w:cs="宋体"/>
                <w:color w:val="auto"/>
                <w:spacing w:val="-6"/>
              </w:rPr>
              <w:t>迟到一次扣0.5分；无故缺席一次扣0.5分；无故替开会一次扣0.5分。</w:t>
            </w:r>
          </w:p>
        </w:tc>
      </w:tr>
      <w:tr w14:paraId="1AC778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continue"/>
            <w:tcBorders>
              <w:top w:val="nil"/>
              <w:left w:val="single" w:color="auto" w:sz="4" w:space="0"/>
              <w:bottom w:val="single" w:color="auto" w:sz="4" w:space="0"/>
              <w:right w:val="single" w:color="auto" w:sz="4" w:space="0"/>
            </w:tcBorders>
            <w:vAlign w:val="center"/>
          </w:tcPr>
          <w:p w14:paraId="462007EF">
            <w:pPr>
              <w:widowControl/>
              <w:jc w:val="left"/>
              <w:rPr>
                <w:rFonts w:hint="eastAsia" w:ascii="宋体" w:hAnsi="宋体" w:eastAsia="宋体" w:cs="宋体"/>
                <w:color w:val="auto"/>
                <w:spacing w:val="-6"/>
              </w:rPr>
            </w:pPr>
          </w:p>
        </w:tc>
        <w:tc>
          <w:tcPr>
            <w:tcW w:w="688" w:type="dxa"/>
            <w:vMerge w:val="continue"/>
            <w:tcBorders>
              <w:top w:val="nil"/>
              <w:left w:val="nil"/>
              <w:bottom w:val="single" w:color="auto" w:sz="4" w:space="0"/>
              <w:right w:val="single" w:color="auto" w:sz="4" w:space="0"/>
            </w:tcBorders>
            <w:vAlign w:val="center"/>
          </w:tcPr>
          <w:p w14:paraId="1E0FF8A6">
            <w:pPr>
              <w:widowControl/>
              <w:jc w:val="left"/>
              <w:rPr>
                <w:rFonts w:hint="eastAsia" w:ascii="宋体" w:hAnsi="宋体" w:eastAsia="宋体" w:cs="宋体"/>
                <w:color w:val="auto"/>
                <w:spacing w:val="-6"/>
              </w:rPr>
            </w:pPr>
          </w:p>
        </w:tc>
        <w:tc>
          <w:tcPr>
            <w:tcW w:w="543" w:type="dxa"/>
            <w:tcBorders>
              <w:top w:val="single" w:color="auto" w:sz="4" w:space="0"/>
              <w:left w:val="nil"/>
              <w:bottom w:val="single" w:color="auto" w:sz="4" w:space="0"/>
              <w:right w:val="single" w:color="auto" w:sz="4" w:space="0"/>
            </w:tcBorders>
            <w:vAlign w:val="center"/>
          </w:tcPr>
          <w:p w14:paraId="1AED85BF">
            <w:pPr>
              <w:spacing w:line="260" w:lineRule="exact"/>
              <w:jc w:val="center"/>
              <w:rPr>
                <w:rFonts w:hint="eastAsia" w:ascii="宋体" w:hAnsi="宋体" w:eastAsia="宋体" w:cs="宋体"/>
                <w:color w:val="auto"/>
                <w:spacing w:val="-6"/>
                <w:lang w:eastAsia="zh-CN"/>
              </w:rPr>
            </w:pPr>
            <w:r>
              <w:rPr>
                <w:rFonts w:hint="eastAsia" w:ascii="宋体" w:hAnsi="宋体" w:eastAsia="宋体" w:cs="宋体"/>
                <w:color w:val="auto"/>
                <w:spacing w:val="-6"/>
              </w:rPr>
              <w:t>2</w:t>
            </w:r>
            <w:r>
              <w:rPr>
                <w:rFonts w:hint="eastAsia" w:ascii="宋体" w:hAnsi="宋体" w:eastAsia="宋体" w:cs="宋体"/>
                <w:color w:val="auto"/>
                <w:spacing w:val="-6"/>
                <w:lang w:val="en-US" w:eastAsia="zh-CN"/>
              </w:rPr>
              <w:t>4</w:t>
            </w:r>
          </w:p>
        </w:tc>
        <w:tc>
          <w:tcPr>
            <w:tcW w:w="2847" w:type="dxa"/>
            <w:tcBorders>
              <w:top w:val="single" w:color="auto" w:sz="4" w:space="0"/>
              <w:left w:val="nil"/>
              <w:bottom w:val="single" w:color="auto" w:sz="4" w:space="0"/>
              <w:right w:val="single" w:color="auto" w:sz="4" w:space="0"/>
            </w:tcBorders>
            <w:vAlign w:val="center"/>
          </w:tcPr>
          <w:p w14:paraId="2150DB37">
            <w:pPr>
              <w:spacing w:line="280" w:lineRule="exact"/>
              <w:rPr>
                <w:rFonts w:hint="eastAsia" w:ascii="宋体" w:hAnsi="宋体" w:eastAsia="宋体" w:cs="宋体"/>
                <w:color w:val="auto"/>
                <w:spacing w:val="-6"/>
              </w:rPr>
            </w:pPr>
            <w:r>
              <w:rPr>
                <w:rFonts w:hint="eastAsia" w:ascii="宋体" w:hAnsi="宋体" w:eastAsia="宋体" w:cs="宋体"/>
                <w:color w:val="auto"/>
                <w:spacing w:val="-6"/>
              </w:rPr>
              <w:t>养护管理负责人到位，通讯畅通；发现破坏绿化现象能及时汇报。</w:t>
            </w:r>
          </w:p>
        </w:tc>
        <w:tc>
          <w:tcPr>
            <w:tcW w:w="525" w:type="dxa"/>
            <w:tcBorders>
              <w:top w:val="single" w:color="auto" w:sz="4" w:space="0"/>
              <w:left w:val="nil"/>
              <w:bottom w:val="single" w:color="auto" w:sz="4" w:space="0"/>
              <w:right w:val="single" w:color="auto" w:sz="4" w:space="0"/>
            </w:tcBorders>
            <w:vAlign w:val="center"/>
          </w:tcPr>
          <w:p w14:paraId="4CA9548D">
            <w:pPr>
              <w:spacing w:line="280" w:lineRule="exact"/>
              <w:jc w:val="center"/>
              <w:rPr>
                <w:rFonts w:hint="eastAsia" w:ascii="宋体" w:hAnsi="宋体" w:eastAsia="宋体" w:cs="宋体"/>
                <w:color w:val="auto"/>
                <w:spacing w:val="-6"/>
              </w:rPr>
            </w:pPr>
            <w:r>
              <w:rPr>
                <w:rFonts w:hint="eastAsia" w:ascii="宋体" w:hAnsi="宋体" w:eastAsia="宋体" w:cs="宋体"/>
                <w:color w:val="auto"/>
                <w:spacing w:val="-6"/>
              </w:rPr>
              <w:t>2</w:t>
            </w:r>
          </w:p>
        </w:tc>
        <w:tc>
          <w:tcPr>
            <w:tcW w:w="3305" w:type="dxa"/>
            <w:tcBorders>
              <w:top w:val="single" w:color="auto" w:sz="4" w:space="0"/>
              <w:left w:val="nil"/>
              <w:bottom w:val="single" w:color="auto" w:sz="4" w:space="0"/>
              <w:right w:val="single" w:color="auto" w:sz="4" w:space="0"/>
            </w:tcBorders>
            <w:vAlign w:val="center"/>
          </w:tcPr>
          <w:p w14:paraId="273EEC24">
            <w:pPr>
              <w:spacing w:line="280" w:lineRule="exact"/>
              <w:rPr>
                <w:rFonts w:hint="eastAsia" w:ascii="宋体" w:hAnsi="宋体" w:eastAsia="宋体" w:cs="宋体"/>
                <w:color w:val="auto"/>
                <w:spacing w:val="-6"/>
              </w:rPr>
            </w:pPr>
            <w:r>
              <w:rPr>
                <w:rFonts w:hint="eastAsia" w:ascii="宋体" w:hAnsi="宋体" w:eastAsia="宋体" w:cs="宋体"/>
                <w:color w:val="auto"/>
                <w:spacing w:val="-6"/>
              </w:rPr>
              <w:t>养护管理责任人经常变更不明确，扣1分；通讯不畅有一次扣1分；发现毁绿未及时制止上报，不得分。</w:t>
            </w:r>
          </w:p>
        </w:tc>
      </w:tr>
      <w:tr w14:paraId="2E28F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vMerge w:val="continue"/>
            <w:tcBorders>
              <w:top w:val="nil"/>
              <w:left w:val="single" w:color="auto" w:sz="4" w:space="0"/>
              <w:bottom w:val="nil"/>
              <w:right w:val="single" w:color="auto" w:sz="4" w:space="0"/>
            </w:tcBorders>
            <w:vAlign w:val="center"/>
          </w:tcPr>
          <w:p w14:paraId="0DB89369">
            <w:pPr>
              <w:widowControl/>
              <w:jc w:val="left"/>
              <w:rPr>
                <w:rFonts w:hint="eastAsia" w:ascii="宋体" w:hAnsi="宋体" w:eastAsia="宋体" w:cs="宋体"/>
                <w:color w:val="auto"/>
                <w:spacing w:val="-6"/>
              </w:rPr>
            </w:pPr>
          </w:p>
        </w:tc>
        <w:tc>
          <w:tcPr>
            <w:tcW w:w="688" w:type="dxa"/>
            <w:vMerge w:val="continue"/>
            <w:tcBorders>
              <w:top w:val="nil"/>
              <w:left w:val="nil"/>
              <w:bottom w:val="nil"/>
              <w:right w:val="single" w:color="auto" w:sz="4" w:space="0"/>
            </w:tcBorders>
            <w:vAlign w:val="center"/>
          </w:tcPr>
          <w:p w14:paraId="2BCFDBF1">
            <w:pPr>
              <w:widowControl/>
              <w:jc w:val="left"/>
              <w:rPr>
                <w:rFonts w:hint="eastAsia" w:ascii="宋体" w:hAnsi="宋体" w:eastAsia="宋体" w:cs="宋体"/>
                <w:color w:val="auto"/>
                <w:spacing w:val="-6"/>
              </w:rPr>
            </w:pPr>
          </w:p>
        </w:tc>
        <w:tc>
          <w:tcPr>
            <w:tcW w:w="543" w:type="dxa"/>
            <w:tcBorders>
              <w:top w:val="single" w:color="auto" w:sz="4" w:space="0"/>
              <w:left w:val="nil"/>
              <w:bottom w:val="single" w:color="auto" w:sz="4" w:space="0"/>
              <w:right w:val="single" w:color="auto" w:sz="4" w:space="0"/>
            </w:tcBorders>
            <w:vAlign w:val="center"/>
          </w:tcPr>
          <w:p w14:paraId="346B96B6">
            <w:pPr>
              <w:spacing w:line="260" w:lineRule="exact"/>
              <w:jc w:val="center"/>
              <w:rPr>
                <w:rFonts w:hint="eastAsia" w:ascii="宋体" w:hAnsi="宋体" w:eastAsia="宋体" w:cs="宋体"/>
                <w:color w:val="auto"/>
                <w:spacing w:val="-6"/>
                <w:lang w:eastAsia="zh-CN"/>
              </w:rPr>
            </w:pPr>
            <w:r>
              <w:rPr>
                <w:rFonts w:hint="eastAsia" w:ascii="宋体" w:hAnsi="宋体" w:eastAsia="宋体" w:cs="宋体"/>
                <w:color w:val="auto"/>
                <w:spacing w:val="-6"/>
              </w:rPr>
              <w:t>2</w:t>
            </w:r>
            <w:r>
              <w:rPr>
                <w:rFonts w:hint="eastAsia" w:ascii="宋体" w:hAnsi="宋体" w:eastAsia="宋体" w:cs="宋体"/>
                <w:color w:val="auto"/>
                <w:spacing w:val="-6"/>
                <w:lang w:val="en-US" w:eastAsia="zh-CN"/>
              </w:rPr>
              <w:t>5</w:t>
            </w:r>
          </w:p>
        </w:tc>
        <w:tc>
          <w:tcPr>
            <w:tcW w:w="2847" w:type="dxa"/>
            <w:tcBorders>
              <w:top w:val="single" w:color="auto" w:sz="4" w:space="0"/>
              <w:left w:val="nil"/>
              <w:bottom w:val="single" w:color="auto" w:sz="4" w:space="0"/>
              <w:right w:val="single" w:color="auto" w:sz="4" w:space="0"/>
            </w:tcBorders>
            <w:vAlign w:val="center"/>
          </w:tcPr>
          <w:p w14:paraId="4AADEB94">
            <w:pPr>
              <w:spacing w:line="280" w:lineRule="exact"/>
              <w:rPr>
                <w:rFonts w:hint="eastAsia" w:ascii="宋体" w:hAnsi="宋体" w:eastAsia="宋体" w:cs="宋体"/>
                <w:color w:val="auto"/>
                <w:spacing w:val="-6"/>
              </w:rPr>
            </w:pPr>
            <w:r>
              <w:rPr>
                <w:rFonts w:hint="eastAsia" w:ascii="宋体" w:hAnsi="宋体" w:eastAsia="宋体" w:cs="宋体"/>
                <w:color w:val="auto"/>
                <w:spacing w:val="-6"/>
              </w:rPr>
              <w:t>上级领导及相关部门、社区、居民反映管护存在问题。</w:t>
            </w:r>
          </w:p>
        </w:tc>
        <w:tc>
          <w:tcPr>
            <w:tcW w:w="525" w:type="dxa"/>
            <w:tcBorders>
              <w:top w:val="single" w:color="auto" w:sz="4" w:space="0"/>
              <w:left w:val="nil"/>
              <w:bottom w:val="single" w:color="auto" w:sz="4" w:space="0"/>
              <w:right w:val="single" w:color="auto" w:sz="4" w:space="0"/>
            </w:tcBorders>
            <w:vAlign w:val="center"/>
          </w:tcPr>
          <w:p w14:paraId="2CF8F8F4">
            <w:pPr>
              <w:spacing w:line="280" w:lineRule="exact"/>
              <w:jc w:val="center"/>
              <w:rPr>
                <w:rFonts w:hint="eastAsia" w:ascii="宋体" w:hAnsi="宋体" w:eastAsia="宋体" w:cs="宋体"/>
                <w:color w:val="auto"/>
                <w:spacing w:val="-6"/>
              </w:rPr>
            </w:pPr>
            <w:r>
              <w:rPr>
                <w:rFonts w:hint="eastAsia" w:ascii="宋体" w:hAnsi="宋体" w:eastAsia="宋体" w:cs="宋体"/>
                <w:color w:val="auto"/>
                <w:spacing w:val="-6"/>
              </w:rPr>
              <w:t>2</w:t>
            </w:r>
          </w:p>
        </w:tc>
        <w:tc>
          <w:tcPr>
            <w:tcW w:w="3305" w:type="dxa"/>
            <w:tcBorders>
              <w:top w:val="single" w:color="auto" w:sz="4" w:space="0"/>
              <w:left w:val="nil"/>
              <w:bottom w:val="single" w:color="auto" w:sz="4" w:space="0"/>
              <w:right w:val="single" w:color="auto" w:sz="4" w:space="0"/>
            </w:tcBorders>
            <w:vAlign w:val="center"/>
          </w:tcPr>
          <w:p w14:paraId="35A620DC">
            <w:pPr>
              <w:spacing w:line="280" w:lineRule="exact"/>
              <w:rPr>
                <w:rFonts w:hint="eastAsia" w:ascii="宋体" w:hAnsi="宋体" w:eastAsia="宋体" w:cs="宋体"/>
                <w:color w:val="auto"/>
                <w:spacing w:val="-6"/>
              </w:rPr>
            </w:pPr>
            <w:r>
              <w:rPr>
                <w:rFonts w:hint="eastAsia" w:ascii="宋体" w:hAnsi="宋体" w:eastAsia="宋体" w:cs="宋体"/>
                <w:color w:val="auto"/>
                <w:spacing w:val="-6"/>
              </w:rPr>
              <w:t>提出问题，反映情况属实，有一次扣1分。</w:t>
            </w:r>
          </w:p>
        </w:tc>
      </w:tr>
      <w:tr w14:paraId="58E96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7" w:type="dxa"/>
            <w:tcBorders>
              <w:top w:val="nil"/>
              <w:left w:val="single" w:color="auto" w:sz="4" w:space="0"/>
              <w:bottom w:val="single" w:color="auto" w:sz="4" w:space="0"/>
              <w:right w:val="single" w:color="auto" w:sz="4" w:space="0"/>
            </w:tcBorders>
            <w:vAlign w:val="center"/>
          </w:tcPr>
          <w:p w14:paraId="7701197F">
            <w:pPr>
              <w:widowControl/>
              <w:jc w:val="left"/>
              <w:rPr>
                <w:rFonts w:hint="eastAsia" w:ascii="宋体" w:hAnsi="宋体" w:eastAsia="宋体" w:cs="宋体"/>
                <w:color w:val="auto"/>
                <w:spacing w:val="-6"/>
              </w:rPr>
            </w:pPr>
          </w:p>
        </w:tc>
        <w:tc>
          <w:tcPr>
            <w:tcW w:w="688" w:type="dxa"/>
            <w:tcBorders>
              <w:top w:val="nil"/>
              <w:left w:val="nil"/>
              <w:bottom w:val="single" w:color="auto" w:sz="4" w:space="0"/>
              <w:right w:val="single" w:color="auto" w:sz="4" w:space="0"/>
            </w:tcBorders>
            <w:vAlign w:val="center"/>
          </w:tcPr>
          <w:p w14:paraId="1B5E09E3">
            <w:pPr>
              <w:widowControl/>
              <w:jc w:val="left"/>
              <w:rPr>
                <w:rFonts w:hint="eastAsia" w:ascii="宋体" w:hAnsi="宋体" w:eastAsia="宋体" w:cs="宋体"/>
                <w:color w:val="auto"/>
                <w:spacing w:val="-6"/>
              </w:rPr>
            </w:pPr>
          </w:p>
        </w:tc>
        <w:tc>
          <w:tcPr>
            <w:tcW w:w="543" w:type="dxa"/>
            <w:tcBorders>
              <w:top w:val="single" w:color="auto" w:sz="4" w:space="0"/>
              <w:left w:val="nil"/>
              <w:bottom w:val="single" w:color="auto" w:sz="4" w:space="0"/>
              <w:right w:val="single" w:color="auto" w:sz="4" w:space="0"/>
            </w:tcBorders>
            <w:vAlign w:val="center"/>
          </w:tcPr>
          <w:p w14:paraId="7685FF99">
            <w:pPr>
              <w:spacing w:line="260" w:lineRule="exact"/>
              <w:jc w:val="center"/>
              <w:rPr>
                <w:rFonts w:hint="eastAsia" w:ascii="宋体" w:hAnsi="宋体" w:eastAsia="宋体" w:cs="宋体"/>
                <w:color w:val="auto"/>
                <w:spacing w:val="-6"/>
                <w:lang w:val="en-US" w:eastAsia="zh-CN"/>
              </w:rPr>
            </w:pPr>
            <w:r>
              <w:rPr>
                <w:rFonts w:hint="eastAsia" w:ascii="宋体" w:hAnsi="宋体" w:eastAsia="宋体" w:cs="宋体"/>
                <w:color w:val="auto"/>
                <w:spacing w:val="-6"/>
                <w:lang w:val="en-US" w:eastAsia="zh-CN"/>
              </w:rPr>
              <w:t>26</w:t>
            </w:r>
          </w:p>
        </w:tc>
        <w:tc>
          <w:tcPr>
            <w:tcW w:w="2847" w:type="dxa"/>
            <w:tcBorders>
              <w:top w:val="single" w:color="auto" w:sz="4" w:space="0"/>
              <w:left w:val="nil"/>
              <w:bottom w:val="single" w:color="auto" w:sz="4" w:space="0"/>
              <w:right w:val="single" w:color="auto" w:sz="4" w:space="0"/>
            </w:tcBorders>
            <w:vAlign w:val="center"/>
          </w:tcPr>
          <w:p w14:paraId="5F249223">
            <w:pPr>
              <w:spacing w:line="280" w:lineRule="exact"/>
              <w:rPr>
                <w:rFonts w:hint="eastAsia" w:ascii="宋体" w:hAnsi="宋体" w:eastAsia="宋体" w:cs="宋体"/>
                <w:color w:val="auto"/>
                <w:spacing w:val="-6"/>
                <w:lang w:eastAsia="zh-CN"/>
              </w:rPr>
            </w:pPr>
            <w:r>
              <w:rPr>
                <w:rFonts w:hint="eastAsia" w:ascii="宋体" w:hAnsi="宋体" w:eastAsia="宋体" w:cs="宋体"/>
                <w:color w:val="auto"/>
                <w:spacing w:val="-6"/>
                <w:lang w:eastAsia="zh-CN"/>
              </w:rPr>
              <w:t>绿化带侧石歪斜及时修复</w:t>
            </w:r>
          </w:p>
        </w:tc>
        <w:tc>
          <w:tcPr>
            <w:tcW w:w="525" w:type="dxa"/>
            <w:tcBorders>
              <w:top w:val="single" w:color="auto" w:sz="4" w:space="0"/>
              <w:left w:val="nil"/>
              <w:bottom w:val="single" w:color="auto" w:sz="4" w:space="0"/>
              <w:right w:val="single" w:color="auto" w:sz="4" w:space="0"/>
            </w:tcBorders>
            <w:vAlign w:val="center"/>
          </w:tcPr>
          <w:p w14:paraId="098629A3">
            <w:pPr>
              <w:spacing w:line="280" w:lineRule="exact"/>
              <w:jc w:val="center"/>
              <w:rPr>
                <w:rFonts w:hint="eastAsia" w:ascii="宋体" w:hAnsi="宋体" w:eastAsia="宋体" w:cs="宋体"/>
                <w:color w:val="auto"/>
                <w:spacing w:val="-6"/>
                <w:lang w:val="en-US" w:eastAsia="zh-CN"/>
              </w:rPr>
            </w:pPr>
            <w:r>
              <w:rPr>
                <w:rFonts w:hint="eastAsia" w:ascii="宋体" w:hAnsi="宋体" w:eastAsia="宋体" w:cs="宋体"/>
                <w:color w:val="auto"/>
                <w:spacing w:val="-6"/>
                <w:lang w:val="en-US" w:eastAsia="zh-CN"/>
              </w:rPr>
              <w:t>0.5</w:t>
            </w:r>
          </w:p>
        </w:tc>
        <w:tc>
          <w:tcPr>
            <w:tcW w:w="3305" w:type="dxa"/>
            <w:tcBorders>
              <w:top w:val="single" w:color="auto" w:sz="4" w:space="0"/>
              <w:left w:val="nil"/>
              <w:bottom w:val="single" w:color="auto" w:sz="4" w:space="0"/>
              <w:right w:val="single" w:color="auto" w:sz="4" w:space="0"/>
            </w:tcBorders>
            <w:vAlign w:val="center"/>
          </w:tcPr>
          <w:p w14:paraId="72AE7887">
            <w:pPr>
              <w:spacing w:line="280" w:lineRule="exact"/>
              <w:rPr>
                <w:rFonts w:hint="eastAsia" w:ascii="宋体" w:hAnsi="宋体" w:eastAsia="宋体" w:cs="宋体"/>
                <w:color w:val="auto"/>
                <w:spacing w:val="-6"/>
                <w:lang w:val="en-US" w:eastAsia="zh-CN"/>
              </w:rPr>
            </w:pPr>
            <w:r>
              <w:rPr>
                <w:rFonts w:hint="eastAsia" w:ascii="宋体" w:hAnsi="宋体" w:eastAsia="宋体" w:cs="宋体"/>
                <w:color w:val="auto"/>
                <w:spacing w:val="-6"/>
                <w:lang w:eastAsia="zh-CN"/>
              </w:rPr>
              <w:t>未及时修复每一处扣</w:t>
            </w:r>
            <w:r>
              <w:rPr>
                <w:rFonts w:hint="eastAsia" w:ascii="宋体" w:hAnsi="宋体" w:eastAsia="宋体" w:cs="宋体"/>
                <w:color w:val="auto"/>
                <w:spacing w:val="-6"/>
                <w:lang w:val="en-US" w:eastAsia="zh-CN"/>
              </w:rPr>
              <w:t>0.5分</w:t>
            </w:r>
          </w:p>
        </w:tc>
      </w:tr>
    </w:tbl>
    <w:p w14:paraId="71847FFD">
      <w:pPr>
        <w:spacing w:line="360" w:lineRule="auto"/>
        <w:ind w:firstLine="482" w:firstLineChars="200"/>
        <w:rPr>
          <w:rFonts w:hint="eastAsia" w:ascii="宋体" w:hAnsi="宋体" w:eastAsia="宋体" w:cs="宋体"/>
          <w:b/>
          <w:bCs/>
          <w:color w:val="auto"/>
          <w:sz w:val="24"/>
          <w:szCs w:val="24"/>
          <w:highlight w:val="none"/>
          <w:lang w:val="en-US" w:eastAsia="zh-CN"/>
        </w:rPr>
      </w:pPr>
    </w:p>
    <w:p w14:paraId="03CD379E">
      <w:pPr>
        <w:spacing w:line="360" w:lineRule="auto"/>
        <w:ind w:firstLine="482" w:firstLineChars="200"/>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五、其他事项</w:t>
      </w:r>
    </w:p>
    <w:p w14:paraId="501673BB">
      <w:pPr>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1、在绿地范围内或绿地养管过程中受到举报、投诉、通报、媒体曝光，造成负面影响，经查属实后，酌情扣10-15分，并扣罚500元／次。</w:t>
      </w:r>
    </w:p>
    <w:p w14:paraId="3FFD09DE">
      <w:pPr>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2、根据绿地养管合同约定的其他事项扣分扣费项目，按照合同约定相关条款执行，按照合同约定相关条款执行。</w:t>
      </w:r>
    </w:p>
    <w:p w14:paraId="4BDBA04E">
      <w:pPr>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3、肥料施放：按规范要求及时施肥，规范操作，按照专项工作检查相关规定执行。</w:t>
      </w:r>
    </w:p>
    <w:p w14:paraId="1624B2F3">
      <w:pPr>
        <w:pStyle w:val="4"/>
        <w:rPr>
          <w:rFonts w:ascii="Arial"/>
          <w:color w:val="auto"/>
          <w:sz w:val="21"/>
          <w:highlight w:val="none"/>
        </w:rPr>
      </w:pPr>
    </w:p>
    <w:p w14:paraId="74064208">
      <w:pPr>
        <w:wordWrap w:val="0"/>
        <w:autoSpaceDE w:val="0"/>
        <w:autoSpaceDN w:val="0"/>
        <w:spacing w:before="0" w:after="0" w:line="300" w:lineRule="exact"/>
        <w:ind w:firstLine="2520"/>
        <w:jc w:val="both"/>
        <w:rPr>
          <w:rFonts w:hint="eastAsia" w:ascii="宋体" w:hAnsi="宋体" w:eastAsia="宋体"/>
          <w:color w:val="auto"/>
          <w:sz w:val="24"/>
        </w:rPr>
        <w:sectPr>
          <w:headerReference r:id="rId3" w:type="default"/>
          <w:pgSz w:w="11906" w:h="16838"/>
          <w:pgMar w:top="1440" w:right="1080" w:bottom="1440" w:left="1080" w:header="851" w:footer="992" w:gutter="0"/>
          <w:pgNumType w:fmt="decimal"/>
          <w:cols w:space="425" w:num="1"/>
          <w:docGrid w:type="lines" w:linePitch="312" w:charSpace="0"/>
        </w:sectPr>
      </w:pPr>
    </w:p>
    <w:p w14:paraId="4AB86A9C">
      <w:pPr>
        <w:bidi w:val="0"/>
        <w:jc w:val="center"/>
        <w:rPr>
          <w:rFonts w:hint="eastAsia" w:ascii="宋体" w:hAnsi="宋体" w:eastAsia="宋体" w:cs="宋体"/>
          <w:b/>
          <w:bCs/>
          <w:color w:val="auto"/>
          <w:sz w:val="32"/>
          <w:szCs w:val="32"/>
          <w:lang w:val="en-US" w:eastAsia="zh-CN"/>
        </w:rPr>
      </w:pPr>
      <w:r>
        <w:rPr>
          <w:rFonts w:hint="eastAsia" w:ascii="宋体" w:hAnsi="宋体" w:eastAsia="宋体" w:cs="宋体"/>
          <w:b/>
          <w:bCs/>
          <w:color w:val="auto"/>
          <w:sz w:val="32"/>
          <w:szCs w:val="32"/>
          <w:lang w:val="en-US" w:eastAsia="zh-CN"/>
        </w:rPr>
        <w:t>附件2：萍乡市市区绿地养护管理质量标准</w:t>
      </w:r>
    </w:p>
    <w:p w14:paraId="00ED4EE4">
      <w:pPr>
        <w:bidi w:val="0"/>
        <w:rPr>
          <w:rFonts w:hint="eastAsia" w:ascii="宋体" w:hAnsi="宋体" w:eastAsia="宋体" w:cs="宋体"/>
          <w:color w:val="auto"/>
        </w:rPr>
      </w:pPr>
    </w:p>
    <w:tbl>
      <w:tblPr>
        <w:tblStyle w:val="5"/>
        <w:tblW w:w="15101" w:type="dxa"/>
        <w:tblInd w:w="-734"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autofit"/>
        <w:tblCellMar>
          <w:top w:w="0" w:type="dxa"/>
          <w:left w:w="0" w:type="dxa"/>
          <w:bottom w:w="0" w:type="dxa"/>
          <w:right w:w="0" w:type="dxa"/>
        </w:tblCellMar>
      </w:tblPr>
      <w:tblGrid>
        <w:gridCol w:w="1226"/>
        <w:gridCol w:w="4860"/>
        <w:gridCol w:w="4605"/>
        <w:gridCol w:w="4410"/>
      </w:tblGrid>
      <w:tr w14:paraId="79C629C3">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27" w:hRule="atLeast"/>
        </w:trPr>
        <w:tc>
          <w:tcPr>
            <w:tcW w:w="1226" w:type="dxa"/>
            <w:tcBorders>
              <w:top w:val="single" w:color="000000" w:sz="4" w:space="0"/>
              <w:left w:val="single" w:color="000000" w:sz="4" w:space="0"/>
              <w:bottom w:val="single" w:color="000000" w:sz="4" w:space="0"/>
              <w:right w:val="single" w:color="000000" w:sz="4" w:space="0"/>
            </w:tcBorders>
            <w:vAlign w:val="center"/>
          </w:tcPr>
          <w:p w14:paraId="22A292E4">
            <w:pPr>
              <w:bidi w:val="0"/>
              <w:jc w:val="center"/>
              <w:rPr>
                <w:rFonts w:hint="eastAsia" w:ascii="宋体" w:hAnsi="宋体" w:eastAsia="宋体" w:cs="宋体"/>
                <w:color w:val="auto"/>
                <w:sz w:val="22"/>
                <w:szCs w:val="22"/>
              </w:rPr>
            </w:pPr>
            <w:r>
              <w:rPr>
                <w:rFonts w:hint="eastAsia" w:ascii="宋体" w:hAnsi="宋体" w:eastAsia="宋体" w:cs="宋体"/>
                <w:color w:val="auto"/>
                <w:sz w:val="22"/>
                <w:szCs w:val="22"/>
              </w:rPr>
              <w:t>项目</w:t>
            </w:r>
          </w:p>
        </w:tc>
        <w:tc>
          <w:tcPr>
            <w:tcW w:w="4860" w:type="dxa"/>
            <w:tcBorders>
              <w:top w:val="single" w:color="000000" w:sz="4" w:space="0"/>
              <w:left w:val="single" w:color="000000" w:sz="4" w:space="0"/>
              <w:bottom w:val="single" w:color="000000" w:sz="4" w:space="0"/>
              <w:right w:val="single" w:color="000000" w:sz="4" w:space="0"/>
            </w:tcBorders>
            <w:vAlign w:val="center"/>
          </w:tcPr>
          <w:p w14:paraId="1FB5D96D">
            <w:pPr>
              <w:bidi w:val="0"/>
              <w:jc w:val="center"/>
              <w:rPr>
                <w:rFonts w:hint="eastAsia" w:ascii="宋体" w:hAnsi="宋体" w:eastAsia="宋体" w:cs="宋体"/>
                <w:color w:val="auto"/>
                <w:sz w:val="22"/>
                <w:szCs w:val="22"/>
              </w:rPr>
            </w:pPr>
            <w:r>
              <w:rPr>
                <w:rFonts w:hint="eastAsia" w:ascii="宋体" w:hAnsi="宋体" w:eastAsia="宋体" w:cs="宋体"/>
                <w:color w:val="auto"/>
                <w:sz w:val="22"/>
                <w:szCs w:val="22"/>
              </w:rPr>
              <w:t>一级养护标准</w:t>
            </w:r>
          </w:p>
        </w:tc>
        <w:tc>
          <w:tcPr>
            <w:tcW w:w="4605" w:type="dxa"/>
            <w:tcBorders>
              <w:top w:val="single" w:color="000000" w:sz="4" w:space="0"/>
              <w:left w:val="single" w:color="000000" w:sz="4" w:space="0"/>
              <w:bottom w:val="single" w:color="000000" w:sz="4" w:space="0"/>
              <w:right w:val="single" w:color="000000" w:sz="4" w:space="0"/>
            </w:tcBorders>
            <w:vAlign w:val="center"/>
          </w:tcPr>
          <w:p w14:paraId="23797C81">
            <w:pPr>
              <w:bidi w:val="0"/>
              <w:jc w:val="center"/>
              <w:rPr>
                <w:rFonts w:hint="eastAsia" w:ascii="宋体" w:hAnsi="宋体" w:eastAsia="宋体" w:cs="宋体"/>
                <w:color w:val="auto"/>
                <w:sz w:val="22"/>
                <w:szCs w:val="22"/>
              </w:rPr>
            </w:pPr>
            <w:r>
              <w:rPr>
                <w:rFonts w:hint="eastAsia" w:ascii="宋体" w:hAnsi="宋体" w:eastAsia="宋体" w:cs="宋体"/>
                <w:color w:val="auto"/>
                <w:sz w:val="22"/>
                <w:szCs w:val="22"/>
              </w:rPr>
              <w:t>二级养护标准</w:t>
            </w:r>
          </w:p>
        </w:tc>
        <w:tc>
          <w:tcPr>
            <w:tcW w:w="4410" w:type="dxa"/>
            <w:tcBorders>
              <w:top w:val="single" w:color="000000" w:sz="4" w:space="0"/>
              <w:left w:val="single" w:color="000000" w:sz="4" w:space="0"/>
              <w:bottom w:val="single" w:color="000000" w:sz="4" w:space="0"/>
              <w:right w:val="single" w:color="000000" w:sz="4" w:space="0"/>
            </w:tcBorders>
            <w:vAlign w:val="center"/>
          </w:tcPr>
          <w:p w14:paraId="16D0AE7B">
            <w:pPr>
              <w:bidi w:val="0"/>
              <w:jc w:val="center"/>
              <w:rPr>
                <w:rFonts w:hint="eastAsia" w:ascii="宋体" w:hAnsi="宋体" w:eastAsia="宋体" w:cs="宋体"/>
                <w:color w:val="auto"/>
                <w:sz w:val="22"/>
                <w:szCs w:val="22"/>
              </w:rPr>
            </w:pPr>
            <w:r>
              <w:rPr>
                <w:rFonts w:hint="eastAsia" w:ascii="宋体" w:hAnsi="宋体" w:eastAsia="宋体" w:cs="宋体"/>
                <w:color w:val="auto"/>
                <w:sz w:val="22"/>
                <w:szCs w:val="22"/>
              </w:rPr>
              <w:t>三级养护标准</w:t>
            </w:r>
          </w:p>
        </w:tc>
      </w:tr>
      <w:tr w14:paraId="774C6366">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132" w:hRule="atLeast"/>
        </w:trPr>
        <w:tc>
          <w:tcPr>
            <w:tcW w:w="1226" w:type="dxa"/>
            <w:tcBorders>
              <w:top w:val="single" w:color="000000" w:sz="4" w:space="0"/>
              <w:left w:val="single" w:color="000000" w:sz="4" w:space="0"/>
              <w:bottom w:val="single" w:color="000000" w:sz="4" w:space="0"/>
              <w:right w:val="single" w:color="000000" w:sz="4" w:space="0"/>
            </w:tcBorders>
            <w:vAlign w:val="center"/>
          </w:tcPr>
          <w:p w14:paraId="3A85FFB7">
            <w:pPr>
              <w:bidi w:val="0"/>
              <w:rPr>
                <w:rFonts w:hint="eastAsia" w:ascii="宋体" w:hAnsi="宋体" w:eastAsia="宋体" w:cs="宋体"/>
                <w:color w:val="auto"/>
              </w:rPr>
            </w:pPr>
            <w:r>
              <w:rPr>
                <w:rFonts w:hint="eastAsia" w:ascii="宋体" w:hAnsi="宋体" w:eastAsia="宋体" w:cs="宋体"/>
                <w:color w:val="auto"/>
              </w:rPr>
              <w:t>乔木</w:t>
            </w:r>
          </w:p>
        </w:tc>
        <w:tc>
          <w:tcPr>
            <w:tcW w:w="4860" w:type="dxa"/>
            <w:tcBorders>
              <w:top w:val="single" w:color="000000" w:sz="4" w:space="0"/>
              <w:left w:val="single" w:color="000000" w:sz="4" w:space="0"/>
              <w:bottom w:val="single" w:color="000000" w:sz="4" w:space="0"/>
              <w:right w:val="single" w:color="000000" w:sz="4" w:space="0"/>
            </w:tcBorders>
            <w:vAlign w:val="center"/>
          </w:tcPr>
          <w:p w14:paraId="64F5DB9A">
            <w:pPr>
              <w:bidi w:val="0"/>
              <w:rPr>
                <w:rFonts w:hint="eastAsia" w:ascii="宋体" w:hAnsi="宋体" w:eastAsia="宋体" w:cs="宋体"/>
                <w:color w:val="auto"/>
              </w:rPr>
            </w:pPr>
            <w:r>
              <w:rPr>
                <w:rFonts w:hint="eastAsia" w:ascii="宋体" w:hAnsi="宋体" w:eastAsia="宋体" w:cs="宋体"/>
                <w:color w:val="auto"/>
              </w:rPr>
              <w:t>生长旺盛，树冠整齐，主侧枝分枝均匀，内膛通风透光。叶色正常，无卷叶、黄叶（生长季节无病虫害枝干健壮，无枯、死枝，无蛀干病虫为害。树穴内无缺株无垃圾杂草、土壤疏松</w:t>
            </w:r>
          </w:p>
        </w:tc>
        <w:tc>
          <w:tcPr>
            <w:tcW w:w="4605" w:type="dxa"/>
            <w:tcBorders>
              <w:top w:val="single" w:color="000000" w:sz="4" w:space="0"/>
              <w:left w:val="single" w:color="000000" w:sz="4" w:space="0"/>
              <w:bottom w:val="single" w:color="000000" w:sz="4" w:space="0"/>
              <w:right w:val="single" w:color="000000" w:sz="4" w:space="0"/>
            </w:tcBorders>
            <w:vAlign w:val="center"/>
          </w:tcPr>
          <w:p w14:paraId="4ED39BCC">
            <w:pPr>
              <w:bidi w:val="0"/>
              <w:rPr>
                <w:rFonts w:hint="eastAsia" w:ascii="宋体" w:hAnsi="宋体" w:eastAsia="宋体" w:cs="宋体"/>
                <w:color w:val="auto"/>
              </w:rPr>
            </w:pPr>
            <w:r>
              <w:rPr>
                <w:rFonts w:hint="eastAsia" w:ascii="宋体" w:hAnsi="宋体" w:eastAsia="宋体" w:cs="宋体"/>
                <w:color w:val="auto"/>
              </w:rPr>
              <w:t>生长正常，树冠基本完整主侧枝分枝基本均匀，内膛通风透光。叶色）基本正常，基本无焦叶、卷叶。枝干生长正常，无明显枯死枝，基本，无病虫害。树穴内缺株2％以下，无垃圾及高型杂草、土壤不板结</w:t>
            </w:r>
          </w:p>
        </w:tc>
        <w:tc>
          <w:tcPr>
            <w:tcW w:w="4410" w:type="dxa"/>
            <w:tcBorders>
              <w:top w:val="single" w:color="000000" w:sz="4" w:space="0"/>
              <w:left w:val="single" w:color="000000" w:sz="4" w:space="0"/>
              <w:bottom w:val="single" w:color="000000" w:sz="4" w:space="0"/>
              <w:right w:val="single" w:color="000000" w:sz="4" w:space="0"/>
            </w:tcBorders>
            <w:vAlign w:val="center"/>
          </w:tcPr>
          <w:p w14:paraId="39291281">
            <w:pPr>
              <w:bidi w:val="0"/>
              <w:rPr>
                <w:rFonts w:hint="eastAsia" w:ascii="宋体" w:hAnsi="宋体" w:eastAsia="宋体" w:cs="宋体"/>
                <w:color w:val="auto"/>
              </w:rPr>
            </w:pPr>
            <w:r>
              <w:rPr>
                <w:rFonts w:hint="eastAsia" w:ascii="宋体" w:hAnsi="宋体" w:eastAsia="宋体" w:cs="宋体"/>
                <w:color w:val="auto"/>
              </w:rPr>
              <w:t>生长基本正常，树冠基本完整，选留主侧枝不够合理。叶色基本正常有部分黄叶（生长季节）、焦叶、卷叶。枝干生长正常，有少量枯死枝，有少量蛀干为害树穴内缺株3％以下，无垃圾及高型杂草。</w:t>
            </w:r>
          </w:p>
        </w:tc>
      </w:tr>
      <w:tr w14:paraId="5431AAF0">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1223" w:hRule="atLeast"/>
        </w:trPr>
        <w:tc>
          <w:tcPr>
            <w:tcW w:w="1226" w:type="dxa"/>
            <w:tcBorders>
              <w:top w:val="single" w:color="000000" w:sz="4" w:space="0"/>
              <w:left w:val="single" w:color="000000" w:sz="4" w:space="0"/>
              <w:bottom w:val="single" w:color="000000" w:sz="4" w:space="0"/>
              <w:right w:val="single" w:color="000000" w:sz="4" w:space="0"/>
            </w:tcBorders>
            <w:vAlign w:val="center"/>
          </w:tcPr>
          <w:p w14:paraId="41F1F3F3">
            <w:pPr>
              <w:bidi w:val="0"/>
              <w:rPr>
                <w:rFonts w:hint="eastAsia" w:ascii="宋体" w:hAnsi="宋体" w:eastAsia="宋体" w:cs="宋体"/>
                <w:color w:val="auto"/>
              </w:rPr>
            </w:pPr>
          </w:p>
          <w:p w14:paraId="7083D82B">
            <w:pPr>
              <w:bidi w:val="0"/>
              <w:rPr>
                <w:rFonts w:hint="eastAsia" w:ascii="宋体" w:hAnsi="宋体" w:eastAsia="宋体" w:cs="宋体"/>
                <w:color w:val="auto"/>
              </w:rPr>
            </w:pPr>
            <w:r>
              <w:rPr>
                <w:rFonts w:hint="eastAsia" w:ascii="宋体" w:hAnsi="宋体" w:eastAsia="宋体" w:cs="宋体"/>
                <w:color w:val="auto"/>
              </w:rPr>
              <w:t>花灌木</w:t>
            </w:r>
          </w:p>
        </w:tc>
        <w:tc>
          <w:tcPr>
            <w:tcW w:w="4860" w:type="dxa"/>
            <w:tcBorders>
              <w:top w:val="single" w:color="000000" w:sz="4" w:space="0"/>
              <w:left w:val="single" w:color="000000" w:sz="4" w:space="0"/>
              <w:bottom w:val="single" w:color="000000" w:sz="4" w:space="0"/>
              <w:right w:val="single" w:color="000000" w:sz="4" w:space="0"/>
            </w:tcBorders>
            <w:vAlign w:val="center"/>
          </w:tcPr>
          <w:p w14:paraId="22CA9CDF">
            <w:pPr>
              <w:bidi w:val="0"/>
              <w:rPr>
                <w:rFonts w:hint="eastAsia" w:ascii="宋体" w:hAnsi="宋体" w:eastAsia="宋体" w:cs="宋体"/>
                <w:color w:val="auto"/>
              </w:rPr>
            </w:pPr>
            <w:r>
              <w:rPr>
                <w:rFonts w:hint="eastAsia" w:ascii="宋体" w:hAnsi="宋体" w:eastAsia="宋体" w:cs="宋体"/>
                <w:color w:val="auto"/>
              </w:rPr>
              <w:t>适时开花，株形丰满，枝叶茂密无缺株，花后修剪及时合理。绿篱、色块等修剪及时，整齐一致。</w:t>
            </w:r>
          </w:p>
        </w:tc>
        <w:tc>
          <w:tcPr>
            <w:tcW w:w="4605" w:type="dxa"/>
            <w:tcBorders>
              <w:top w:val="single" w:color="000000" w:sz="4" w:space="0"/>
              <w:left w:val="single" w:color="000000" w:sz="4" w:space="0"/>
              <w:bottom w:val="single" w:color="000000" w:sz="4" w:space="0"/>
              <w:right w:val="single" w:color="000000" w:sz="4" w:space="0"/>
            </w:tcBorders>
            <w:vAlign w:val="center"/>
          </w:tcPr>
          <w:p w14:paraId="24BE317D">
            <w:pPr>
              <w:bidi w:val="0"/>
              <w:rPr>
                <w:rFonts w:hint="eastAsia" w:ascii="宋体" w:hAnsi="宋体" w:eastAsia="宋体" w:cs="宋体"/>
                <w:color w:val="auto"/>
              </w:rPr>
            </w:pPr>
            <w:r>
              <w:rPr>
                <w:rFonts w:hint="eastAsia" w:ascii="宋体" w:hAnsi="宋体" w:eastAsia="宋体" w:cs="宋体"/>
                <w:color w:val="auto"/>
              </w:rPr>
              <w:t>，花灌木开花适时、正常，花后修剪及时。绿篱、色块枝叶正常，整齐一致。</w:t>
            </w:r>
          </w:p>
        </w:tc>
        <w:tc>
          <w:tcPr>
            <w:tcW w:w="4410" w:type="dxa"/>
            <w:tcBorders>
              <w:top w:val="single" w:color="000000" w:sz="4" w:space="0"/>
              <w:left w:val="single" w:color="000000" w:sz="4" w:space="0"/>
              <w:bottom w:val="single" w:color="000000" w:sz="4" w:space="0"/>
              <w:right w:val="single" w:color="000000" w:sz="4" w:space="0"/>
            </w:tcBorders>
            <w:vAlign w:val="center"/>
          </w:tcPr>
          <w:p w14:paraId="23D122E1">
            <w:pPr>
              <w:bidi w:val="0"/>
              <w:rPr>
                <w:rFonts w:hint="eastAsia" w:ascii="宋体" w:hAnsi="宋体" w:eastAsia="宋体" w:cs="宋体"/>
                <w:color w:val="auto"/>
              </w:rPr>
            </w:pPr>
            <w:r>
              <w:rPr>
                <w:rFonts w:hint="eastAsia" w:ascii="宋体" w:hAnsi="宋体" w:eastAsia="宋体" w:cs="宋体"/>
                <w:color w:val="auto"/>
              </w:rPr>
              <w:t>花灌木开花适时，花后修剪及时。绿篱、色块枝叶正常。</w:t>
            </w:r>
          </w:p>
        </w:tc>
      </w:tr>
      <w:tr w14:paraId="44A836CE">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1829" w:hRule="atLeast"/>
        </w:trPr>
        <w:tc>
          <w:tcPr>
            <w:tcW w:w="1226" w:type="dxa"/>
            <w:tcBorders>
              <w:top w:val="single" w:color="000000" w:sz="4" w:space="0"/>
              <w:left w:val="single" w:color="000000" w:sz="4" w:space="0"/>
              <w:bottom w:val="single" w:color="000000" w:sz="4" w:space="0"/>
              <w:right w:val="single" w:color="000000" w:sz="4" w:space="0"/>
            </w:tcBorders>
            <w:vAlign w:val="center"/>
          </w:tcPr>
          <w:p w14:paraId="31ADD805">
            <w:pPr>
              <w:bidi w:val="0"/>
              <w:rPr>
                <w:rFonts w:hint="eastAsia" w:ascii="宋体" w:hAnsi="宋体" w:eastAsia="宋体" w:cs="宋体"/>
                <w:color w:val="auto"/>
              </w:rPr>
            </w:pPr>
          </w:p>
          <w:p w14:paraId="2D27FE71">
            <w:pPr>
              <w:bidi w:val="0"/>
              <w:rPr>
                <w:rFonts w:hint="eastAsia" w:ascii="宋体" w:hAnsi="宋体" w:eastAsia="宋体" w:cs="宋体"/>
                <w:color w:val="auto"/>
              </w:rPr>
            </w:pPr>
          </w:p>
          <w:p w14:paraId="2AD96E6C">
            <w:pPr>
              <w:bidi w:val="0"/>
              <w:rPr>
                <w:rFonts w:hint="eastAsia" w:ascii="宋体" w:hAnsi="宋体" w:eastAsia="宋体" w:cs="宋体"/>
                <w:color w:val="auto"/>
              </w:rPr>
            </w:pPr>
            <w:r>
              <w:rPr>
                <w:rFonts w:hint="eastAsia" w:ascii="宋体" w:hAnsi="宋体" w:eastAsia="宋体" w:cs="宋体"/>
                <w:color w:val="auto"/>
              </w:rPr>
              <w:t>地被草坪</w:t>
            </w:r>
          </w:p>
        </w:tc>
        <w:tc>
          <w:tcPr>
            <w:tcW w:w="4860" w:type="dxa"/>
            <w:tcBorders>
              <w:top w:val="single" w:color="000000" w:sz="4" w:space="0"/>
              <w:left w:val="single" w:color="000000" w:sz="4" w:space="0"/>
              <w:bottom w:val="single" w:color="000000" w:sz="4" w:space="0"/>
              <w:right w:val="single" w:color="000000" w:sz="4" w:space="0"/>
            </w:tcBorders>
            <w:vAlign w:val="center"/>
          </w:tcPr>
          <w:p w14:paraId="12F611D4">
            <w:pPr>
              <w:bidi w:val="0"/>
              <w:rPr>
                <w:rFonts w:hint="eastAsia" w:ascii="宋体" w:hAnsi="宋体" w:eastAsia="宋体" w:cs="宋体"/>
                <w:color w:val="auto"/>
              </w:rPr>
            </w:pPr>
            <w:r>
              <w:rPr>
                <w:rFonts w:hint="eastAsia" w:ascii="宋体" w:hAnsi="宋体" w:eastAsia="宋体" w:cs="宋体"/>
                <w:color w:val="auto"/>
              </w:rPr>
              <w:t>地被生长茂盛，枝条茂密。修剪及时，修剪符合要求，无垃圾及堆料堆物。草坪生长季节不枯黄，杂草率≤10%，覆盖率达98％以上。草坪斑秃面积不超过0.1㎡。</w:t>
            </w:r>
          </w:p>
        </w:tc>
        <w:tc>
          <w:tcPr>
            <w:tcW w:w="4605" w:type="dxa"/>
            <w:tcBorders>
              <w:top w:val="single" w:color="000000" w:sz="4" w:space="0"/>
              <w:left w:val="single" w:color="000000" w:sz="4" w:space="0"/>
              <w:bottom w:val="single" w:color="000000" w:sz="4" w:space="0"/>
              <w:right w:val="single" w:color="000000" w:sz="4" w:space="0"/>
            </w:tcBorders>
            <w:vAlign w:val="center"/>
          </w:tcPr>
          <w:p w14:paraId="64C639E8">
            <w:pPr>
              <w:bidi w:val="0"/>
              <w:rPr>
                <w:rFonts w:hint="eastAsia" w:ascii="宋体" w:hAnsi="宋体" w:eastAsia="宋体" w:cs="宋体"/>
                <w:color w:val="auto"/>
              </w:rPr>
            </w:pPr>
            <w:r>
              <w:rPr>
                <w:rFonts w:hint="eastAsia" w:ascii="宋体" w:hAnsi="宋体" w:eastAsia="宋体" w:cs="宋体"/>
                <w:color w:val="auto"/>
              </w:rPr>
              <w:t>地被生长正常，无明显枯枝、断枝。修剪符合要求能及时处理堆料堆物。草坪生长良好，杂草率≤20%，覆盖率达95％以上。单块斑秃面积不超过0.3㎡。</w:t>
            </w:r>
          </w:p>
        </w:tc>
        <w:tc>
          <w:tcPr>
            <w:tcW w:w="4410" w:type="dxa"/>
            <w:tcBorders>
              <w:top w:val="single" w:color="000000" w:sz="4" w:space="0"/>
              <w:left w:val="single" w:color="000000" w:sz="4" w:space="0"/>
              <w:bottom w:val="single" w:color="000000" w:sz="4" w:space="0"/>
              <w:right w:val="single" w:color="000000" w:sz="4" w:space="0"/>
            </w:tcBorders>
            <w:vAlign w:val="center"/>
          </w:tcPr>
          <w:p w14:paraId="51CAFBB9">
            <w:pPr>
              <w:bidi w:val="0"/>
              <w:rPr>
                <w:rFonts w:hint="eastAsia" w:ascii="宋体" w:hAnsi="宋体" w:eastAsia="宋体" w:cs="宋体"/>
                <w:color w:val="auto"/>
              </w:rPr>
            </w:pPr>
            <w:r>
              <w:rPr>
                <w:rFonts w:hint="eastAsia" w:ascii="宋体" w:hAnsi="宋体" w:eastAsia="宋体" w:cs="宋体"/>
                <w:color w:val="auto"/>
              </w:rPr>
              <w:t>地被生长基本正常，有枯枝、断枝，修剪不够及时，有部分堆料堆物草坪生长基本正常，杂草率≤30%，覆盖率达90％以上。单块斑秃面积不超过0.5㎡。</w:t>
            </w:r>
          </w:p>
        </w:tc>
      </w:tr>
      <w:tr w14:paraId="637E9B8C">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1616" w:hRule="atLeast"/>
        </w:trPr>
        <w:tc>
          <w:tcPr>
            <w:tcW w:w="1226" w:type="dxa"/>
            <w:tcBorders>
              <w:top w:val="single" w:color="000000" w:sz="4" w:space="0"/>
              <w:left w:val="single" w:color="000000" w:sz="4" w:space="0"/>
              <w:bottom w:val="single" w:color="000000" w:sz="4" w:space="0"/>
              <w:right w:val="single" w:color="000000" w:sz="4" w:space="0"/>
            </w:tcBorders>
            <w:vAlign w:val="center"/>
          </w:tcPr>
          <w:p w14:paraId="5960EE6B">
            <w:pPr>
              <w:bidi w:val="0"/>
              <w:rPr>
                <w:rFonts w:hint="eastAsia" w:ascii="宋体" w:hAnsi="宋体" w:eastAsia="宋体" w:cs="宋体"/>
                <w:color w:val="auto"/>
              </w:rPr>
            </w:pPr>
          </w:p>
          <w:p w14:paraId="6034E941">
            <w:pPr>
              <w:bidi w:val="0"/>
              <w:rPr>
                <w:rFonts w:hint="eastAsia" w:ascii="宋体" w:hAnsi="宋体" w:eastAsia="宋体" w:cs="宋体"/>
                <w:color w:val="auto"/>
              </w:rPr>
            </w:pPr>
          </w:p>
          <w:p w14:paraId="221492CF">
            <w:pPr>
              <w:bidi w:val="0"/>
              <w:rPr>
                <w:rFonts w:hint="eastAsia" w:ascii="宋体" w:hAnsi="宋体" w:eastAsia="宋体" w:cs="宋体"/>
                <w:color w:val="auto"/>
              </w:rPr>
            </w:pPr>
            <w:r>
              <w:rPr>
                <w:rFonts w:hint="eastAsia" w:ascii="宋体" w:hAnsi="宋体" w:eastAsia="宋体" w:cs="宋体"/>
                <w:color w:val="auto"/>
              </w:rPr>
              <w:t>花坛花卉</w:t>
            </w:r>
          </w:p>
        </w:tc>
        <w:tc>
          <w:tcPr>
            <w:tcW w:w="4860" w:type="dxa"/>
            <w:tcBorders>
              <w:top w:val="single" w:color="000000" w:sz="4" w:space="0"/>
              <w:left w:val="single" w:color="000000" w:sz="4" w:space="0"/>
              <w:bottom w:val="single" w:color="000000" w:sz="4" w:space="0"/>
              <w:right w:val="single" w:color="000000" w:sz="4" w:space="0"/>
            </w:tcBorders>
            <w:vAlign w:val="center"/>
          </w:tcPr>
          <w:p w14:paraId="44E72A2F">
            <w:pPr>
              <w:bidi w:val="0"/>
              <w:rPr>
                <w:rFonts w:hint="eastAsia" w:ascii="宋体" w:hAnsi="宋体" w:eastAsia="宋体" w:cs="宋体"/>
                <w:color w:val="auto"/>
              </w:rPr>
            </w:pPr>
            <w:r>
              <w:rPr>
                <w:rFonts w:hint="eastAsia" w:ascii="宋体" w:hAnsi="宋体" w:eastAsia="宋体" w:cs="宋体"/>
                <w:color w:val="auto"/>
              </w:rPr>
              <w:t>全年换花六次。花卉生长正常，无枯枝残花，无缺株、倒伏。花坛图案清晰，色彩鲜艳，花朵繁茂花期一致覆盖面达95％以上。花径花卉层次分明，高矮有序。</w:t>
            </w:r>
          </w:p>
        </w:tc>
        <w:tc>
          <w:tcPr>
            <w:tcW w:w="4605" w:type="dxa"/>
            <w:tcBorders>
              <w:top w:val="single" w:color="000000" w:sz="4" w:space="0"/>
              <w:left w:val="single" w:color="000000" w:sz="4" w:space="0"/>
              <w:bottom w:val="single" w:color="000000" w:sz="4" w:space="0"/>
              <w:right w:val="single" w:color="000000" w:sz="4" w:space="0"/>
            </w:tcBorders>
            <w:vAlign w:val="center"/>
          </w:tcPr>
          <w:p w14:paraId="5622AC57">
            <w:pPr>
              <w:bidi w:val="0"/>
              <w:rPr>
                <w:rFonts w:hint="eastAsia" w:ascii="宋体" w:hAnsi="宋体" w:eastAsia="宋体" w:cs="宋体"/>
                <w:color w:val="auto"/>
              </w:rPr>
            </w:pPr>
            <w:r>
              <w:rPr>
                <w:rFonts w:hint="eastAsia" w:ascii="宋体" w:hAnsi="宋体" w:eastAsia="宋体" w:cs="宋体"/>
                <w:color w:val="auto"/>
              </w:rPr>
              <w:t>全年换花四次。花卉生长正常，缺株、倒伏不超过3-5处，无枯枝残花（残花量≤5%）。花期基本整齐覆盖面达90％以上。</w:t>
            </w:r>
          </w:p>
        </w:tc>
        <w:tc>
          <w:tcPr>
            <w:tcW w:w="4410" w:type="dxa"/>
            <w:tcBorders>
              <w:top w:val="single" w:color="000000" w:sz="4" w:space="0"/>
              <w:left w:val="single" w:color="000000" w:sz="4" w:space="0"/>
              <w:bottom w:val="single" w:color="000000" w:sz="4" w:space="0"/>
              <w:right w:val="single" w:color="000000" w:sz="4" w:space="0"/>
            </w:tcBorders>
            <w:vAlign w:val="center"/>
          </w:tcPr>
          <w:p w14:paraId="63A92B02">
            <w:pPr>
              <w:bidi w:val="0"/>
              <w:rPr>
                <w:rFonts w:hint="eastAsia" w:ascii="宋体" w:hAnsi="宋体" w:eastAsia="宋体" w:cs="宋体"/>
                <w:color w:val="auto"/>
              </w:rPr>
            </w:pPr>
            <w:r>
              <w:rPr>
                <w:rFonts w:hint="eastAsia" w:ascii="宋体" w:hAnsi="宋体" w:eastAsia="宋体" w:cs="宋体"/>
                <w:color w:val="auto"/>
              </w:rPr>
              <w:t>全年换花二次。花卉生长基本正常，枯枝败叶清除不够及时，有部分枯枝残花（残花量≤</w:t>
            </w:r>
          </w:p>
          <w:p w14:paraId="2E2DFA69">
            <w:pPr>
              <w:bidi w:val="0"/>
              <w:rPr>
                <w:rFonts w:hint="eastAsia" w:ascii="宋体" w:hAnsi="宋体" w:eastAsia="宋体" w:cs="宋体"/>
                <w:color w:val="auto"/>
              </w:rPr>
            </w:pPr>
            <w:r>
              <w:rPr>
                <w:rFonts w:hint="eastAsia" w:ascii="宋体" w:hAnsi="宋体" w:eastAsia="宋体" w:cs="宋体"/>
                <w:color w:val="auto"/>
              </w:rPr>
              <w:t>15%）。覆盖面达85％以上。</w:t>
            </w:r>
          </w:p>
        </w:tc>
      </w:tr>
      <w:tr w14:paraId="421F6C76">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1526" w:hRule="atLeast"/>
        </w:trPr>
        <w:tc>
          <w:tcPr>
            <w:tcW w:w="1226" w:type="dxa"/>
            <w:tcBorders>
              <w:top w:val="single" w:color="000000" w:sz="4" w:space="0"/>
              <w:left w:val="single" w:color="000000" w:sz="4" w:space="0"/>
              <w:bottom w:val="single" w:color="000000" w:sz="4" w:space="0"/>
              <w:right w:val="single" w:color="000000" w:sz="4" w:space="0"/>
            </w:tcBorders>
            <w:vAlign w:val="center"/>
          </w:tcPr>
          <w:p w14:paraId="04525169">
            <w:pPr>
              <w:bidi w:val="0"/>
              <w:rPr>
                <w:rFonts w:hint="eastAsia" w:ascii="宋体" w:hAnsi="宋体" w:eastAsia="宋体" w:cs="宋体"/>
                <w:color w:val="auto"/>
              </w:rPr>
            </w:pPr>
          </w:p>
          <w:p w14:paraId="1E9240CF">
            <w:pPr>
              <w:bidi w:val="0"/>
              <w:rPr>
                <w:rFonts w:hint="eastAsia" w:ascii="宋体" w:hAnsi="宋体" w:eastAsia="宋体" w:cs="宋体"/>
                <w:color w:val="auto"/>
              </w:rPr>
            </w:pPr>
          </w:p>
          <w:p w14:paraId="423A0243">
            <w:pPr>
              <w:bidi w:val="0"/>
              <w:rPr>
                <w:rFonts w:hint="eastAsia" w:ascii="宋体" w:hAnsi="宋体" w:eastAsia="宋体" w:cs="宋体"/>
                <w:color w:val="auto"/>
              </w:rPr>
            </w:pPr>
            <w:r>
              <w:rPr>
                <w:rFonts w:hint="eastAsia" w:ascii="宋体" w:hAnsi="宋体" w:eastAsia="宋体" w:cs="宋体"/>
                <w:color w:val="auto"/>
              </w:rPr>
              <w:t>设施维护</w:t>
            </w:r>
          </w:p>
        </w:tc>
        <w:tc>
          <w:tcPr>
            <w:tcW w:w="4860" w:type="dxa"/>
            <w:tcBorders>
              <w:top w:val="single" w:color="000000" w:sz="4" w:space="0"/>
              <w:left w:val="single" w:color="000000" w:sz="4" w:space="0"/>
              <w:bottom w:val="single" w:color="000000" w:sz="4" w:space="0"/>
              <w:right w:val="single" w:color="000000" w:sz="4" w:space="0"/>
            </w:tcBorders>
            <w:vAlign w:val="center"/>
          </w:tcPr>
          <w:p w14:paraId="6CB1812D">
            <w:pPr>
              <w:bidi w:val="0"/>
              <w:rPr>
                <w:rFonts w:hint="eastAsia" w:ascii="宋体" w:hAnsi="宋体" w:eastAsia="宋体" w:cs="宋体"/>
                <w:color w:val="auto"/>
              </w:rPr>
            </w:pPr>
            <w:r>
              <w:rPr>
                <w:rFonts w:hint="eastAsia" w:ascii="宋体" w:hAnsi="宋体" w:eastAsia="宋体" w:cs="宋体"/>
                <w:color w:val="auto"/>
              </w:rPr>
              <w:t>园林建筑、雕塑喷泉、园路广场以及路灯等公园绿地基础设施维护良好，桌椅、垃圾桶、井盖和指示牌等园林设施完整、安全维护及时。</w:t>
            </w:r>
          </w:p>
        </w:tc>
        <w:tc>
          <w:tcPr>
            <w:tcW w:w="4605" w:type="dxa"/>
            <w:tcBorders>
              <w:top w:val="single" w:color="000000" w:sz="4" w:space="0"/>
              <w:left w:val="single" w:color="000000" w:sz="4" w:space="0"/>
              <w:bottom w:val="single" w:color="000000" w:sz="4" w:space="0"/>
              <w:right w:val="single" w:color="000000" w:sz="4" w:space="0"/>
            </w:tcBorders>
            <w:vAlign w:val="center"/>
          </w:tcPr>
          <w:p w14:paraId="14FB0D6A">
            <w:pPr>
              <w:bidi w:val="0"/>
              <w:rPr>
                <w:rFonts w:hint="eastAsia" w:ascii="宋体" w:hAnsi="宋体" w:eastAsia="宋体" w:cs="宋体"/>
                <w:color w:val="auto"/>
              </w:rPr>
            </w:pPr>
            <w:r>
              <w:rPr>
                <w:rFonts w:hint="eastAsia" w:ascii="宋体" w:hAnsi="宋体" w:eastAsia="宋体" w:cs="宋体"/>
                <w:color w:val="auto"/>
              </w:rPr>
              <w:t>园林建筑、雕塑喷泉、园路广场以及路灯等公园绿地基础设施维护良好，桌椅、垃圾桶、井盖和指示牌等园林设施基本做到维护及时。</w:t>
            </w:r>
          </w:p>
        </w:tc>
        <w:tc>
          <w:tcPr>
            <w:tcW w:w="4410" w:type="dxa"/>
            <w:tcBorders>
              <w:top w:val="single" w:color="000000" w:sz="4" w:space="0"/>
              <w:left w:val="single" w:color="000000" w:sz="4" w:space="0"/>
              <w:bottom w:val="single" w:color="000000" w:sz="4" w:space="0"/>
              <w:right w:val="single" w:color="000000" w:sz="4" w:space="0"/>
            </w:tcBorders>
            <w:vAlign w:val="center"/>
          </w:tcPr>
          <w:p w14:paraId="04FEC32D">
            <w:pPr>
              <w:bidi w:val="0"/>
              <w:rPr>
                <w:rFonts w:hint="eastAsia" w:ascii="宋体" w:hAnsi="宋体" w:eastAsia="宋体" w:cs="宋体"/>
                <w:color w:val="auto"/>
              </w:rPr>
            </w:pPr>
            <w:r>
              <w:rPr>
                <w:rFonts w:hint="eastAsia" w:ascii="宋体" w:hAnsi="宋体" w:eastAsia="宋体" w:cs="宋体"/>
                <w:color w:val="auto"/>
              </w:rPr>
              <w:t>公园绿地基础设施维护良好，桌椅、垃圾桶、井盖和指示牌等能维护及时，保持基本完整。</w:t>
            </w:r>
          </w:p>
        </w:tc>
      </w:tr>
      <w:tr w14:paraId="27F6EB8A">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1526" w:hRule="atLeast"/>
        </w:trPr>
        <w:tc>
          <w:tcPr>
            <w:tcW w:w="1226" w:type="dxa"/>
            <w:tcBorders>
              <w:top w:val="single" w:color="000000" w:sz="4" w:space="0"/>
              <w:left w:val="single" w:color="000000" w:sz="4" w:space="0"/>
              <w:bottom w:val="single" w:color="000000" w:sz="4" w:space="0"/>
              <w:right w:val="single" w:color="000000" w:sz="4" w:space="0"/>
            </w:tcBorders>
            <w:vAlign w:val="center"/>
          </w:tcPr>
          <w:p w14:paraId="5BB2E6F3">
            <w:pPr>
              <w:bidi w:val="0"/>
              <w:rPr>
                <w:rFonts w:hint="eastAsia" w:ascii="宋体" w:hAnsi="宋体" w:eastAsia="宋体" w:cs="宋体"/>
                <w:color w:val="auto"/>
              </w:rPr>
            </w:pPr>
            <w:r>
              <w:rPr>
                <w:rFonts w:hint="eastAsia" w:ascii="宋体" w:hAnsi="宋体" w:eastAsia="宋体" w:cs="宋体"/>
                <w:color w:val="auto"/>
              </w:rPr>
              <w:t>卫生保洁</w:t>
            </w:r>
          </w:p>
        </w:tc>
        <w:tc>
          <w:tcPr>
            <w:tcW w:w="4860" w:type="dxa"/>
            <w:tcBorders>
              <w:top w:val="single" w:color="000000" w:sz="4" w:space="0"/>
              <w:left w:val="single" w:color="000000" w:sz="4" w:space="0"/>
              <w:bottom w:val="single" w:color="000000" w:sz="4" w:space="0"/>
              <w:right w:val="single" w:color="000000" w:sz="4" w:space="0"/>
            </w:tcBorders>
            <w:vAlign w:val="center"/>
          </w:tcPr>
          <w:p w14:paraId="18BD1AFA">
            <w:pPr>
              <w:bidi w:val="0"/>
              <w:rPr>
                <w:rFonts w:hint="eastAsia" w:ascii="宋体" w:hAnsi="宋体" w:eastAsia="宋体" w:cs="宋体"/>
                <w:color w:val="auto"/>
              </w:rPr>
            </w:pPr>
            <w:r>
              <w:rPr>
                <w:rFonts w:hint="eastAsia" w:ascii="宋体" w:hAnsi="宋体" w:eastAsia="宋体" w:cs="宋体"/>
                <w:color w:val="auto"/>
              </w:rPr>
              <w:t>绿地及广场整洁，无砖块、碎石等建筑垃圾，对作业废弃物（如树枝、树叶、草屑等）绿地内水面杂物随产随清，做到巡视保洁。</w:t>
            </w:r>
          </w:p>
        </w:tc>
        <w:tc>
          <w:tcPr>
            <w:tcW w:w="4605" w:type="dxa"/>
            <w:tcBorders>
              <w:top w:val="single" w:color="000000" w:sz="4" w:space="0"/>
              <w:left w:val="single" w:color="000000" w:sz="4" w:space="0"/>
              <w:bottom w:val="single" w:color="000000" w:sz="4" w:space="0"/>
              <w:right w:val="single" w:color="000000" w:sz="4" w:space="0"/>
            </w:tcBorders>
            <w:vAlign w:val="center"/>
          </w:tcPr>
          <w:p w14:paraId="5BEA9EE4">
            <w:pPr>
              <w:bidi w:val="0"/>
              <w:rPr>
                <w:rFonts w:hint="eastAsia" w:ascii="宋体" w:hAnsi="宋体" w:eastAsia="宋体" w:cs="宋体"/>
                <w:color w:val="auto"/>
              </w:rPr>
            </w:pPr>
            <w:r>
              <w:rPr>
                <w:rFonts w:hint="eastAsia" w:ascii="宋体" w:hAnsi="宋体" w:eastAsia="宋体" w:cs="宋体"/>
                <w:color w:val="auto"/>
              </w:rPr>
              <w:t>绿地及广场整洁，无砖块碎石等建筑垃圾，绿化生、产垃圾（如树枝、树叶、草屑）、绿地内水面杂物应日产日清，做到保洁及时。</w:t>
            </w:r>
          </w:p>
        </w:tc>
        <w:tc>
          <w:tcPr>
            <w:tcW w:w="4410" w:type="dxa"/>
            <w:tcBorders>
              <w:top w:val="single" w:color="000000" w:sz="4" w:space="0"/>
              <w:left w:val="single" w:color="000000" w:sz="4" w:space="0"/>
              <w:bottom w:val="single" w:color="000000" w:sz="4" w:space="0"/>
              <w:right w:val="single" w:color="000000" w:sz="4" w:space="0"/>
            </w:tcBorders>
            <w:vAlign w:val="center"/>
          </w:tcPr>
          <w:p w14:paraId="5AE7D371">
            <w:pPr>
              <w:bidi w:val="0"/>
              <w:rPr>
                <w:rFonts w:hint="eastAsia" w:ascii="宋体" w:hAnsi="宋体" w:eastAsia="宋体" w:cs="宋体"/>
                <w:color w:val="auto"/>
              </w:rPr>
            </w:pPr>
            <w:r>
              <w:rPr>
                <w:rFonts w:hint="eastAsia" w:ascii="宋体" w:hAnsi="宋体" w:eastAsia="宋体" w:cs="宋体"/>
                <w:color w:val="auto"/>
              </w:rPr>
              <w:t>绿地及广场基本整洁，无明显砖块、碎石等建筑垃圾，绿化生产垃圾（如树枝、树叶、草屑等）、绿地内水面杂物能日产日清，能做到保洁及时。</w:t>
            </w:r>
          </w:p>
        </w:tc>
      </w:tr>
      <w:tr w14:paraId="583EDF5F">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1829" w:hRule="atLeast"/>
        </w:trPr>
        <w:tc>
          <w:tcPr>
            <w:tcW w:w="1226" w:type="dxa"/>
            <w:tcBorders>
              <w:top w:val="single" w:color="000000" w:sz="4" w:space="0"/>
              <w:left w:val="single" w:color="000000" w:sz="4" w:space="0"/>
              <w:bottom w:val="single" w:color="000000" w:sz="4" w:space="0"/>
              <w:right w:val="single" w:color="000000" w:sz="4" w:space="0"/>
            </w:tcBorders>
            <w:vAlign w:val="center"/>
          </w:tcPr>
          <w:p w14:paraId="5B49111B">
            <w:pPr>
              <w:bidi w:val="0"/>
              <w:rPr>
                <w:rFonts w:hint="eastAsia" w:ascii="宋体" w:hAnsi="宋体" w:eastAsia="宋体" w:cs="宋体"/>
                <w:color w:val="auto"/>
              </w:rPr>
            </w:pPr>
            <w:r>
              <w:rPr>
                <w:rFonts w:hint="eastAsia" w:ascii="宋体" w:hAnsi="宋体" w:eastAsia="宋体" w:cs="宋体"/>
                <w:color w:val="auto"/>
              </w:rPr>
              <w:t>适时浇</w:t>
            </w:r>
            <w:r>
              <w:rPr>
                <w:rFonts w:hint="eastAsia" w:ascii="宋体" w:hAnsi="宋体" w:eastAsia="宋体" w:cs="宋体"/>
                <w:color w:val="auto"/>
                <w:lang w:val="en-US" w:eastAsia="zh-CN"/>
              </w:rPr>
              <w:t>水</w:t>
            </w:r>
          </w:p>
          <w:p w14:paraId="6F5843FA">
            <w:pPr>
              <w:bidi w:val="0"/>
              <w:rPr>
                <w:rFonts w:hint="eastAsia" w:ascii="宋体" w:hAnsi="宋体" w:eastAsia="宋体" w:cs="宋体"/>
                <w:color w:val="auto"/>
              </w:rPr>
            </w:pPr>
          </w:p>
        </w:tc>
        <w:tc>
          <w:tcPr>
            <w:tcW w:w="4860" w:type="dxa"/>
            <w:tcBorders>
              <w:top w:val="single" w:color="000000" w:sz="4" w:space="0"/>
              <w:left w:val="single" w:color="000000" w:sz="4" w:space="0"/>
              <w:bottom w:val="single" w:color="000000" w:sz="4" w:space="0"/>
              <w:right w:val="single" w:color="000000" w:sz="4" w:space="0"/>
            </w:tcBorders>
            <w:vAlign w:val="center"/>
          </w:tcPr>
          <w:p w14:paraId="79BF5012">
            <w:pPr>
              <w:bidi w:val="0"/>
              <w:rPr>
                <w:rFonts w:hint="eastAsia" w:ascii="宋体" w:hAnsi="宋体" w:eastAsia="宋体" w:cs="宋体"/>
                <w:color w:val="auto"/>
              </w:rPr>
            </w:pPr>
            <w:r>
              <w:rPr>
                <w:rFonts w:hint="eastAsia" w:ascii="宋体" w:hAnsi="宋体" w:eastAsia="宋体" w:cs="宋体"/>
                <w:color w:val="auto"/>
              </w:rPr>
              <w:t>适时喷水除尘，全年保持叶面无积尘。发现植物缺水及时浇水</w:t>
            </w:r>
          </w:p>
        </w:tc>
        <w:tc>
          <w:tcPr>
            <w:tcW w:w="4605" w:type="dxa"/>
            <w:tcBorders>
              <w:top w:val="single" w:color="000000" w:sz="4" w:space="0"/>
              <w:left w:val="single" w:color="000000" w:sz="4" w:space="0"/>
              <w:bottom w:val="single" w:color="000000" w:sz="4" w:space="0"/>
              <w:right w:val="single" w:color="000000" w:sz="4" w:space="0"/>
            </w:tcBorders>
            <w:vAlign w:val="center"/>
          </w:tcPr>
          <w:p w14:paraId="425C7134">
            <w:pPr>
              <w:bidi w:val="0"/>
              <w:rPr>
                <w:rFonts w:hint="eastAsia" w:ascii="宋体" w:hAnsi="宋体" w:eastAsia="宋体" w:cs="宋体"/>
                <w:color w:val="auto"/>
              </w:rPr>
            </w:pPr>
            <w:r>
              <w:rPr>
                <w:rFonts w:hint="eastAsia" w:ascii="宋体" w:hAnsi="宋体" w:eastAsia="宋体" w:cs="宋体"/>
                <w:color w:val="auto"/>
              </w:rPr>
              <w:t>适时喷水除尘，全年基本保持。叶面无积尘。国庆、春节、五一等法定节假日以及局通知的庆典、迎接检查、重要接待活动前冲洗叶面，确保叶面无积尘发现植物缺水及时浇水。</w:t>
            </w:r>
          </w:p>
        </w:tc>
        <w:tc>
          <w:tcPr>
            <w:tcW w:w="4410" w:type="dxa"/>
            <w:tcBorders>
              <w:top w:val="single" w:color="000000" w:sz="4" w:space="0"/>
              <w:left w:val="single" w:color="000000" w:sz="4" w:space="0"/>
              <w:bottom w:val="single" w:color="000000" w:sz="4" w:space="0"/>
              <w:right w:val="single" w:color="000000" w:sz="4" w:space="0"/>
            </w:tcBorders>
            <w:vAlign w:val="center"/>
          </w:tcPr>
          <w:p w14:paraId="778FA7D3">
            <w:pPr>
              <w:bidi w:val="0"/>
              <w:rPr>
                <w:rFonts w:hint="eastAsia" w:ascii="宋体" w:hAnsi="宋体" w:eastAsia="宋体" w:cs="宋体"/>
                <w:color w:val="auto"/>
              </w:rPr>
            </w:pPr>
            <w:r>
              <w:rPr>
                <w:rFonts w:hint="eastAsia" w:ascii="宋体" w:hAnsi="宋体" w:eastAsia="宋体" w:cs="宋体"/>
                <w:color w:val="auto"/>
              </w:rPr>
              <w:t>国庆、春节、五一等法定节假日，以及局通知的庆典、迎接检查、重要接待活动前冲洗叶面，确保叶面无积尘。发现植物缺水及时浇水。</w:t>
            </w:r>
          </w:p>
        </w:tc>
      </w:tr>
      <w:tr w14:paraId="1773C7BC">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941" w:hRule="atLeast"/>
        </w:trPr>
        <w:tc>
          <w:tcPr>
            <w:tcW w:w="1226" w:type="dxa"/>
            <w:tcBorders>
              <w:top w:val="single" w:color="000000" w:sz="4" w:space="0"/>
              <w:left w:val="single" w:color="000000" w:sz="4" w:space="0"/>
              <w:bottom w:val="single" w:color="000000" w:sz="4" w:space="0"/>
              <w:right w:val="single" w:color="000000" w:sz="4" w:space="0"/>
            </w:tcBorders>
            <w:vAlign w:val="center"/>
          </w:tcPr>
          <w:p w14:paraId="55FC666B">
            <w:pPr>
              <w:bidi w:val="0"/>
              <w:rPr>
                <w:rFonts w:hint="eastAsia" w:ascii="宋体" w:hAnsi="宋体" w:eastAsia="宋体" w:cs="宋体"/>
                <w:color w:val="auto"/>
              </w:rPr>
            </w:pPr>
          </w:p>
          <w:p w14:paraId="302B6437">
            <w:pPr>
              <w:bidi w:val="0"/>
              <w:rPr>
                <w:rFonts w:hint="eastAsia" w:ascii="宋体" w:hAnsi="宋体" w:eastAsia="宋体" w:cs="宋体"/>
                <w:color w:val="auto"/>
              </w:rPr>
            </w:pPr>
            <w:r>
              <w:rPr>
                <w:rFonts w:hint="eastAsia" w:ascii="宋体" w:hAnsi="宋体" w:eastAsia="宋体" w:cs="宋体"/>
                <w:color w:val="auto"/>
              </w:rPr>
              <w:t>绿地</w:t>
            </w:r>
            <w:r>
              <w:rPr>
                <w:rFonts w:hint="eastAsia" w:ascii="宋体" w:hAnsi="宋体" w:eastAsia="宋体" w:cs="宋体"/>
                <w:color w:val="auto"/>
                <w:lang w:val="en-US" w:eastAsia="zh-CN"/>
              </w:rPr>
              <w:t>保护</w:t>
            </w:r>
          </w:p>
        </w:tc>
        <w:tc>
          <w:tcPr>
            <w:tcW w:w="4860" w:type="dxa"/>
            <w:tcBorders>
              <w:top w:val="single" w:color="000000" w:sz="4" w:space="0"/>
              <w:left w:val="single" w:color="000000" w:sz="4" w:space="0"/>
              <w:bottom w:val="single" w:color="000000" w:sz="4" w:space="0"/>
              <w:right w:val="single" w:color="000000" w:sz="4" w:space="0"/>
            </w:tcBorders>
            <w:vAlign w:val="center"/>
          </w:tcPr>
          <w:p w14:paraId="7F5A1B30">
            <w:pPr>
              <w:bidi w:val="0"/>
              <w:rPr>
                <w:rFonts w:hint="eastAsia" w:ascii="宋体" w:hAnsi="宋体" w:eastAsia="宋体" w:cs="宋体"/>
                <w:color w:val="auto"/>
              </w:rPr>
            </w:pPr>
            <w:r>
              <w:rPr>
                <w:rFonts w:hint="eastAsia" w:ascii="宋体" w:hAnsi="宋体" w:eastAsia="宋体" w:cs="宋体"/>
                <w:color w:val="auto"/>
              </w:rPr>
              <w:t>绿地完整，无堆物、堆料、违搭建，树干、园林建筑小品等上面无钉拴刻画等现象。</w:t>
            </w:r>
          </w:p>
        </w:tc>
        <w:tc>
          <w:tcPr>
            <w:tcW w:w="4605" w:type="dxa"/>
            <w:tcBorders>
              <w:top w:val="single" w:color="000000" w:sz="4" w:space="0"/>
              <w:left w:val="single" w:color="000000" w:sz="4" w:space="0"/>
              <w:bottom w:val="single" w:color="000000" w:sz="4" w:space="0"/>
              <w:right w:val="single" w:color="000000" w:sz="4" w:space="0"/>
            </w:tcBorders>
            <w:vAlign w:val="center"/>
          </w:tcPr>
          <w:p w14:paraId="518687CA">
            <w:pPr>
              <w:bidi w:val="0"/>
              <w:rPr>
                <w:rFonts w:hint="eastAsia" w:ascii="宋体" w:hAnsi="宋体" w:eastAsia="宋体" w:cs="宋体"/>
                <w:color w:val="auto"/>
              </w:rPr>
            </w:pPr>
            <w:r>
              <w:rPr>
                <w:rFonts w:hint="eastAsia" w:ascii="宋体" w:hAnsi="宋体" w:eastAsia="宋体" w:cs="宋体"/>
                <w:color w:val="auto"/>
              </w:rPr>
              <w:t>绿地完整，无堆物、堆料违章搭建，树干、园林建筑、小品等上面无钉拴刻画等现象。</w:t>
            </w:r>
          </w:p>
        </w:tc>
        <w:tc>
          <w:tcPr>
            <w:tcW w:w="4410" w:type="dxa"/>
            <w:tcBorders>
              <w:top w:val="single" w:color="000000" w:sz="4" w:space="0"/>
              <w:left w:val="single" w:color="000000" w:sz="4" w:space="0"/>
              <w:bottom w:val="single" w:color="000000" w:sz="4" w:space="0"/>
              <w:right w:val="single" w:color="000000" w:sz="4" w:space="0"/>
            </w:tcBorders>
            <w:vAlign w:val="center"/>
          </w:tcPr>
          <w:p w14:paraId="6A6723DF">
            <w:pPr>
              <w:bidi w:val="0"/>
              <w:rPr>
                <w:rFonts w:hint="eastAsia" w:ascii="宋体" w:hAnsi="宋体" w:eastAsia="宋体" w:cs="宋体"/>
                <w:color w:val="auto"/>
              </w:rPr>
            </w:pPr>
            <w:r>
              <w:rPr>
                <w:rFonts w:hint="eastAsia" w:ascii="宋体" w:hAnsi="宋体" w:eastAsia="宋体" w:cs="宋体"/>
                <w:color w:val="auto"/>
              </w:rPr>
              <w:t>绿地完整，无堆物、堆料、违章搭建，树干、园林建筑、小品等上面无钉拴刻画等现象。</w:t>
            </w:r>
          </w:p>
        </w:tc>
      </w:tr>
    </w:tbl>
    <w:p w14:paraId="7E6807A8">
      <w:pPr>
        <w:bidi w:val="0"/>
        <w:rPr>
          <w:rFonts w:hint="eastAsia" w:ascii="宋体" w:hAnsi="宋体" w:eastAsia="宋体" w:cs="宋体"/>
          <w:color w:val="auto"/>
          <w:lang w:eastAsia="zh-CN"/>
        </w:rPr>
      </w:pPr>
      <w:r>
        <w:rPr>
          <w:rFonts w:hint="eastAsia" w:ascii="宋体" w:hAnsi="宋体" w:eastAsia="宋体" w:cs="宋体"/>
          <w:color w:val="auto"/>
        </w:rPr>
        <mc:AlternateContent>
          <mc:Choice Requires="wps">
            <w:drawing>
              <wp:anchor distT="0" distB="0" distL="114300" distR="114300" simplePos="0" relativeHeight="251660288" behindDoc="0" locked="0" layoutInCell="1" allowOverlap="1">
                <wp:simplePos x="0" y="0"/>
                <wp:positionH relativeFrom="page">
                  <wp:posOffset>584200</wp:posOffset>
                </wp:positionH>
                <wp:positionV relativeFrom="page">
                  <wp:posOffset>2070100</wp:posOffset>
                </wp:positionV>
                <wp:extent cx="165100" cy="177800"/>
                <wp:effectExtent l="0" t="0" r="0" b="0"/>
                <wp:wrapNone/>
                <wp:docPr id="28" name="文本框 2"/>
                <wp:cNvGraphicFramePr/>
                <a:graphic xmlns:a="http://schemas.openxmlformats.org/drawingml/2006/main">
                  <a:graphicData uri="http://schemas.microsoft.com/office/word/2010/wordprocessingShape">
                    <wps:wsp>
                      <wps:cNvSpPr txBox="1"/>
                      <wps:spPr>
                        <a:xfrm>
                          <a:off x="1601470" y="2139315"/>
                          <a:ext cx="2132965" cy="3376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37D5E7">
                            <w:pPr>
                              <w:autoSpaceDE w:val="0"/>
                              <w:autoSpaceDN w:val="0"/>
                              <w:spacing w:before="0" w:after="0" w:line="181" w:lineRule="exact"/>
                              <w:ind w:firstLine="0"/>
                              <w:jc w:val="both"/>
                              <w:rPr>
                                <w:sz w:val="14"/>
                              </w:rPr>
                            </w:pPr>
                          </w:p>
                        </w:txbxContent>
                      </wps:txbx>
                      <wps:bodyPr wrap="square" lIns="25400" tIns="0" rIns="25400" bIns="0">
                        <a:noAutofit/>
                      </wps:bodyPr>
                    </wps:wsp>
                  </a:graphicData>
                </a:graphic>
              </wp:anchor>
            </w:drawing>
          </mc:Choice>
          <mc:Fallback>
            <w:pict>
              <v:shape id="文本框 2" o:spid="_x0000_s1026" o:spt="202" type="#_x0000_t202" style="position:absolute;left:0pt;margin-left:46pt;margin-top:163pt;height:14pt;width:13pt;mso-position-horizontal-relative:page;mso-position-vertical-relative:page;z-index:251660288;mso-width-relative:page;mso-height-relative:page;" filled="f" stroked="f" coordsize="21600,21600" o:gfxdata="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7c/mG9kAAAAK&#10;AQAADwAAAAAAAAABACAAAAAiAAAAZHJzL2Rvd25yZXYueG1sUEsBAhQAFAAAAAgAh07iQBtRsnLi&#10;AQAArQMAAA4AAAAAAAAAAQAgAAAAKAEAAGRycy9lMm9Eb2MueG1sUEsFBgAAAAAGAAYAWQEAAHwF&#10;AAAAAA==&#10;">
                <v:fill on="f" focussize="0,0"/>
                <v:stroke on="f" weight="0.5pt"/>
                <v:imagedata o:title=""/>
                <o:lock v:ext="edit" aspectratio="f"/>
                <v:textbox inset="2pt,0mm,2pt,0mm">
                  <w:txbxContent>
                    <w:p w14:paraId="3937D5E7">
                      <w:pPr>
                        <w:autoSpaceDE w:val="0"/>
                        <w:autoSpaceDN w:val="0"/>
                        <w:spacing w:before="0" w:after="0" w:line="181" w:lineRule="exact"/>
                        <w:ind w:firstLine="0"/>
                        <w:jc w:val="both"/>
                        <w:rPr>
                          <w:sz w:val="14"/>
                        </w:rPr>
                      </w:pPr>
                    </w:p>
                  </w:txbxContent>
                </v:textbox>
              </v:shape>
            </w:pict>
          </mc:Fallback>
        </mc:AlternateContent>
      </w:r>
      <w:r>
        <w:rPr>
          <w:rFonts w:hint="eastAsia" w:ascii="宋体" w:hAnsi="宋体" w:eastAsia="宋体" w:cs="宋体"/>
          <w:color w:val="auto"/>
        </w:rPr>
        <mc:AlternateContent>
          <mc:Choice Requires="wps">
            <w:drawing>
              <wp:anchor distT="0" distB="0" distL="114300" distR="114300" simplePos="0" relativeHeight="251660288" behindDoc="0" locked="0" layoutInCell="1" allowOverlap="1">
                <wp:simplePos x="0" y="0"/>
                <wp:positionH relativeFrom="page">
                  <wp:posOffset>596900</wp:posOffset>
                </wp:positionH>
                <wp:positionV relativeFrom="page">
                  <wp:posOffset>2908300</wp:posOffset>
                </wp:positionV>
                <wp:extent cx="165100" cy="152400"/>
                <wp:effectExtent l="0" t="0" r="0" b="0"/>
                <wp:wrapNone/>
                <wp:docPr id="29" name="文本框 2"/>
                <wp:cNvGraphicFramePr/>
                <a:graphic xmlns:a="http://schemas.openxmlformats.org/drawingml/2006/main">
                  <a:graphicData uri="http://schemas.microsoft.com/office/word/2010/wordprocessingShape">
                    <wps:wsp>
                      <wps:cNvSpPr txBox="1"/>
                      <wps:spPr>
                        <a:xfrm>
                          <a:off x="1601470" y="2139315"/>
                          <a:ext cx="2132965" cy="3376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9267EC">
                            <w:pPr>
                              <w:autoSpaceDE w:val="0"/>
                              <w:autoSpaceDN w:val="0"/>
                              <w:spacing w:before="0" w:after="0" w:line="181" w:lineRule="exact"/>
                              <w:ind w:firstLine="0"/>
                              <w:jc w:val="both"/>
                              <w:rPr>
                                <w:sz w:val="14"/>
                              </w:rPr>
                            </w:pPr>
                          </w:p>
                        </w:txbxContent>
                      </wps:txbx>
                      <wps:bodyPr wrap="square" lIns="25400" tIns="0" rIns="25400" bIns="0">
                        <a:noAutofit/>
                      </wps:bodyPr>
                    </wps:wsp>
                  </a:graphicData>
                </a:graphic>
              </wp:anchor>
            </w:drawing>
          </mc:Choice>
          <mc:Fallback>
            <w:pict>
              <v:shape id="文本框 2" o:spid="_x0000_s1026" o:spt="202" type="#_x0000_t202" style="position:absolute;left:0pt;margin-left:47pt;margin-top:229pt;height:12pt;width:13pt;mso-position-horizontal-relative:page;mso-position-vertical-relative:page;z-index:251660288;mso-width-relative:page;mso-height-relative:page;" filled="f" stroked="f" coordsize="21600,21600" o:gfxdata="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nwKV8NgAAAAK&#10;AQAADwAAAAAAAAABACAAAAAiAAAAZHJzL2Rvd25yZXYueG1sUEsBAhQAFAAAAAgAh07iQOveM/rj&#10;AQAArQMAAA4AAAAAAAAAAQAgAAAAJwEAAGRycy9lMm9Eb2MueG1sUEsFBgAAAAAGAAYAWQEAAHwF&#10;AAAAAA==&#10;">
                <v:fill on="f" focussize="0,0"/>
                <v:stroke on="f" weight="0.5pt"/>
                <v:imagedata o:title=""/>
                <o:lock v:ext="edit" aspectratio="f"/>
                <v:textbox inset="2pt,0mm,2pt,0mm">
                  <w:txbxContent>
                    <w:p w14:paraId="689267EC">
                      <w:pPr>
                        <w:autoSpaceDE w:val="0"/>
                        <w:autoSpaceDN w:val="0"/>
                        <w:spacing w:before="0" w:after="0" w:line="181" w:lineRule="exact"/>
                        <w:ind w:firstLine="0"/>
                        <w:jc w:val="both"/>
                        <w:rPr>
                          <w:sz w:val="14"/>
                        </w:rPr>
                      </w:pPr>
                    </w:p>
                  </w:txbxContent>
                </v:textbox>
              </v:shape>
            </w:pict>
          </mc:Fallback>
        </mc:AlternateContent>
      </w:r>
    </w:p>
    <w:p w14:paraId="5784BA0F">
      <w:pPr>
        <w:rPr>
          <w:color w:val="auto"/>
        </w:rPr>
      </w:pPr>
    </w:p>
    <w:sectPr>
      <w:headerReference r:id="rId4" w:type="default"/>
      <w:footerReference r:id="rId5" w:type="default"/>
      <w:pgSz w:w="16838" w:h="11906" w:orient="landscape"/>
      <w:pgMar w:top="1803" w:right="1440" w:bottom="1803" w:left="1440" w:header="851" w:footer="992" w:gutter="0"/>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51A52">
    <w:pPr>
      <w:pStyle w:val="4"/>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9D753B">
                          <w:pPr>
                            <w:pStyle w:val="4"/>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7aJO4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KG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F7aJO4zAgAAYwQAAA4AAAAAAAAAAQAgAAAAHwEAAGRycy9lMm9Eb2MueG1sUEsF&#10;BgAAAAAGAAYAWQEAAMQFAAAAAA==&#10;">
              <v:fill on="f" focussize="0,0"/>
              <v:stroke on="f" weight="0.5pt"/>
              <v:imagedata o:title=""/>
              <o:lock v:ext="edit" aspectratio="f"/>
              <v:textbox inset="0mm,0mm,0mm,0mm" style="mso-fit-shape-to-text:t;">
                <w:txbxContent>
                  <w:p w14:paraId="4E9D753B">
                    <w:pPr>
                      <w:pStyle w:val="4"/>
                    </w:pPr>
                    <w:r>
                      <w:fldChar w:fldCharType="begin"/>
                    </w:r>
                    <w:r>
                      <w:instrText xml:space="preserve"> PAGE  \* MERGEFORMAT </w:instrText>
                    </w:r>
                    <w:r>
                      <w:fldChar w:fldCharType="separate"/>
                    </w:r>
                    <w:r>
                      <w:t>60</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FE2087">
    <w:pPr>
      <w:spacing w:line="14" w:lineRule="auto"/>
      <w:rPr>
        <w:rFonts w:ascii="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BBE44D">
    <w:pPr>
      <w:spacing w:line="14" w:lineRule="auto"/>
      <w:rPr>
        <w:rFonts w:ascii="Arial"/>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456E02"/>
    <w:rsid w:val="1AFB146C"/>
    <w:rsid w:val="1E0C6919"/>
    <w:rsid w:val="3A3710E7"/>
    <w:rsid w:val="3CBE19AA"/>
    <w:rsid w:val="4AD12A76"/>
    <w:rsid w:val="5BBA46B0"/>
    <w:rsid w:val="680F160B"/>
    <w:rsid w:val="6F1510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8">
    <w:name w:val="Table Normal"/>
    <w:semiHidden/>
    <w:unhideWhenUsed/>
    <w:qFormat/>
    <w:uiPriority w:val="0"/>
    <w:tblPr>
      <w:tblCellMar>
        <w:top w:w="0" w:type="dxa"/>
        <w:left w:w="0" w:type="dxa"/>
        <w:bottom w:w="0" w:type="dxa"/>
        <w:right w:w="0" w:type="dxa"/>
      </w:tblCellMar>
    </w:tblPr>
  </w:style>
  <w:style w:type="paragraph" w:customStyle="1" w:styleId="9">
    <w:name w:val="Table Text"/>
    <w:basedOn w:val="1"/>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3451</Words>
  <Characters>3529</Characters>
  <Lines>0</Lines>
  <Paragraphs>0</Paragraphs>
  <TotalTime>0</TotalTime>
  <ScaleCrop>false</ScaleCrop>
  <LinksUpToDate>false</LinksUpToDate>
  <CharactersWithSpaces>3571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2026-05-08T06:30:00Z</dcterms:created>
  <dc:creator>Administrator</dc:creator>
  <cp:lastModifiedBy>Administrator</cp:lastModifiedBy>
  <dcterms:modified xsi:type="dcterms:W3CDTF">2026-05-21T03:05:11Z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eyJoZGlkIjoiYTk4ZmUyYjU4NWY0NTFjMjZiYzkyMWM4OWJjZjM3ODEiLCJ1c2VySWQiOiIzMDQ1MjAzODUifQ==</vt:lpwstr>
  </property>
  <property fmtid="{D5CDD505-2E9C-101B-9397-08002B2CF9AE}" pid="4" name="ICV">
    <vt:lpwstr>E09D8279480C43C89B5DBD010DE7C575_12</vt:lpwstr>
  </property>
</Properties>
</file>