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200FF5">
      <w:pPr>
        <w:pageBreakBefore w:val="0"/>
        <w:widowControl w:val="0"/>
        <w:shd w:val="clear"/>
        <w:wordWrap/>
        <w:overflowPunct/>
        <w:topLinePunct w:val="0"/>
        <w:bidi w:val="0"/>
        <w:spacing w:before="63" w:line="224" w:lineRule="auto"/>
        <w:jc w:val="center"/>
        <w:rPr>
          <w:rFonts w:hint="eastAsia" w:ascii="仿宋" w:hAnsi="仿宋" w:eastAsia="仿宋" w:cs="仿宋"/>
          <w:color w:val="auto"/>
          <w:spacing w:val="0"/>
          <w:sz w:val="31"/>
          <w:szCs w:val="31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63684177">
      <w:pPr>
        <w:pageBreakBefore w:val="0"/>
        <w:widowControl w:val="0"/>
        <w:shd w:val="clear"/>
        <w:wordWrap/>
        <w:overflowPunct/>
        <w:topLinePunct w:val="0"/>
        <w:bidi w:val="0"/>
        <w:spacing w:line="309" w:lineRule="auto"/>
        <w:jc w:val="center"/>
        <w:rPr>
          <w:rFonts w:hint="eastAsia" w:ascii="仿宋" w:hAnsi="仿宋" w:eastAsia="仿宋" w:cs="仿宋"/>
          <w:color w:val="auto"/>
          <w:spacing w:val="0"/>
          <w:highlight w:val="none"/>
          <w:lang w:eastAsia="zh-CN"/>
        </w:rPr>
      </w:pPr>
    </w:p>
    <w:p w14:paraId="138F0C07">
      <w:pPr>
        <w:pageBreakBefore w:val="0"/>
        <w:widowControl w:val="0"/>
        <w:shd w:val="clear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hint="eastAsia" w:ascii="仿宋" w:hAnsi="仿宋" w:eastAsia="仿宋" w:cs="仿宋"/>
          <w:color w:val="auto"/>
          <w:spacing w:val="0"/>
          <w:sz w:val="24"/>
          <w:szCs w:val="24"/>
          <w:highlight w:val="none"/>
        </w:rPr>
      </w:pPr>
      <w:bookmarkStart w:id="0" w:name="_Toc7375"/>
      <w:r>
        <w:rPr>
          <w:rFonts w:hint="eastAsia" w:ascii="仿宋" w:hAnsi="仿宋" w:eastAsia="仿宋" w:cs="仿宋"/>
          <w:color w:val="auto"/>
          <w:spacing w:val="0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仿宋" w:hAnsi="仿宋" w:eastAsia="仿宋" w:cs="仿宋"/>
          <w:color w:val="auto"/>
          <w:spacing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仿宋" w:hAnsi="仿宋" w:eastAsia="仿宋" w:cs="仿宋"/>
          <w:color w:val="auto"/>
          <w:spacing w:val="0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0"/>
    </w:p>
    <w:p w14:paraId="5BA9AABB">
      <w:pPr>
        <w:pageBreakBefore w:val="0"/>
        <w:widowControl w:val="0"/>
        <w:shd w:val="clear"/>
        <w:wordWrap/>
        <w:overflowPunct/>
        <w:topLinePunct w:val="0"/>
        <w:bidi w:val="0"/>
        <w:spacing w:before="64"/>
        <w:rPr>
          <w:rFonts w:hint="eastAsia" w:ascii="仿宋" w:hAnsi="仿宋" w:eastAsia="仿宋" w:cs="仿宋"/>
          <w:color w:val="auto"/>
          <w:spacing w:val="0"/>
          <w:highlight w:val="none"/>
        </w:rPr>
      </w:pPr>
    </w:p>
    <w:tbl>
      <w:tblPr>
        <w:tblStyle w:val="5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5D2D48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6" w:hRule="atLeast"/>
        </w:trPr>
        <w:tc>
          <w:tcPr>
            <w:tcW w:w="2048" w:type="dxa"/>
            <w:tcBorders>
              <w:right w:val="nil"/>
            </w:tcBorders>
          </w:tcPr>
          <w:p w14:paraId="00BDE34B">
            <w:pPr>
              <w:pageBreakBefore w:val="0"/>
              <w:widowControl w:val="0"/>
              <w:shd w:val="clear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</w:rPr>
            </w:pPr>
            <w:bookmarkStart w:id="6" w:name="_GoBack"/>
            <w:r>
              <w:rPr>
                <w:rFonts w:hint="eastAsia" w:ascii="仿宋" w:hAnsi="仿宋" w:eastAsia="仿宋" w:cs="仿宋"/>
                <w:color w:val="auto"/>
                <w:spacing w:val="0"/>
                <w:highlight w:val="none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6"/>
            <w:r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</w:rPr>
              <w:t>名</w:t>
            </w:r>
          </w:p>
          <w:p w14:paraId="34740657">
            <w:pPr>
              <w:pStyle w:val="6"/>
              <w:pageBreakBefore w:val="0"/>
              <w:widowControl w:val="0"/>
              <w:shd w:val="clear"/>
              <w:wordWrap/>
              <w:overflowPunct/>
              <w:topLinePunct w:val="0"/>
              <w:bidi w:val="0"/>
              <w:spacing w:line="245" w:lineRule="auto"/>
              <w:rPr>
                <w:rFonts w:hint="eastAsia" w:ascii="仿宋" w:hAnsi="仿宋" w:eastAsia="仿宋" w:cs="仿宋"/>
                <w:color w:val="auto"/>
                <w:spacing w:val="0"/>
                <w:highlight w:val="none"/>
              </w:rPr>
            </w:pPr>
          </w:p>
          <w:p w14:paraId="582CE20A">
            <w:pPr>
              <w:pStyle w:val="6"/>
              <w:pageBreakBefore w:val="0"/>
              <w:widowControl w:val="0"/>
              <w:shd w:val="clear"/>
              <w:wordWrap/>
              <w:overflowPunct/>
              <w:topLinePunct w:val="0"/>
              <w:bidi w:val="0"/>
              <w:spacing w:line="246" w:lineRule="auto"/>
              <w:rPr>
                <w:rFonts w:hint="eastAsia" w:ascii="仿宋" w:hAnsi="仿宋" w:eastAsia="仿宋" w:cs="仿宋"/>
                <w:color w:val="auto"/>
                <w:spacing w:val="0"/>
                <w:highlight w:val="none"/>
              </w:rPr>
            </w:pPr>
          </w:p>
          <w:p w14:paraId="741B2EE0">
            <w:pPr>
              <w:pageBreakBefore w:val="0"/>
              <w:widowControl w:val="0"/>
              <w:shd w:val="clear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</w:rPr>
              <w:t>内</w:t>
            </w:r>
          </w:p>
          <w:p w14:paraId="447BBFF4">
            <w:pPr>
              <w:pStyle w:val="6"/>
              <w:pageBreakBefore w:val="0"/>
              <w:widowControl w:val="0"/>
              <w:shd w:val="clear"/>
              <w:wordWrap/>
              <w:overflowPunct/>
              <w:topLinePunct w:val="0"/>
              <w:bidi w:val="0"/>
              <w:spacing w:line="338" w:lineRule="auto"/>
              <w:rPr>
                <w:rFonts w:hint="eastAsia" w:ascii="仿宋" w:hAnsi="仿宋" w:eastAsia="仿宋" w:cs="仿宋"/>
                <w:color w:val="auto"/>
                <w:spacing w:val="0"/>
                <w:highlight w:val="none"/>
              </w:rPr>
            </w:pPr>
          </w:p>
          <w:p w14:paraId="4627E9C2">
            <w:pPr>
              <w:pageBreakBefore w:val="0"/>
              <w:widowControl w:val="0"/>
              <w:shd w:val="clear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30EE9FDF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eastAsia="zh-CN"/>
              </w:rPr>
            </w:pPr>
          </w:p>
          <w:p w14:paraId="684D67CB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eastAsia="zh-CN"/>
              </w:rPr>
            </w:pPr>
          </w:p>
          <w:p w14:paraId="405CCF89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eastAsia="zh-CN"/>
              </w:rPr>
            </w:pPr>
          </w:p>
          <w:p w14:paraId="434AE458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eastAsia="zh-CN"/>
              </w:rPr>
              <w:t>称</w:t>
            </w:r>
          </w:p>
        </w:tc>
        <w:tc>
          <w:tcPr>
            <w:tcW w:w="6150" w:type="dxa"/>
          </w:tcPr>
          <w:p w14:paraId="2F41146E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eastAsia="zh-CN"/>
              </w:rPr>
            </w:pPr>
          </w:p>
          <w:p w14:paraId="6E86100E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eastAsia="zh-CN"/>
              </w:rPr>
            </w:pPr>
          </w:p>
          <w:p w14:paraId="46BC4182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eastAsia="zh-CN"/>
              </w:rPr>
              <w:t>崇仁县城区综合管网建设项目综合物探及排水管网普查采购项目</w:t>
            </w:r>
          </w:p>
        </w:tc>
      </w:tr>
      <w:tr w14:paraId="6598F0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2865" w:type="dxa"/>
            <w:gridSpan w:val="2"/>
          </w:tcPr>
          <w:p w14:paraId="37F22AE3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  <w:t>数量</w:t>
            </w:r>
          </w:p>
        </w:tc>
        <w:tc>
          <w:tcPr>
            <w:tcW w:w="6150" w:type="dxa"/>
          </w:tcPr>
          <w:p w14:paraId="3B23F77C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  <w:p w14:paraId="753BC5C4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</w:tr>
      <w:tr w14:paraId="1ABA02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2865" w:type="dxa"/>
            <w:gridSpan w:val="2"/>
          </w:tcPr>
          <w:p w14:paraId="199B6E5E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  <w:t>服务期</w:t>
            </w:r>
          </w:p>
        </w:tc>
        <w:tc>
          <w:tcPr>
            <w:tcW w:w="6150" w:type="dxa"/>
          </w:tcPr>
          <w:p w14:paraId="138F60E5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签订合同后20个日历日内完成全部工作并提交所有报告成果。</w:t>
            </w:r>
          </w:p>
        </w:tc>
      </w:tr>
      <w:tr w14:paraId="0CB1E6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" w:hRule="atLeast"/>
        </w:trPr>
        <w:tc>
          <w:tcPr>
            <w:tcW w:w="2865" w:type="dxa"/>
            <w:gridSpan w:val="2"/>
          </w:tcPr>
          <w:p w14:paraId="446E6E1D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  <w:t>服务地点</w:t>
            </w:r>
          </w:p>
        </w:tc>
        <w:tc>
          <w:tcPr>
            <w:tcW w:w="6150" w:type="dxa"/>
          </w:tcPr>
          <w:p w14:paraId="28BC1D6C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  <w:t>崇仁县</w:t>
            </w:r>
          </w:p>
        </w:tc>
      </w:tr>
      <w:tr w14:paraId="6978B3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" w:hRule="atLeast"/>
        </w:trPr>
        <w:tc>
          <w:tcPr>
            <w:tcW w:w="2865" w:type="dxa"/>
            <w:gridSpan w:val="2"/>
          </w:tcPr>
          <w:p w14:paraId="046CE04D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  <w:t>备注</w:t>
            </w:r>
          </w:p>
        </w:tc>
        <w:tc>
          <w:tcPr>
            <w:tcW w:w="6150" w:type="dxa"/>
          </w:tcPr>
          <w:p w14:paraId="4D3D45D7">
            <w:pPr>
              <w:pStyle w:val="6"/>
              <w:keepNext w:val="0"/>
              <w:keepLines w:val="0"/>
              <w:pageBreakBefore w:val="0"/>
              <w:widowControl w:val="0"/>
              <w:shd w:val="clear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sz w:val="24"/>
                <w:szCs w:val="24"/>
                <w:highlight w:val="none"/>
                <w:lang w:eastAsia="zh-CN"/>
              </w:rPr>
            </w:pPr>
          </w:p>
        </w:tc>
      </w:tr>
    </w:tbl>
    <w:p w14:paraId="77187C71">
      <w:pPr>
        <w:pageBreakBefore w:val="0"/>
        <w:widowControl w:val="0"/>
        <w:shd w:val="clear"/>
        <w:wordWrap/>
        <w:overflowPunct/>
        <w:topLinePunct w:val="0"/>
        <w:bidi w:val="0"/>
        <w:rPr>
          <w:rFonts w:hint="eastAsia" w:ascii="仿宋" w:hAnsi="仿宋" w:eastAsia="仿宋" w:cs="仿宋"/>
          <w:color w:val="auto"/>
          <w:spacing w:val="0"/>
          <w:highlight w:val="none"/>
        </w:rPr>
      </w:pPr>
    </w:p>
    <w:p w14:paraId="0933537D">
      <w:pPr>
        <w:pageBreakBefore w:val="0"/>
        <w:widowControl w:val="0"/>
        <w:shd w:val="clear"/>
        <w:wordWrap/>
        <w:overflowPunct/>
        <w:topLinePunct w:val="0"/>
        <w:bidi w:val="0"/>
        <w:rPr>
          <w:rFonts w:hint="eastAsia" w:ascii="仿宋" w:hAnsi="仿宋" w:eastAsia="仿宋" w:cs="仿宋"/>
          <w:color w:val="auto"/>
          <w:spacing w:val="0"/>
          <w:highlight w:val="none"/>
        </w:rPr>
        <w:sectPr>
          <w:footerReference r:id="rId3" w:type="default"/>
          <w:pgSz w:w="11906" w:h="16839"/>
          <w:pgMar w:top="1232" w:right="1786" w:bottom="1156" w:left="1786" w:header="0" w:footer="994" w:gutter="0"/>
          <w:pgNumType w:fmt="decimal"/>
          <w:cols w:space="720" w:num="1"/>
        </w:sectPr>
      </w:pPr>
    </w:p>
    <w:p w14:paraId="0D91ED21">
      <w:pPr>
        <w:pageBreakBefore w:val="0"/>
        <w:widowControl w:val="0"/>
        <w:shd w:val="clear"/>
        <w:wordWrap/>
        <w:overflowPunct/>
        <w:topLinePunct w:val="0"/>
        <w:bidi w:val="0"/>
        <w:spacing w:before="47" w:line="219" w:lineRule="auto"/>
        <w:outlineLvl w:val="1"/>
        <w:rPr>
          <w:rFonts w:hint="eastAsia" w:ascii="仿宋" w:hAnsi="仿宋" w:eastAsia="仿宋" w:cs="仿宋"/>
          <w:color w:val="auto"/>
          <w:spacing w:val="0"/>
          <w:sz w:val="24"/>
          <w:szCs w:val="24"/>
          <w:highlight w:val="none"/>
        </w:rPr>
      </w:pPr>
      <w:bookmarkStart w:id="1" w:name="bookmark81"/>
      <w:bookmarkEnd w:id="1"/>
      <w:bookmarkStart w:id="2" w:name="_Toc9056"/>
      <w:r>
        <w:rPr>
          <w:rFonts w:hint="eastAsia" w:ascii="仿宋" w:hAnsi="仿宋" w:eastAsia="仿宋" w:cs="仿宋"/>
          <w:color w:val="auto"/>
          <w:spacing w:val="0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仿宋" w:hAnsi="仿宋" w:eastAsia="仿宋" w:cs="仿宋"/>
          <w:color w:val="auto"/>
          <w:spacing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hint="eastAsia" w:ascii="仿宋" w:hAnsi="仿宋" w:eastAsia="仿宋" w:cs="仿宋"/>
          <w:color w:val="auto"/>
          <w:spacing w:val="0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2"/>
    </w:p>
    <w:p w14:paraId="6E2C53AA">
      <w:pPr>
        <w:spacing w:line="360" w:lineRule="auto"/>
        <w:ind w:firstLine="480" w:firstLineChars="200"/>
        <w:rPr>
          <w:rFonts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（一）、项目概况</w:t>
      </w:r>
    </w:p>
    <w:p w14:paraId="0DF56D83">
      <w:pPr>
        <w:spacing w:line="360" w:lineRule="auto"/>
        <w:ind w:firstLine="480" w:firstLineChars="200"/>
        <w:rPr>
          <w:rFonts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为加快补齐城镇污水收集处理设施短板，尽快实现污水管网全覆盖，生活污水全收集、全处理，实现城市黑臭水体长制久清的目标。</w:t>
      </w:r>
    </w:p>
    <w:p w14:paraId="7723EB99">
      <w:pPr>
        <w:spacing w:line="360" w:lineRule="auto"/>
        <w:ind w:firstLine="480" w:firstLineChars="200"/>
        <w:rPr>
          <w:rFonts w:ascii="仿宋" w:hAnsi="仿宋" w:eastAsia="仿宋" w:cs="仿宋"/>
          <w:sz w:val="24"/>
          <w:szCs w:val="24"/>
          <w:lang w:eastAsia="zh-CN"/>
        </w:rPr>
      </w:pPr>
      <w:r>
        <w:rPr>
          <w:rFonts w:ascii="仿宋" w:hAnsi="仿宋" w:eastAsia="仿宋" w:cs="仿宋"/>
          <w:sz w:val="24"/>
          <w:szCs w:val="24"/>
          <w:lang w:eastAsia="zh-CN"/>
        </w:rPr>
        <w:t xml:space="preserve">2019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年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11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月，江西省住建厅、生态环境厅、发改委印发了《江西省城镇生活污水提质增效三年行动实施方案（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2019-2021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年）》的通知：</w:t>
      </w:r>
    </w:p>
    <w:p w14:paraId="18DF56A9">
      <w:pPr>
        <w:spacing w:line="360" w:lineRule="auto"/>
        <w:ind w:firstLine="480" w:firstLineChars="200"/>
        <w:rPr>
          <w:rFonts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实施方案确定：经过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3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年努力，各设区市城市建成区基本无生活污水直排口，基本消除城中村、老旧城区和城乡结合部生活污水收集处理设施空白区，基本消除黑臭水体。城市生活污水集中收集效能显著提高，与推进实现污水管网全覆盖、全收集、全处理目标相适应的工作机制基本形成。到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2021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年底，全省各市、县生活污水集中收集率、污水处理厂进水生化需氧量（</w:t>
      </w:r>
      <w:r>
        <w:rPr>
          <w:rFonts w:ascii="仿宋" w:hAnsi="仿宋" w:eastAsia="仿宋" w:cs="仿宋"/>
          <w:sz w:val="24"/>
          <w:szCs w:val="24"/>
          <w:lang w:eastAsia="zh-CN"/>
        </w:rPr>
        <w:t>BOD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）浓度明显提高。</w:t>
      </w:r>
    </w:p>
    <w:p w14:paraId="688F29E2">
      <w:pPr>
        <w:spacing w:line="360" w:lineRule="auto"/>
        <w:ind w:firstLine="480" w:firstLineChars="200"/>
        <w:rPr>
          <w:rFonts w:ascii="仿宋" w:hAnsi="仿宋" w:eastAsia="仿宋" w:cs="仿宋"/>
          <w:sz w:val="24"/>
          <w:szCs w:val="24"/>
          <w:lang w:eastAsia="zh-CN"/>
        </w:rPr>
      </w:pPr>
      <w:r>
        <w:rPr>
          <w:rFonts w:ascii="仿宋" w:hAnsi="仿宋" w:eastAsia="仿宋" w:cs="仿宋"/>
          <w:sz w:val="24"/>
          <w:szCs w:val="24"/>
          <w:lang w:eastAsia="zh-CN"/>
        </w:rPr>
        <w:t xml:space="preserve">2022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年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06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月，江西省住建厅、生态环境厅、发改委印发了《江西省城镇生活污水处理提质增效攻坚行动方案（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2022-2025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年）》的通知：</w:t>
      </w:r>
    </w:p>
    <w:p w14:paraId="57DFD612">
      <w:pPr>
        <w:spacing w:line="360" w:lineRule="auto"/>
        <w:ind w:firstLine="480" w:firstLineChars="200"/>
        <w:rPr>
          <w:rFonts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到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2025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年底，城市生活污水集中收集率力争达到</w:t>
      </w:r>
      <w:r>
        <w:rPr>
          <w:rFonts w:ascii="仿宋" w:hAnsi="仿宋" w:eastAsia="仿宋" w:cs="仿宋"/>
          <w:sz w:val="24"/>
          <w:szCs w:val="24"/>
          <w:lang w:eastAsia="zh-CN"/>
        </w:rPr>
        <w:t>70%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以上，进水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BOD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浓度高于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100mg/L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的城市生活污水处理厂规模占比达</w:t>
      </w:r>
      <w:r>
        <w:rPr>
          <w:rFonts w:ascii="仿宋" w:hAnsi="仿宋" w:eastAsia="仿宋" w:cs="仿宋"/>
          <w:sz w:val="24"/>
          <w:szCs w:val="24"/>
          <w:lang w:eastAsia="zh-CN"/>
        </w:rPr>
        <w:t>90%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以上；县城生活污水集中收集率较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2021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年提高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10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个百分点以上，各县城生活污水处理率达到</w:t>
      </w:r>
      <w:r>
        <w:rPr>
          <w:rFonts w:ascii="仿宋" w:hAnsi="仿宋" w:eastAsia="仿宋" w:cs="仿宋"/>
          <w:sz w:val="24"/>
          <w:szCs w:val="24"/>
          <w:lang w:eastAsia="zh-CN"/>
        </w:rPr>
        <w:t>95%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以上，城镇生活污水处理厂进水生化需氧量（</w:t>
      </w:r>
      <w:r>
        <w:rPr>
          <w:rFonts w:ascii="仿宋" w:hAnsi="仿宋" w:eastAsia="仿宋" w:cs="仿宋"/>
          <w:sz w:val="24"/>
          <w:szCs w:val="24"/>
          <w:lang w:eastAsia="zh-CN"/>
        </w:rPr>
        <w:t>BOD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）浓度力争达到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100mg/L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以上或较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2021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年底提升</w:t>
      </w:r>
      <w:r>
        <w:rPr>
          <w:rFonts w:ascii="仿宋" w:hAnsi="仿宋" w:eastAsia="仿宋" w:cs="仿宋"/>
          <w:sz w:val="24"/>
          <w:szCs w:val="24"/>
          <w:lang w:eastAsia="zh-CN"/>
        </w:rPr>
        <w:t xml:space="preserve">20mg/L 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以上。</w:t>
      </w:r>
    </w:p>
    <w:p w14:paraId="178330C9">
      <w:pPr>
        <w:spacing w:line="360" w:lineRule="auto"/>
        <w:ind w:firstLine="480" w:firstLineChars="200"/>
        <w:rPr>
          <w:rFonts w:ascii="仿宋" w:hAnsi="仿宋" w:eastAsia="仿宋" w:cs="仿宋"/>
          <w:sz w:val="24"/>
          <w:szCs w:val="24"/>
          <w:lang w:eastAsia="zh-CN"/>
        </w:rPr>
      </w:pPr>
      <w:bookmarkStart w:id="3" w:name="OLE_LINK1"/>
      <w:r>
        <w:rPr>
          <w:rFonts w:hint="eastAsia" w:ascii="仿宋" w:hAnsi="仿宋" w:eastAsia="仿宋" w:cs="仿宋"/>
          <w:sz w:val="24"/>
          <w:szCs w:val="24"/>
          <w:lang w:eastAsia="zh-CN"/>
        </w:rPr>
        <w:t>城镇生活污水处理提质增效</w:t>
      </w:r>
      <w:bookmarkEnd w:id="3"/>
      <w:r>
        <w:rPr>
          <w:rFonts w:hint="eastAsia" w:ascii="仿宋" w:hAnsi="仿宋" w:eastAsia="仿宋" w:cs="仿宋"/>
          <w:sz w:val="24"/>
          <w:szCs w:val="24"/>
          <w:lang w:eastAsia="zh-CN"/>
        </w:rPr>
        <w:t>是贯彻落实绿色发展理念、改善城乡人居环境的重要举措，事关人民群众切身利益和全县经济社会可持续发展大局。</w:t>
      </w:r>
    </w:p>
    <w:p w14:paraId="4B6CFB98">
      <w:pPr>
        <w:spacing w:line="360" w:lineRule="auto"/>
        <w:ind w:firstLine="480" w:firstLineChars="200"/>
        <w:rPr>
          <w:rFonts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在此背景下，崇仁县城市管理局全面、系统理顺该污水处理厂运行存在的“提质增效”及服务范围内的管网建设、完善、维护、排摸等问题，并提出具体可行的实施方案，改善人民生活环境及辖区内的水环境，保护崇仁水体，保障经济持续稳定发展，改善污染状况和城镇卫生面貌，提高人民的生活质量，推动经济进一步的发展。</w:t>
      </w:r>
    </w:p>
    <w:p w14:paraId="736622C6">
      <w:pPr>
        <w:spacing w:line="360" w:lineRule="auto"/>
        <w:ind w:firstLine="480" w:firstLineChars="200"/>
        <w:rPr>
          <w:rFonts w:ascii="仿宋" w:hAnsi="仿宋" w:eastAsia="仿宋" w:cs="仿宋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通过对崇仁县污水处理系统及收集管网系统进行实地查勘、调研，对排水收集管道系统的建设、运维、规划等各期资料进行收集、统计、分析，对排水收集管道系统的普查结果进行分析、核实，处理系统梳理、问题识别，以保证城镇生活污水处理提质增效的顺利</w:t>
      </w:r>
      <w:r>
        <w:rPr>
          <w:rFonts w:hint="eastAsia" w:ascii="仿宋" w:hAnsi="仿宋" w:eastAsia="仿宋" w:cs="仿宋"/>
          <w:sz w:val="24"/>
          <w:szCs w:val="24"/>
          <w:highlight w:val="none"/>
          <w:lang w:eastAsia="zh-CN"/>
        </w:rPr>
        <w:t>实施。</w:t>
      </w:r>
    </w:p>
    <w:p w14:paraId="34905EF2">
      <w:pPr>
        <w:spacing w:line="360" w:lineRule="auto"/>
        <w:ind w:firstLine="480" w:firstLineChars="200"/>
        <w:rPr>
          <w:rFonts w:ascii="仿宋" w:hAnsi="仿宋" w:eastAsia="仿宋" w:cs="仿宋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highlight w:val="none"/>
          <w:lang w:eastAsia="zh-CN"/>
        </w:rPr>
        <w:t>（二）、服务内容</w:t>
      </w:r>
    </w:p>
    <w:p w14:paraId="74F40D13">
      <w:pPr>
        <w:spacing w:line="360" w:lineRule="auto"/>
        <w:ind w:firstLine="480" w:firstLineChars="200"/>
        <w:rPr>
          <w:rFonts w:hint="eastAsia" w:ascii="仿宋" w:hAnsi="仿宋" w:eastAsia="仿宋" w:cs="仿宋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highlight w:val="none"/>
          <w:lang w:eastAsia="zh-CN"/>
        </w:rPr>
        <w:t>根据本项目的工程范围及工程内容进行考虑，本项目须进行排水管线普查及市政道路综合物探工作，简要汇总如下：</w:t>
      </w:r>
    </w:p>
    <w:p w14:paraId="54867BCB">
      <w:pPr>
        <w:spacing w:line="360" w:lineRule="auto"/>
        <w:ind w:firstLine="480" w:firstLineChars="200"/>
        <w:jc w:val="center"/>
        <w:rPr>
          <w:rFonts w:ascii="仿宋" w:hAnsi="仿宋" w:eastAsia="仿宋" w:cs="仿宋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highlight w:val="none"/>
          <w:lang w:eastAsia="zh-CN"/>
        </w:rPr>
        <w:t>工作内容主要包含城南西侧片区、青年路片区（含坊牌下区域）、西郊路片区、宝水大街西侧片区、胜利社区管辖片区级吴彻路、长兴路、乐史路、迎宾大道等市政道路的管线普查（含排水管线检查井平面、高程、管径、排水方向、排水体制、沿线雨污排口、管材等基本信息、雨污废水错混接具体位置及分布情况；测量精度1:500，项目区域内地形地貌及大型可能对项目实施造成影响的隐蔽工程，现状排水管线普查总长度约17.99km。</w:t>
      </w:r>
    </w:p>
    <w:p w14:paraId="2F7B9EFC">
      <w:pPr>
        <w:spacing w:line="360" w:lineRule="auto"/>
        <w:ind w:firstLine="480" w:firstLineChars="200"/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ascii="仿宋" w:hAnsi="仿宋" w:eastAsia="仿宋" w:cs="仿宋"/>
          <w:snapToGrid/>
          <w:color w:val="auto"/>
          <w:sz w:val="24"/>
          <w:szCs w:val="24"/>
          <w:highlight w:val="none"/>
          <w:lang w:eastAsia="zh-CN"/>
        </w:rPr>
        <w:drawing>
          <wp:inline distT="0" distB="0" distL="0" distR="0">
            <wp:extent cx="5271770" cy="5201920"/>
            <wp:effectExtent l="0" t="0" r="5080" b="17780"/>
            <wp:docPr id="14" name="图片 14" descr="C:\Users\Think\Desktop\崇仁项目招投标\4ae807f4-2ffa-4c7e-97c9-39a4f543c5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C:\Users\Think\Desktop\崇仁项目招投标\4ae807f4-2ffa-4c7e-97c9-39a4f543c56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1923" cy="52020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6C3F95">
      <w:pPr>
        <w:spacing w:line="360" w:lineRule="auto"/>
        <w:ind w:firstLine="480" w:firstLineChars="200"/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对项目实施范围内开展测量及物探任务，要求成果满足崇仁县城区综合管网建设项目施工要求（包含但不限于地形测量、雨污水管线排查、综合管线探测）</w:t>
      </w:r>
    </w:p>
    <w:p w14:paraId="4A692050">
      <w:pPr>
        <w:spacing w:line="360" w:lineRule="auto"/>
        <w:ind w:firstLine="480" w:firstLineChars="200"/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提供成果要求：</w:t>
      </w:r>
    </w:p>
    <w:p w14:paraId="45E8A4B1">
      <w:pPr>
        <w:spacing w:line="360" w:lineRule="auto"/>
        <w:ind w:firstLine="480" w:firstLineChars="200"/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1.施工区域内排水管道走向、管材、管径、检查井或连接井坐标定位、标高、流向及混错接情况等</w:t>
      </w:r>
    </w:p>
    <w:p w14:paraId="622EF538">
      <w:pPr>
        <w:topLinePunct/>
        <w:spacing w:line="360" w:lineRule="auto"/>
        <w:ind w:firstLine="480" w:firstLineChars="200"/>
        <w:textAlignment w:val="center"/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2.区域内综合</w:t>
      </w:r>
      <w:r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  <w:t>管线的类型、平面位置、管径、、孔数、埋深、标高、管径、走向、材质等，为规划、设计、施工等提供详细的管线资料。</w:t>
      </w:r>
    </w:p>
    <w:p w14:paraId="3F0CFF9F">
      <w:pPr>
        <w:spacing w:line="360" w:lineRule="auto"/>
        <w:ind w:firstLine="480" w:firstLineChars="200"/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提供</w:t>
      </w:r>
      <w:r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  <w:t xml:space="preserve">1 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份与上述盖章文件一致的电子资料光盘（</w:t>
      </w:r>
      <w:r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  <w:t>CAD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、</w:t>
      </w:r>
      <w:r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  <w:t>EXCEL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）的成果资料。</w:t>
      </w:r>
    </w:p>
    <w:p w14:paraId="7EA549D3">
      <w:pPr>
        <w:spacing w:line="360" w:lineRule="auto"/>
        <w:ind w:firstLine="480" w:firstLineChars="200"/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（三）</w:t>
      </w:r>
      <w:bookmarkStart w:id="4" w:name="OLE_LINK2"/>
      <w:bookmarkStart w:id="5" w:name="OLE_LINK3"/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人员要求</w:t>
      </w:r>
    </w:p>
    <w:bookmarkEnd w:id="4"/>
    <w:bookmarkEnd w:id="5"/>
    <w:p w14:paraId="57D63B25">
      <w:pPr>
        <w:spacing w:line="460" w:lineRule="exact"/>
        <w:ind w:firstLine="480" w:firstLineChars="200"/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  <w:t xml:space="preserve">根据本项目需求，拟派人员应当具备以下要求。 </w:t>
      </w:r>
    </w:p>
    <w:p w14:paraId="68A982F2">
      <w:pPr>
        <w:spacing w:line="400" w:lineRule="exact"/>
        <w:outlineLvl w:val="1"/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1)</w:t>
      </w:r>
      <w:r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  <w:t>拟派项目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经理</w:t>
      </w:r>
      <w:r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  <w:t>1名：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highlight w:val="none"/>
          <w:lang w:eastAsia="zh-CN"/>
        </w:rPr>
        <w:t>具备注册土木工程师(岩土)资格的执业资格</w:t>
      </w:r>
      <w:r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  <w:t xml:space="preserve">。 </w:t>
      </w:r>
    </w:p>
    <w:p w14:paraId="7EEAE825">
      <w:pPr>
        <w:spacing w:line="400" w:lineRule="exact"/>
        <w:outlineLvl w:val="1"/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2)</w:t>
      </w:r>
      <w:r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  <w:t>拟投入的专业技术人员：拟投入的专业技术人员除项目负责人外不少于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2</w:t>
      </w:r>
      <w:r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  <w:t>名，项目团队应由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岩土、给排水、结构及电气等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专业</w:t>
      </w:r>
      <w:r>
        <w:rPr>
          <w:rFonts w:ascii="仿宋" w:hAnsi="仿宋" w:eastAsia="仿宋" w:cs="仿宋"/>
          <w:color w:val="auto"/>
          <w:sz w:val="24"/>
          <w:szCs w:val="24"/>
          <w:highlight w:val="none"/>
          <w:lang w:eastAsia="zh-CN"/>
        </w:rPr>
        <w:t>工程师构成。</w:t>
      </w:r>
    </w:p>
    <w:p w14:paraId="0A4C464D">
      <w:pPr>
        <w:spacing w:line="460" w:lineRule="exact"/>
        <w:ind w:firstLine="562" w:firstLineChars="200"/>
        <w:rPr>
          <w:rFonts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注：以上条款投标人必须完全响应，否则作无效标处理。</w:t>
      </w:r>
    </w:p>
    <w:p w14:paraId="54F98F4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B3F2A0">
    <w:pPr>
      <w:pStyle w:val="2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8" name="文本框 1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1CC06EC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iEy20zAgAAZQQAAA4AAABkcnMvZTJvRG9jLnhtbK1UzY7TMBC+I/EO&#10;lu80aYFV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MiEy20zAgAAZQ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1CC06EC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855A29"/>
    <w:rsid w:val="27855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2026-05-21T08:30:00Z</dcterms:created>
  <dc:creator>叶子</dc:creator>
  <cp:lastModifiedBy>叶子</cp:lastModifiedBy>
  <dcterms:modified xsi:type="dcterms:W3CDTF">2026-05-21T08:30:43Z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D507F71F065147D1ADB31657CB9F40F2_11</vt:lpwstr>
  </property>
  <property fmtid="{D5CDD505-2E9C-101B-9397-08002B2CF9AE}" pid="4" name="KSOTemplateDocerSaveRecord">
    <vt:lpwstr>eyJoZGlkIjoiOGFjMTQxMDMyMzZjYjU5YmIwNTJjZDE1MGEwMjM0MmUiLCJ1c2VySWQiOiI3MzI1OTUzNzQifQ==</vt:lpwstr>
  </property>
</Properties>
</file>