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29852E">
      <w:pPr>
        <w:widowControl w:val="0"/>
        <w:spacing w:before="47" w:line="219" w:lineRule="auto"/>
        <w:ind w:left="3805"/>
        <w:outlineLvl w:val="1"/>
        <w:rPr>
          <w:rFonts w:hint="eastAsia" w:ascii="宋体" w:hAnsi="宋体" w:eastAsia="宋体" w:cs="宋体"/>
          <w:color w:val="auto"/>
          <w:sz w:val="24"/>
          <w:szCs w:val="24"/>
          <w:lang w:eastAsia="zh-CN"/>
        </w:rPr>
      </w:pPr>
      <w:r>
        <w:rPr>
          <w:rFonts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服务需求</w:t>
      </w:r>
    </w:p>
    <w:p w14:paraId="7AE72294">
      <w:pPr>
        <w:widowControl w:val="0"/>
        <w:spacing w:line="257" w:lineRule="auto"/>
        <w:rPr>
          <w:color w:val="auto"/>
          <w:lang w:eastAsia="zh-CN"/>
        </w:rPr>
      </w:pPr>
    </w:p>
    <w:p w14:paraId="1026850D">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（一）、项目背景</w:t>
      </w:r>
    </w:p>
    <w:p w14:paraId="30CAEBD0">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十五五”时期作为我国实现碳达峰目标的关键决战期，也是我国能耗双控向碳排放双控全面转型的关键衔接期，国家对碳排放精细化管控与碳达峰行动顶层设计提出更高要求。江西省锚定生态优先、绿色发展定位，将碳达峰碳中和纳入全省发展全局统筹推进，上饶市作为赣东北重要门户城市，坐拥鄱阳湖生态经济区核心区位，新能源（光伏、锂电）、有色金属、生态旅游等产业特色鲜明，既面临产业升级与低碳转型的双重机遇，也需破解传统产业能耗偏高、区域碳排放底数待清、峰值路径需精准谋划等挑战。面对“十五五”时期更严格的碳约束，亟需以碳排放预算管理为抓手强化过程管控，通过科学编制碳达峰行动方案明确时间表、路线图与施工图，从而统筹好发展与减排、整体与局部、短期与长期的关系，为全市经济社会高质量发展筑牢生态基底，也为江西乃至中部地区同类城市提供可复制的绿色转型样本。</w:t>
      </w:r>
    </w:p>
    <w:p w14:paraId="73C544DB">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（二）、项目依据</w:t>
      </w:r>
    </w:p>
    <w:p w14:paraId="71EF6B89">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1.《</w:t>
      </w:r>
      <w:r>
        <w:rPr>
          <w:rFonts w:ascii="宋体" w:hAnsi="宋体" w:eastAsia="宋体" w:cs="宋体"/>
          <w:sz w:val="28"/>
          <w:szCs w:val="28"/>
          <w:lang w:eastAsia="zh-CN"/>
        </w:rPr>
        <w:t>国务院办公厅关于印发</w:t>
      </w:r>
      <w:r>
        <w:rPr>
          <w:rFonts w:hint="eastAsia" w:ascii="宋体" w:hAnsi="宋体" w:eastAsia="宋体" w:cs="宋体"/>
          <w:sz w:val="28"/>
          <w:szCs w:val="28"/>
          <w:lang w:eastAsia="zh-CN"/>
        </w:rPr>
        <w:t>&lt;</w:t>
      </w:r>
      <w:r>
        <w:rPr>
          <w:rFonts w:ascii="宋体" w:hAnsi="宋体" w:eastAsia="宋体" w:cs="宋体"/>
          <w:sz w:val="28"/>
          <w:szCs w:val="28"/>
          <w:lang w:eastAsia="zh-CN"/>
        </w:rPr>
        <w:t>加快构建碳排放双控制度体系作方案</w:t>
      </w:r>
      <w:r>
        <w:rPr>
          <w:rFonts w:hint="eastAsia" w:ascii="宋体" w:hAnsi="宋体" w:eastAsia="宋体" w:cs="宋体"/>
          <w:sz w:val="28"/>
          <w:szCs w:val="28"/>
          <w:lang w:eastAsia="zh-CN"/>
        </w:rPr>
        <w:t>&gt;</w:t>
      </w:r>
      <w:r>
        <w:rPr>
          <w:rFonts w:ascii="宋体" w:hAnsi="宋体" w:eastAsia="宋体" w:cs="宋体"/>
          <w:sz w:val="28"/>
          <w:szCs w:val="28"/>
          <w:lang w:eastAsia="zh-CN"/>
        </w:rPr>
        <w:t>的通知</w:t>
      </w:r>
      <w:r>
        <w:rPr>
          <w:rFonts w:hint="eastAsia" w:ascii="宋体" w:hAnsi="宋体" w:eastAsia="宋体" w:cs="宋体"/>
          <w:sz w:val="28"/>
          <w:szCs w:val="28"/>
          <w:lang w:eastAsia="zh-CN"/>
        </w:rPr>
        <w:t>》（国办发〔2024〕39号）；</w:t>
      </w:r>
    </w:p>
    <w:p w14:paraId="08FD48DB">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2. 《中共中央 国务院关于加快经济社会发展全面绿色转型的意见》；</w:t>
      </w:r>
    </w:p>
    <w:p w14:paraId="77E0A431">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3.《国家发展改革委 生态环境部 财政部 国家能源局关于建立碳排放预算管理制度的指导意见》（发改环资〔2024〕1462号）；</w:t>
      </w:r>
    </w:p>
    <w:p w14:paraId="0007D335">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4.《国家发展改革委办公厅关于在部分地区开展碳排放预算试编制工作的通知》（发改办环资〔2025〕565号）；</w:t>
      </w:r>
    </w:p>
    <w:p w14:paraId="473E3ED8">
      <w:pPr>
        <w:spacing w:line="580" w:lineRule="exact"/>
        <w:ind w:firstLine="560" w:firstLineChars="200"/>
        <w:rPr>
          <w:rFonts w:ascii="宋体" w:hAnsi="宋体" w:eastAsia="宋体" w:cs="宋体"/>
          <w:sz w:val="28"/>
          <w:szCs w:val="28"/>
          <w:lang w:eastAsia="zh-CN"/>
        </w:rPr>
      </w:pPr>
      <w:r>
        <w:rPr>
          <w:rFonts w:hint="eastAsia" w:ascii="宋体" w:hAnsi="宋体" w:eastAsia="宋体" w:cs="宋体"/>
          <w:sz w:val="28"/>
          <w:szCs w:val="28"/>
          <w:lang w:eastAsia="zh-CN"/>
        </w:rPr>
        <w:t>5.《江西省加快构建碳排放双控制度体系工作方案》。</w:t>
      </w:r>
    </w:p>
    <w:p w14:paraId="159067E0">
      <w:pPr>
        <w:spacing w:line="580" w:lineRule="exact"/>
        <w:ind w:firstLine="560" w:firstLineChars="200"/>
        <w:rPr>
          <w:rFonts w:ascii="宋体" w:hAnsi="宋体" w:eastAsia="宋体" w:cs="宋体"/>
          <w:sz w:val="28"/>
          <w:szCs w:val="28"/>
          <w:lang w:eastAsia="zh-CN"/>
        </w:rPr>
      </w:pPr>
      <w:r>
        <w:rPr>
          <w:rFonts w:hint="eastAsia" w:ascii="宋体" w:hAnsi="宋体" w:eastAsia="宋体" w:cs="宋体"/>
          <w:sz w:val="28"/>
          <w:szCs w:val="28"/>
          <w:lang w:eastAsia="zh-CN"/>
        </w:rPr>
        <w:t>6.《中共中央办公厅 国务院办公厅关于更高水平更高质量做好节能降碳工作的意见》</w:t>
      </w:r>
    </w:p>
    <w:p w14:paraId="76CE587F">
      <w:pPr>
        <w:spacing w:line="580" w:lineRule="exact"/>
        <w:ind w:firstLine="560" w:firstLineChars="200"/>
        <w:rPr>
          <w:rFonts w:hint="eastAsia" w:ascii="宋体" w:hAnsi="宋体" w:cs="宋体" w:eastAsiaTheme="minorEastAsia"/>
          <w:sz w:val="28"/>
          <w:szCs w:val="28"/>
          <w:lang w:eastAsia="zh-CN"/>
        </w:rPr>
      </w:pPr>
      <w:r>
        <w:rPr>
          <w:rFonts w:hint="eastAsia" w:ascii="宋体" w:hAnsi="宋体" w:eastAsia="宋体" w:cs="宋体"/>
          <w:sz w:val="28"/>
          <w:szCs w:val="28"/>
          <w:lang w:eastAsia="zh-CN"/>
        </w:rPr>
        <w:t>7.</w:t>
      </w:r>
      <w:r>
        <w:rPr>
          <w:rFonts w:hint="eastAsia" w:ascii="微软雅黑" w:hAnsi="微软雅黑" w:eastAsia="微软雅黑" w:cs="宋体"/>
          <w:b/>
          <w:bCs/>
          <w:snapToGrid/>
          <w:color w:val="333333"/>
          <w:kern w:val="36"/>
          <w:sz w:val="57"/>
          <w:szCs w:val="57"/>
          <w:lang w:eastAsia="zh-CN"/>
        </w:rPr>
        <w:t xml:space="preserve"> </w:t>
      </w:r>
      <w:r>
        <w:rPr>
          <w:rFonts w:hint="eastAsia" w:ascii="宋体" w:hAnsi="宋体" w:eastAsia="宋体" w:cs="宋体"/>
          <w:sz w:val="28"/>
          <w:szCs w:val="28"/>
          <w:lang w:eastAsia="zh-CN"/>
        </w:rPr>
        <w:t>中共中央办公厅</w:t>
      </w:r>
      <w:r>
        <w:rPr>
          <w:rFonts w:hint="eastAsia" w:ascii="宋体" w:hAnsi="宋体" w:cs="宋体"/>
          <w:sz w:val="28"/>
          <w:szCs w:val="28"/>
          <w:lang w:eastAsia="zh-CN"/>
        </w:rPr>
        <w:t xml:space="preserve"> </w:t>
      </w:r>
      <w:r>
        <w:rPr>
          <w:rFonts w:hint="eastAsia" w:ascii="宋体" w:hAnsi="宋体" w:eastAsia="宋体" w:cs="宋体"/>
          <w:sz w:val="28"/>
          <w:szCs w:val="28"/>
          <w:lang w:eastAsia="zh-CN"/>
        </w:rPr>
        <w:t>国务院办公厅印发《碳达峰碳中和综合评价考核办法》</w:t>
      </w:r>
    </w:p>
    <w:p w14:paraId="39FDACDA">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（三）、项目内容</w:t>
      </w:r>
    </w:p>
    <w:p w14:paraId="53DCFA24">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1.上饶市“十五五”时期碳排放预算管理方案编制</w:t>
      </w:r>
    </w:p>
    <w:p w14:paraId="5F7513D6">
      <w:pPr>
        <w:spacing w:line="580" w:lineRule="exact"/>
        <w:ind w:firstLine="560" w:firstLineChars="200"/>
        <w:rPr>
          <w:rFonts w:hint="eastAsia" w:ascii="宋体" w:hAnsi="宋体" w:eastAsia="宋体" w:cs="宋体"/>
          <w:sz w:val="28"/>
          <w:szCs w:val="28"/>
          <w:lang w:eastAsia="zh-CN"/>
        </w:rPr>
      </w:pPr>
      <w:r>
        <w:rPr>
          <w:rFonts w:ascii="宋体" w:hAnsi="宋体" w:eastAsia="宋体" w:cs="宋体"/>
          <w:sz w:val="28"/>
          <w:szCs w:val="28"/>
          <w:lang w:eastAsia="zh-CN"/>
        </w:rPr>
        <w:t>根据《碳排放预算编制指南（试行）》要求，按照基础碳排放、重点碳排放、新增碳排放3个预算管理碳排放类别的定义，深入分析3大类别的碳排放变化趋势及影响碳排放变化的关键因素的变化趋势</w:t>
      </w:r>
      <w:r>
        <w:rPr>
          <w:rFonts w:hint="eastAsia" w:ascii="宋体" w:hAnsi="宋体" w:eastAsia="宋体" w:cs="宋体"/>
          <w:sz w:val="28"/>
          <w:szCs w:val="28"/>
          <w:lang w:eastAsia="zh-CN"/>
        </w:rPr>
        <w:t>，提出上饶市“十五五”时期碳排放预算管理的总目标、分项目标、年度目标，明确各部门各单位职责分工，制定重点工作举措和配套制度，编制形成《上饶市“十五五”时期碳排放预算管理方案》。</w:t>
      </w:r>
    </w:p>
    <w:p w14:paraId="2986F400">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2.上饶市“十五五”时期碳达峰行动方案编制</w:t>
      </w:r>
    </w:p>
    <w:p w14:paraId="394B761F">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结合上饶市“十五五”时期碳排放分析展望及碳预算工作数据分析结果，综合研判上饶市“十五五”时期碳排放趋势与达峰潜力。立足国家及省级碳达峰要求，衔接地方发展规划，设定既符合实际又具引领性的碳达峰目标，并细化工业低碳转型、能源结构优化、绿色基建提升、技术创新赋能、生态碳汇增强等关键领域的量化指标。聚焦重点行业与高耗能环节，研究制定差异化达峰路径，同步谋划一批标志性工程与政策抓手，编制形成目标清晰、路径可行、责任明确、保障有力的《上饶市“十五五”时期碳达峰行动方案》。</w:t>
      </w:r>
    </w:p>
    <w:p w14:paraId="1EFF601A">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3.上饶市“双碳”支撑工作</w:t>
      </w:r>
    </w:p>
    <w:p w14:paraId="46167AF2">
      <w:pPr>
        <w:spacing w:line="580" w:lineRule="exact"/>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委派人员驻点上饶市发改委，服务期限为2年，在项目开展期间协助完成项目资料收集、部门走访、企业调研等相关工作；协助开展面向部门和区县发改的“双碳”政策专题培训；协助完成省发改委交办的“双碳”相关工作。协助上饶市发改委出具《上饶市碳达峰碳中和综合评价考核办法》。</w:t>
      </w:r>
    </w:p>
    <w:p w14:paraId="093A1DC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2650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2026-05-21T08:03:35Z</dcterms:created>
  <dc:creator>ylq</dc:creator>
  <cp:lastModifiedBy>ylq</cp:lastModifiedBy>
  <dcterms:modified xsi:type="dcterms:W3CDTF">2026-05-21T08:03:52Z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eyJoZGlkIjoiM2M2OTRkYWY2M2VhNzY2NDFkODI2ZWIxMjJhNDJkYmEiLCJ1c2VySWQiOiIyNTkxNTkxNjEifQ==</vt:lpwstr>
  </property>
  <property fmtid="{D5CDD505-2E9C-101B-9397-08002B2CF9AE}" pid="4" name="ICV">
    <vt:lpwstr>EA6EEFCE5C014E5DAA674EBEBE45DBCE_12</vt:lpwstr>
  </property>
</Properties>
</file>