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D1D5024">
      <w:pPr>
        <w:pStyle w:val="2"/>
        <w:spacing w:line="560" w:lineRule="exact"/>
        <w:jc w:val="center"/>
        <w:rPr>
          <w:rFonts w:hint="eastAsia" w:ascii="仿宋" w:hAnsi="仿宋" w:eastAsia="仿宋" w:cs="仿宋"/>
          <w:sz w:val="28"/>
          <w:szCs w:val="28"/>
        </w:rPr>
      </w:pPr>
      <w:bookmarkStart w:id="0" w:name="_Toc28063"/>
      <w:r>
        <w:rPr>
          <w:rFonts w:hint="eastAsia" w:ascii="仿宋" w:hAnsi="仿宋" w:eastAsia="仿宋" w:cs="仿宋"/>
          <w:kern w:val="0"/>
          <w:sz w:val="28"/>
          <w:szCs w:val="28"/>
        </w:rPr>
        <w:t>三、采购项目需求</w:t>
      </w:r>
      <w:bookmarkEnd w:id="0"/>
    </w:p>
    <w:p w14:paraId="2CBF53F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left="0" w:right="0" w:firstLine="556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pacing w:val="-1"/>
          <w:sz w:val="28"/>
          <w:szCs w:val="28"/>
        </w:rPr>
        <w:t>（一）响应供应商须提供符合质量标准的服务。</w:t>
      </w:r>
    </w:p>
    <w:p w14:paraId="423AB6D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left="0" w:right="0" w:firstLine="556" w:firstLineChars="200"/>
        <w:rPr>
          <w:rFonts w:hint="eastAsia" w:ascii="仿宋" w:hAnsi="仿宋" w:eastAsia="仿宋" w:cs="仿宋"/>
          <w:spacing w:val="-1"/>
          <w:sz w:val="28"/>
          <w:szCs w:val="28"/>
        </w:rPr>
      </w:pPr>
      <w:r>
        <w:rPr>
          <w:rFonts w:hint="eastAsia" w:ascii="仿宋" w:hAnsi="仿宋" w:eastAsia="仿宋" w:cs="仿宋"/>
          <w:spacing w:val="-1"/>
          <w:sz w:val="28"/>
          <w:szCs w:val="28"/>
        </w:rPr>
        <w:t>（二）所有涉及本项目相关服务的知识产权问题，由各响应供应商自行负责</w:t>
      </w:r>
      <w:r>
        <w:rPr>
          <w:rFonts w:hint="eastAsia" w:ascii="仿宋" w:hAnsi="仿宋" w:eastAsia="仿宋" w:cs="仿宋"/>
          <w:spacing w:val="-1"/>
          <w:sz w:val="28"/>
          <w:szCs w:val="28"/>
          <w:lang w:eastAsia="zh-CN"/>
        </w:rPr>
        <w:t>。</w:t>
      </w:r>
      <w:r>
        <w:rPr>
          <w:rFonts w:hint="eastAsia" w:ascii="仿宋" w:hAnsi="仿宋" w:eastAsia="仿宋" w:cs="仿宋"/>
          <w:spacing w:val="-1"/>
          <w:sz w:val="28"/>
          <w:szCs w:val="28"/>
        </w:rPr>
        <w:t>本竞争性磋商文件提出的是最低限度的要求，各响应供应商的方案应达到或优于本竞争性磋商文件的要求，且符合国家有关标准和规范要求。</w:t>
      </w:r>
    </w:p>
    <w:p w14:paraId="4417368E">
      <w:pPr>
        <w:keepNext w:val="0"/>
        <w:keepLines w:val="0"/>
        <w:pageBreakBefore w:val="0"/>
        <w:widowControl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180" w:line="500" w:lineRule="exact"/>
        <w:ind w:firstLine="578" w:firstLineChars="200"/>
        <w:textAlignment w:val="baseline"/>
        <w:rPr>
          <w:rFonts w:hint="eastAsia" w:ascii="仿宋" w:hAnsi="仿宋" w:eastAsia="仿宋" w:cs="仿宋"/>
          <w:b/>
          <w:bCs/>
          <w:spacing w:val="4"/>
          <w:sz w:val="28"/>
          <w:szCs w:val="28"/>
          <w:highlight w:val="none"/>
        </w:rPr>
      </w:pPr>
      <w:r>
        <w:rPr>
          <w:rFonts w:hint="eastAsia" w:ascii="仿宋" w:hAnsi="仿宋" w:eastAsia="仿宋" w:cs="仿宋"/>
          <w:b/>
          <w:bCs/>
          <w:spacing w:val="4"/>
          <w:sz w:val="28"/>
          <w:szCs w:val="28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b/>
          <w:bCs/>
          <w:spacing w:val="4"/>
          <w:sz w:val="28"/>
          <w:szCs w:val="28"/>
          <w:highlight w:val="none"/>
          <w:lang w:val="en-US" w:eastAsia="zh-CN"/>
        </w:rPr>
        <w:t>三</w:t>
      </w:r>
      <w:r>
        <w:rPr>
          <w:rFonts w:hint="eastAsia" w:ascii="仿宋" w:hAnsi="仿宋" w:eastAsia="仿宋" w:cs="仿宋"/>
          <w:b/>
          <w:bCs/>
          <w:spacing w:val="4"/>
          <w:sz w:val="28"/>
          <w:szCs w:val="28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b/>
          <w:bCs/>
          <w:spacing w:val="4"/>
          <w:sz w:val="28"/>
          <w:szCs w:val="28"/>
          <w:highlight w:val="none"/>
        </w:rPr>
        <w:t>主要服务内容和要求</w:t>
      </w:r>
    </w:p>
    <w:p w14:paraId="3AE9A3A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281" w:firstLineChars="10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第一条 物业概况及类型、服务时长</w:t>
      </w:r>
    </w:p>
    <w:p w14:paraId="18FAFBC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 xml:space="preserve">1、座落位置：寻乌县新东大道93号，为1-7层办公楼，建筑面积为：14950㎡，含8间领导办公室，5间会议室，12个公共卫生间。占地面积为10792㎡。    </w:t>
      </w:r>
    </w:p>
    <w:p w14:paraId="23445656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2、物业服务时长为1周年（至合同签订起算）</w:t>
      </w:r>
    </w:p>
    <w:p w14:paraId="6101898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jc w:val="lef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3、预算金额：350000元</w:t>
      </w:r>
    </w:p>
    <w:p w14:paraId="514D8A8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第二条 委托管理事项</w:t>
      </w:r>
    </w:p>
    <w:p w14:paraId="3028337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1.公共环境、公共场所的保洁服务。</w:t>
      </w:r>
    </w:p>
    <w:p w14:paraId="5298057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2.公共秩序维护、安全防范和车辆停放管理。</w:t>
      </w:r>
    </w:p>
    <w:p w14:paraId="2CA9892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3.大楼水电工程管理。</w:t>
      </w:r>
    </w:p>
    <w:p w14:paraId="1357411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4.机关大楼外围绿化养护工程。</w:t>
      </w:r>
    </w:p>
    <w:p w14:paraId="1E7C966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5.机关大楼内部公共区域绿植养护工程。</w:t>
      </w:r>
    </w:p>
    <w:p w14:paraId="1553A1C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6.其它采购人需要委托的工作。</w:t>
      </w:r>
    </w:p>
    <w:p w14:paraId="36CD145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7.响应供应商委派固定管理人负责人民法院日常服务等工作。</w:t>
      </w:r>
    </w:p>
    <w:p w14:paraId="7D2FAAFA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51B9473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 xml:space="preserve">第三条 </w:t>
      </w:r>
      <w:r>
        <w:rPr>
          <w:rFonts w:hint="eastAsia" w:ascii="仿宋" w:hAnsi="仿宋" w:eastAsia="仿宋" w:cs="仿宋"/>
          <w:b/>
          <w:bCs/>
          <w:snapToGrid w:val="0"/>
          <w:color w:val="000000"/>
          <w:kern w:val="0"/>
          <w:sz w:val="28"/>
          <w:szCs w:val="28"/>
          <w:highlight w:val="none"/>
          <w:lang w:val="en-US" w:eastAsia="zh-CN" w:bidi="ar-SA"/>
        </w:rPr>
        <w:t>人员配置要求</w:t>
      </w:r>
    </w:p>
    <w:tbl>
      <w:tblPr>
        <w:tblStyle w:val="7"/>
        <w:tblW w:w="942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27"/>
        <w:gridCol w:w="2165"/>
        <w:gridCol w:w="1440"/>
        <w:gridCol w:w="4488"/>
      </w:tblGrid>
      <w:tr w14:paraId="31FC62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2" w:hRule="atLeast"/>
          <w:jc w:val="center"/>
        </w:trPr>
        <w:tc>
          <w:tcPr>
            <w:tcW w:w="1327" w:type="dxa"/>
            <w:noWrap w:val="0"/>
            <w:vAlign w:val="center"/>
          </w:tcPr>
          <w:p w14:paraId="5C6CCD5A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序号</w:t>
            </w:r>
          </w:p>
        </w:tc>
        <w:tc>
          <w:tcPr>
            <w:tcW w:w="2165" w:type="dxa"/>
            <w:noWrap w:val="0"/>
            <w:vAlign w:val="center"/>
          </w:tcPr>
          <w:p w14:paraId="7AC381EA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岗位</w:t>
            </w:r>
          </w:p>
        </w:tc>
        <w:tc>
          <w:tcPr>
            <w:tcW w:w="1440" w:type="dxa"/>
            <w:noWrap w:val="0"/>
            <w:vAlign w:val="center"/>
          </w:tcPr>
          <w:p w14:paraId="5D7F0B33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数量</w:t>
            </w:r>
          </w:p>
        </w:tc>
        <w:tc>
          <w:tcPr>
            <w:tcW w:w="4488" w:type="dxa"/>
            <w:noWrap w:val="0"/>
            <w:vAlign w:val="center"/>
          </w:tcPr>
          <w:p w14:paraId="35792557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  <w:t>岗位职责</w:t>
            </w:r>
          </w:p>
        </w:tc>
      </w:tr>
      <w:tr w14:paraId="67FED0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  <w:jc w:val="center"/>
        </w:trPr>
        <w:tc>
          <w:tcPr>
            <w:tcW w:w="1327" w:type="dxa"/>
            <w:noWrap w:val="0"/>
            <w:vAlign w:val="center"/>
          </w:tcPr>
          <w:p w14:paraId="1B43AB47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2165" w:type="dxa"/>
            <w:noWrap w:val="0"/>
            <w:vAlign w:val="center"/>
          </w:tcPr>
          <w:p w14:paraId="3DAFD6C2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项目负责人</w:t>
            </w:r>
          </w:p>
        </w:tc>
        <w:tc>
          <w:tcPr>
            <w:tcW w:w="1440" w:type="dxa"/>
            <w:noWrap w:val="0"/>
            <w:vAlign w:val="center"/>
          </w:tcPr>
          <w:p w14:paraId="279B4C08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4488" w:type="dxa"/>
            <w:noWrap w:val="0"/>
            <w:vAlign w:val="center"/>
          </w:tcPr>
          <w:p w14:paraId="372BA261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  <w:t>负责项目日常服务等工作</w:t>
            </w:r>
          </w:p>
        </w:tc>
      </w:tr>
      <w:tr w14:paraId="01C1BE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1327" w:type="dxa"/>
            <w:noWrap w:val="0"/>
            <w:vAlign w:val="center"/>
          </w:tcPr>
          <w:p w14:paraId="29C20312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2</w:t>
            </w:r>
          </w:p>
        </w:tc>
        <w:tc>
          <w:tcPr>
            <w:tcW w:w="2165" w:type="dxa"/>
            <w:noWrap w:val="0"/>
            <w:vAlign w:val="center"/>
          </w:tcPr>
          <w:p w14:paraId="3EE8CCC0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保洁员</w:t>
            </w:r>
          </w:p>
        </w:tc>
        <w:tc>
          <w:tcPr>
            <w:tcW w:w="1440" w:type="dxa"/>
            <w:noWrap w:val="0"/>
            <w:vAlign w:val="center"/>
          </w:tcPr>
          <w:p w14:paraId="3A15973C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4488" w:type="dxa"/>
            <w:noWrap w:val="0"/>
            <w:vAlign w:val="center"/>
          </w:tcPr>
          <w:p w14:paraId="4A06F88E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  <w:t>公共环境、公共场所的保洁服务</w:t>
            </w:r>
          </w:p>
        </w:tc>
      </w:tr>
      <w:tr w14:paraId="362287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1327" w:type="dxa"/>
            <w:noWrap w:val="0"/>
            <w:vAlign w:val="center"/>
          </w:tcPr>
          <w:p w14:paraId="708EEA21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3</w:t>
            </w:r>
          </w:p>
        </w:tc>
        <w:tc>
          <w:tcPr>
            <w:tcW w:w="2165" w:type="dxa"/>
            <w:noWrap w:val="0"/>
            <w:vAlign w:val="center"/>
          </w:tcPr>
          <w:p w14:paraId="58A100D7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保安人员</w:t>
            </w:r>
          </w:p>
        </w:tc>
        <w:tc>
          <w:tcPr>
            <w:tcW w:w="1440" w:type="dxa"/>
            <w:noWrap w:val="0"/>
            <w:vAlign w:val="center"/>
          </w:tcPr>
          <w:p w14:paraId="348A8CDF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4488" w:type="dxa"/>
            <w:noWrap w:val="0"/>
            <w:vAlign w:val="center"/>
          </w:tcPr>
          <w:p w14:paraId="64D1AFF3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  <w:t>公共秩序维护、安全防范和车辆停放管理</w:t>
            </w:r>
          </w:p>
        </w:tc>
      </w:tr>
      <w:tr w14:paraId="4EE9CF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  <w:jc w:val="center"/>
        </w:trPr>
        <w:tc>
          <w:tcPr>
            <w:tcW w:w="1327" w:type="dxa"/>
            <w:noWrap w:val="0"/>
            <w:vAlign w:val="center"/>
          </w:tcPr>
          <w:p w14:paraId="1D6EE4B4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4</w:t>
            </w:r>
          </w:p>
        </w:tc>
        <w:tc>
          <w:tcPr>
            <w:tcW w:w="2165" w:type="dxa"/>
            <w:noWrap w:val="0"/>
            <w:vAlign w:val="center"/>
          </w:tcPr>
          <w:p w14:paraId="4046C513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水电工</w:t>
            </w:r>
          </w:p>
        </w:tc>
        <w:tc>
          <w:tcPr>
            <w:tcW w:w="1440" w:type="dxa"/>
            <w:noWrap w:val="0"/>
            <w:vAlign w:val="center"/>
          </w:tcPr>
          <w:p w14:paraId="7C4AF016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1</w:t>
            </w:r>
          </w:p>
        </w:tc>
        <w:tc>
          <w:tcPr>
            <w:tcW w:w="4488" w:type="dxa"/>
            <w:noWrap w:val="0"/>
            <w:vAlign w:val="center"/>
          </w:tcPr>
          <w:p w14:paraId="23EBA588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eastAsia="zh-CN" w:bidi="ar"/>
              </w:rPr>
              <w:t>大楼水电工程管理</w:t>
            </w:r>
          </w:p>
        </w:tc>
      </w:tr>
      <w:tr w14:paraId="4132D0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4" w:hRule="atLeast"/>
          <w:jc w:val="center"/>
        </w:trPr>
        <w:tc>
          <w:tcPr>
            <w:tcW w:w="3492" w:type="dxa"/>
            <w:gridSpan w:val="2"/>
            <w:noWrap w:val="0"/>
            <w:vAlign w:val="center"/>
          </w:tcPr>
          <w:p w14:paraId="2EFA096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  <w:t>合计</w:t>
            </w:r>
          </w:p>
        </w:tc>
        <w:tc>
          <w:tcPr>
            <w:tcW w:w="1440" w:type="dxa"/>
            <w:noWrap w:val="0"/>
            <w:vAlign w:val="center"/>
          </w:tcPr>
          <w:p w14:paraId="09D0680C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val="en-US" w:eastAsia="zh-CN" w:bidi="ar"/>
              </w:rPr>
              <w:t>10</w:t>
            </w:r>
          </w:p>
        </w:tc>
        <w:tc>
          <w:tcPr>
            <w:tcW w:w="4488" w:type="dxa"/>
            <w:noWrap w:val="0"/>
            <w:vAlign w:val="center"/>
          </w:tcPr>
          <w:p w14:paraId="42397939">
            <w:pPr>
              <w:pStyle w:val="3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color w:val="auto"/>
                <w:kern w:val="0"/>
                <w:sz w:val="28"/>
                <w:szCs w:val="28"/>
                <w:lang w:bidi="ar"/>
              </w:rPr>
            </w:pPr>
          </w:p>
        </w:tc>
      </w:tr>
    </w:tbl>
    <w:p w14:paraId="1A3361A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  <w:lang w:val="en-US" w:eastAsia="zh-CN"/>
        </w:rPr>
      </w:pPr>
    </w:p>
    <w:p w14:paraId="3E312C3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第四条 服务内容与服务标准</w:t>
      </w:r>
    </w:p>
    <w:p w14:paraId="305A000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必须有完善的管理标准、服务标准、考评标准和各项管理措施</w:t>
      </w:r>
    </w:p>
    <w:p w14:paraId="286C6CF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 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提供人民法院公共环境、公共场所的保洁服务</w:t>
      </w:r>
    </w:p>
    <w:p w14:paraId="1B76938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1.垃圾清运</w:t>
      </w:r>
    </w:p>
    <w:p w14:paraId="0D6C247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垃圾日产日清；</w:t>
      </w:r>
    </w:p>
    <w:p w14:paraId="3D25C33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监督建筑垃圾定点堆放 ，防止流质性垃圾溢流污染路面；</w:t>
      </w:r>
    </w:p>
    <w:p w14:paraId="65974906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运送垃圾避开人流高峰，不可长时间占用电梯运送垃圾。</w:t>
      </w:r>
    </w:p>
    <w:p w14:paraId="6CB838B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2.楼梯、门厅、公共过道</w:t>
      </w:r>
    </w:p>
    <w:p w14:paraId="01113CB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楼梯扶手、玻璃无灰尘、洁净；</w:t>
      </w:r>
    </w:p>
    <w:p w14:paraId="3B5DD9B6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楼面台阶无灰尘，地面光亮；</w:t>
      </w:r>
    </w:p>
    <w:p w14:paraId="26647707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底楼夹角无灰尘；</w:t>
      </w:r>
    </w:p>
    <w:p w14:paraId="098570E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过道、门厅无灰尘、洁净，地面光亮。</w:t>
      </w:r>
    </w:p>
    <w:p w14:paraId="27A5866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3.电梯轿厢、电梯</w:t>
      </w:r>
    </w:p>
    <w:p w14:paraId="72A4843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轿厢内、按钮、扶手、电梯门无污染、无汗迹、无手印；</w:t>
      </w:r>
    </w:p>
    <w:p w14:paraId="7226CB87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每隔一周用不锈钢易抹液保养一次，每天数次用干净白洁巾和毛巾保洁。</w:t>
      </w:r>
    </w:p>
    <w:p w14:paraId="283D1DF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4.室外道路与硬化地面</w:t>
      </w:r>
    </w:p>
    <w:p w14:paraId="1AC6D1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室外道路与硬化路面跟踪保洁，及时清除道路与地面上的树叶、果皮、纸屑及白色污染物等垃圾，确保路面无杂物、无烟头、无果皮纸屑、无痰迹；发现路面有污渍应及时用清洁剂清洗，对地面上的粘附物应用铲刀清除。</w:t>
      </w:r>
    </w:p>
    <w:p w14:paraId="3D72F09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5.室内过道</w:t>
      </w:r>
    </w:p>
    <w:p w14:paraId="5938762A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地面光亮、无积灰；</w:t>
      </w:r>
    </w:p>
    <w:p w14:paraId="2A6AA60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过道两边玻璃干净、无灰尘、无手迹；</w:t>
      </w:r>
    </w:p>
    <w:p w14:paraId="7E07EBA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装饰物干净无灰尘 ，清洁后不损伤被清洁物；</w:t>
      </w:r>
    </w:p>
    <w:p w14:paraId="0C1B8E5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天花板无污渍、蜘蛛网。</w:t>
      </w:r>
    </w:p>
    <w:p w14:paraId="3F30CBC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6.大堂、门厅</w:t>
      </w:r>
    </w:p>
    <w:p w14:paraId="5E9B079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每天早上开门前，用地拖把门厅门 口拖洗干净；</w:t>
      </w:r>
    </w:p>
    <w:p w14:paraId="03D6F543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擦拭门厅内摆设、灯座、指示牌、果皮桶、玻璃；</w:t>
      </w:r>
    </w:p>
    <w:p w14:paraId="196E7B4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下雨天门 口要放防滑告示牌，并增加拖擦次数。</w:t>
      </w:r>
    </w:p>
    <w:p w14:paraId="7DBE77A7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7 .停车库(含地下车库)</w:t>
      </w:r>
    </w:p>
    <w:p w14:paraId="2F3C54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每日清扫车库内的纸屑、垃圾及杂物，及时擦净油迹、并定期擦洗门窗、消防栓、指示牌、指示灯及车位档等设施，保持车库内清洁；</w:t>
      </w:r>
    </w:p>
    <w:p w14:paraId="6771D5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每半年做一次地下车库大扫除 (含停车库挡雨棚)。</w:t>
      </w:r>
    </w:p>
    <w:p w14:paraId="397CD73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8.化粪池、地下管道(需要专业人士，费用由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承担)</w:t>
      </w:r>
    </w:p>
    <w:p w14:paraId="379C556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每半年视情清理一次化粪池，确保无溢出现象，清理后及时清理现场；</w:t>
      </w:r>
    </w:p>
    <w:p w14:paraId="26C0D1C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每半月清理一次排水明沟，以保持排水通畅；</w:t>
      </w:r>
    </w:p>
    <w:p w14:paraId="26EF916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地下管道每年清理二次，清理后达到排水通畅，井盖上无污渍、污物；</w:t>
      </w:r>
    </w:p>
    <w:p w14:paraId="3DD64FE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每半年清理一次屋面及屋顶雨水口；每年不少于两次，并保证畅通。</w:t>
      </w:r>
    </w:p>
    <w:p w14:paraId="4B29923E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9.大楼地面、外墙面的养护</w:t>
      </w:r>
    </w:p>
    <w:p w14:paraId="18B3F2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定期对室内过道、大堂、接待室、会议室地面进行护理保养；</w:t>
      </w:r>
    </w:p>
    <w:p w14:paraId="052166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外墙清洗护理：做好大楼内墙面及幕墙玻璃的定时清洗，涉及到外墙高空作业需请有相关资质人员清洗，相关费用由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承担。</w:t>
      </w:r>
    </w:p>
    <w:p w14:paraId="26065B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10.办公室、会议室清理，定期对本院指定办公室、会议室开展清洁服务，清理杂物，擦拭污渍，规整物品。</w:t>
      </w:r>
    </w:p>
    <w:p w14:paraId="12F418B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提供人民法院公共秩序维护服务</w:t>
      </w:r>
    </w:p>
    <w:p w14:paraId="0AA0B96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1、秩序维护服务</w:t>
      </w:r>
    </w:p>
    <w:p w14:paraId="24B8B4D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(1)公共秩序</w:t>
      </w:r>
    </w:p>
    <w:p w14:paraId="5EA8DEC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维护大楼工作秩序，大楼治安秩序良好；</w:t>
      </w:r>
    </w:p>
    <w:p w14:paraId="62029DD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安全和事故隐患、突发事件处置迅速有效；</w:t>
      </w:r>
    </w:p>
    <w:p w14:paraId="27E1AC0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物品放行、人员车辆出入管理规范；</w:t>
      </w:r>
    </w:p>
    <w:p w14:paraId="365C165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重大活动安全保卫有序；</w:t>
      </w:r>
    </w:p>
    <w:p w14:paraId="3B1C9EE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发生意外情况及时排除意外；</w:t>
      </w:r>
    </w:p>
    <w:p w14:paraId="45C7E327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安检、查验规范到位；</w:t>
      </w:r>
    </w:p>
    <w:p w14:paraId="4DD01DE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严格控制行为不端、衣冠不整、产品推销、废品回收人员进入机关大楼；</w:t>
      </w:r>
    </w:p>
    <w:p w14:paraId="3FAF017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保持公共物品的整齐摆放；</w:t>
      </w:r>
    </w:p>
    <w:p w14:paraId="3DEC4E5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控制办公区公共场所噪音，无闲杂人员随意流动；</w:t>
      </w:r>
    </w:p>
    <w:p w14:paraId="7362313E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摩托车、 自行车、电动车、板车及其他影响环境安全的物品禁止进入大楼。</w:t>
      </w:r>
    </w:p>
    <w:p w14:paraId="0F7DB0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(2)安全防范</w:t>
      </w:r>
    </w:p>
    <w:p w14:paraId="63523C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门卫值守：24小时门卫值守 ，做好人员、车辆出入秩序的管理工作；</w:t>
      </w:r>
    </w:p>
    <w:p w14:paraId="19579B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人员出入：负责出入大楼人员的身份确认、登记、引导工作；</w:t>
      </w:r>
    </w:p>
    <w:p w14:paraId="609E51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物品放行：搬出大楼的贵重物品进行查验登记；</w:t>
      </w:r>
    </w:p>
    <w:p w14:paraId="47AF73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大门开关：定时开关大楼、大门和消防通道；</w:t>
      </w:r>
    </w:p>
    <w:p w14:paraId="339426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巡查巡逻：定时对大楼进行巡逻巡查；</w:t>
      </w:r>
    </w:p>
    <w:p w14:paraId="72CEE7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安全警示：公共场所、各设备房、顶层天台等危险隐患部位，设置安全警示标志；</w:t>
      </w:r>
    </w:p>
    <w:p w14:paraId="1A4E9F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公共事务与民事调解：协助调解大楼内的公共安全事务和民事纠纷工作；</w:t>
      </w:r>
    </w:p>
    <w:p w14:paraId="426EF7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工作秩序：维护大楼的正常工作秩序；</w:t>
      </w:r>
    </w:p>
    <w:p w14:paraId="0FB731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预警预案：有突发事件应急处理预案。</w:t>
      </w:r>
    </w:p>
    <w:p w14:paraId="77E3C7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(3)消防安全管理(负责协助工作)</w:t>
      </w:r>
    </w:p>
    <w:p w14:paraId="1AA5A6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有切实可行的消防安全管理制度、培训制度、检查制度和措施以及应急预案，建立消防责任制；</w:t>
      </w:r>
    </w:p>
    <w:p w14:paraId="12BE81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消防设施有明显标识，定期对消防设施进行巡视、检查和维修；</w:t>
      </w:r>
    </w:p>
    <w:p w14:paraId="055FAC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定期进行消防训练 ，保证有关人员掌握消防基本技能；</w:t>
      </w:r>
    </w:p>
    <w:p w14:paraId="673C44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贯彻执行“预防为主、防消结合”的方针，做好人民法院的日常消防工作。</w:t>
      </w:r>
    </w:p>
    <w:p w14:paraId="5391B5A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(4)车辆停放管理：</w:t>
      </w:r>
    </w:p>
    <w:p w14:paraId="4FF59F1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维护辖区内的交通秩序；</w:t>
      </w:r>
    </w:p>
    <w:p w14:paraId="6A2BA0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车辆出入进行询问、查看、登记、引导；</w:t>
      </w:r>
    </w:p>
    <w:p w14:paraId="28976E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内部车辆实行凭证出入登记管理制度；</w:t>
      </w:r>
    </w:p>
    <w:p w14:paraId="263670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外来车辆按指定地点依次、分类停放；</w:t>
      </w:r>
    </w:p>
    <w:p w14:paraId="2C7D494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严格控制社会车辆、出租车、摩的和载有易燃、易爆、剧毒物品车辆进入；</w:t>
      </w:r>
    </w:p>
    <w:p w14:paraId="3B5BE3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定时对停车场进行巡逻巡查；</w:t>
      </w:r>
    </w:p>
    <w:p w14:paraId="1E7261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非机动车辆停放管理有序；</w:t>
      </w:r>
    </w:p>
    <w:p w14:paraId="1A7D75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道路畅通，无乱停乱放车辆；</w:t>
      </w:r>
    </w:p>
    <w:p w14:paraId="292255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left="480" w:firstLine="0" w:firstLineChars="0"/>
        <w:textAlignment w:val="auto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禁止车辆占用消防通道。</w:t>
      </w:r>
    </w:p>
    <w:p w14:paraId="23B0DC4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2、公共部位的养护和管理(此项服务是有偿服务，费用由甲乙双方协商，以书面形式确定)</w:t>
      </w:r>
    </w:p>
    <w:p w14:paraId="27AC17ED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(1)标识标牌设置规范、清楚明显；</w:t>
      </w:r>
    </w:p>
    <w:p w14:paraId="4129B741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(2)房屋外观保持完好、整洁；</w:t>
      </w:r>
    </w:p>
    <w:p w14:paraId="471B882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(3)室外场地完好平整；</w:t>
      </w:r>
    </w:p>
    <w:p w14:paraId="4DF1604A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(4)房屋外立面整洁干净；</w:t>
      </w:r>
    </w:p>
    <w:p w14:paraId="0F748DA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(5)排污管路完好畅通；</w:t>
      </w:r>
    </w:p>
    <w:p w14:paraId="08B4032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(6)室内地面整洁无污渍、破损；</w:t>
      </w:r>
    </w:p>
    <w:p w14:paraId="45C82FE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(7)室外道路平整通畅；</w:t>
      </w:r>
    </w:p>
    <w:p w14:paraId="4E3BE0D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(8)停车场地无积水；</w:t>
      </w:r>
    </w:p>
    <w:p w14:paraId="0CAFBEF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ind w:firstLine="420" w:firstLineChars="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(9)设备用房有明显标志和防范措施。</w:t>
      </w:r>
    </w:p>
    <w:p w14:paraId="7206D45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b/>
          <w:bCs/>
          <w:sz w:val="28"/>
          <w:szCs w:val="28"/>
          <w:highlight w:val="yellow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highlight w:val="yellow"/>
          <w:lang w:val="en-US" w:eastAsia="zh-CN"/>
        </w:rPr>
        <w:t>注：所有上岗的保安人员必须持有公安部门颁发的保安员证。</w:t>
      </w:r>
    </w:p>
    <w:p w14:paraId="5A6483E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 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提供人民法院内水电工程维修维护。</w:t>
      </w:r>
    </w:p>
    <w:p w14:paraId="6BC6BDE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1、大楼内的水电线路维修维护(材料费由 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提供)</w:t>
      </w:r>
    </w:p>
    <w:p w14:paraId="61E2F21E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2、水电机房的维护</w:t>
      </w:r>
    </w:p>
    <w:p w14:paraId="774F448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 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提供机关大楼外围绿化养护工程</w:t>
      </w:r>
    </w:p>
    <w:p w14:paraId="571589A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1.做好全面修剪、施肥、除杂草、松土、浇水和全面病虫防治，保持花木茂盛。</w:t>
      </w:r>
    </w:p>
    <w:p w14:paraId="46277BD0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2、在养护过程中需用的化肥及农药，费用由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支付此费用。</w:t>
      </w:r>
    </w:p>
    <w:p w14:paraId="083285F7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3.做到工完场清，安全文明作业。</w:t>
      </w:r>
    </w:p>
    <w:p w14:paraId="06F6994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4.半年内修剪3次，打药3次，施肥3次，除草6次，每次完成作业后需由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完成验收，提交相关台账。</w:t>
      </w:r>
    </w:p>
    <w:p w14:paraId="2EC986C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5.养护区域的绿化更新、改造、非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责任补植花卉树木等应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要求新增项目，费用由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按实际支付；如因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管理不当造成花木枯萎，应由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负责补植花木，费用由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承担。</w:t>
      </w:r>
    </w:p>
    <w:p w14:paraId="463F8494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6.如遇不可抗拒自然灾害(如强台风、冰雹等)造成重大损失由甲乙双方商议解决补救办法，费用协商承担。</w:t>
      </w:r>
    </w:p>
    <w:p w14:paraId="5BE9505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</w:rPr>
        <w:t>五、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提供机关大楼公共区域绿植摆放和养护工程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。</w:t>
      </w:r>
    </w:p>
    <w:p w14:paraId="0D02FC0A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1.植物花卉及配套辅材所有权归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所有。</w:t>
      </w:r>
    </w:p>
    <w:p w14:paraId="1E767CC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2.在合同期间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负责植物花卉的养护，派专人进行浇水、施肥、修剪、病虫害防治以及换盆、土、清洁、护理等工作。</w:t>
      </w:r>
    </w:p>
    <w:p w14:paraId="60A6D399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3.办公楼内绿植摆放在总盆数不变的前提下，适时(①、按照客户提出的合理要求，及时更换花木；②、在养护过程中，对需要更换的花木及时更换；③、室内盆栽除新更换的外，每半年更换一次)对出租植物花卉进行调配，使绿化美化效果达到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的要求保证观叶植物常绿茂盛，始终保持较好的观赏状态和整体绿化美化效果。</w:t>
      </w:r>
    </w:p>
    <w:p w14:paraId="079D24FF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4.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不断推出新产品、新工艺及新辅材以提高植物花卉的绿化美化效果，并免费优先为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服务。</w:t>
      </w:r>
    </w:p>
    <w:p w14:paraId="1CA32A58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5.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尽力为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的其它需求服务项目提供服务，有关事项双方另行商洽。</w:t>
      </w:r>
    </w:p>
    <w:p w14:paraId="33ECEDE2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sz w:val="28"/>
          <w:szCs w:val="28"/>
          <w:lang w:eastAsia="zh-CN"/>
        </w:rPr>
        <w:t>六、其他事项</w:t>
      </w:r>
    </w:p>
    <w:p w14:paraId="3540CE2C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  <w:t>1、</w:t>
      </w: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  <w:t xml:space="preserve">在每季度末对物业服务进行验收，验收合格后对该季度费用进行结算，每季度一结算 </w:t>
      </w: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  <w:lang w:eastAsia="zh-CN"/>
        </w:rPr>
        <w:t>。</w:t>
      </w:r>
    </w:p>
    <w:p w14:paraId="141628CB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  <w:t>2、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必须接受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服务质量、服务态度、安全等监督，若有违反相关的规定和标准，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有权提出书面整改意见，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如逾期不改或整改不到位，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将开具处罚通知书给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，罚款将从物业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服务</w:t>
      </w:r>
      <w:r>
        <w:rPr>
          <w:rFonts w:hint="eastAsia" w:ascii="仿宋" w:hAnsi="仿宋" w:eastAsia="仿宋" w:cs="仿宋"/>
          <w:sz w:val="28"/>
          <w:szCs w:val="28"/>
        </w:rPr>
        <w:t>费中扣除，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如一个月超过6次(含6次)收到处罚通知书，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</w:rPr>
        <w:t>有权单方面解除合同。扣罚标准如下表：</w:t>
      </w:r>
    </w:p>
    <w:tbl>
      <w:tblPr>
        <w:tblStyle w:val="8"/>
        <w:tblpPr w:leftFromText="180" w:rightFromText="180" w:vertAnchor="text" w:horzAnchor="page" w:tblpX="1975" w:tblpY="200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53"/>
        <w:gridCol w:w="1875"/>
        <w:gridCol w:w="1965"/>
        <w:gridCol w:w="2280"/>
      </w:tblGrid>
      <w:tr w14:paraId="3B0594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53" w:type="dxa"/>
            <w:vAlign w:val="center"/>
          </w:tcPr>
          <w:p w14:paraId="641A2D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处罚通知书</w:t>
            </w:r>
          </w:p>
        </w:tc>
        <w:tc>
          <w:tcPr>
            <w:tcW w:w="1875" w:type="dxa"/>
            <w:vAlign w:val="center"/>
          </w:tcPr>
          <w:p w14:paraId="0CF736E6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2张/月</w:t>
            </w:r>
          </w:p>
        </w:tc>
        <w:tc>
          <w:tcPr>
            <w:tcW w:w="1965" w:type="dxa"/>
            <w:vAlign w:val="center"/>
          </w:tcPr>
          <w:p w14:paraId="128A266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4张/月</w:t>
            </w:r>
          </w:p>
        </w:tc>
        <w:tc>
          <w:tcPr>
            <w:tcW w:w="2280" w:type="dxa"/>
            <w:vAlign w:val="center"/>
          </w:tcPr>
          <w:p w14:paraId="522B07C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6张/月</w:t>
            </w:r>
          </w:p>
        </w:tc>
      </w:tr>
      <w:tr w14:paraId="0C25C2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53" w:type="dxa"/>
            <w:vAlign w:val="center"/>
          </w:tcPr>
          <w:p w14:paraId="7B0D949A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按每月服务费%扣罚</w:t>
            </w:r>
          </w:p>
        </w:tc>
        <w:tc>
          <w:tcPr>
            <w:tcW w:w="1875" w:type="dxa"/>
            <w:vAlign w:val="center"/>
          </w:tcPr>
          <w:p w14:paraId="0F66429D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按每月服务费×1%扣罚</w:t>
            </w:r>
          </w:p>
        </w:tc>
        <w:tc>
          <w:tcPr>
            <w:tcW w:w="1965" w:type="dxa"/>
            <w:vAlign w:val="center"/>
          </w:tcPr>
          <w:p w14:paraId="2425BCB7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按每月服务费×2%扣罚</w:t>
            </w:r>
          </w:p>
        </w:tc>
        <w:tc>
          <w:tcPr>
            <w:tcW w:w="2280" w:type="dxa"/>
            <w:vAlign w:val="center"/>
          </w:tcPr>
          <w:p w14:paraId="59488BF5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按每月服务费</w:t>
            </w:r>
          </w:p>
          <w:p w14:paraId="14E44BD3"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pacing w:line="500" w:lineRule="exact"/>
              <w:jc w:val="center"/>
              <w:rPr>
                <w:rFonts w:hint="eastAsia" w:ascii="仿宋" w:hAnsi="仿宋" w:eastAsia="仿宋" w:cs="仿宋"/>
                <w:sz w:val="28"/>
                <w:szCs w:val="28"/>
                <w:vertAlign w:val="baseline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×5%扣罚</w:t>
            </w:r>
          </w:p>
        </w:tc>
      </w:tr>
    </w:tbl>
    <w:p w14:paraId="3095EF55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</w:pPr>
    </w:p>
    <w:p w14:paraId="2E8DC68E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  <w:t xml:space="preserve"> </w:t>
      </w:r>
    </w:p>
    <w:p w14:paraId="16129947">
      <w:pPr>
        <w:keepNext w:val="0"/>
        <w:keepLines w:val="0"/>
        <w:pageBreakBefore w:val="0"/>
        <w:kinsoku/>
        <w:wordWrap/>
        <w:overflowPunct/>
        <w:topLinePunct w:val="0"/>
        <w:bidi w:val="0"/>
        <w:spacing w:line="500" w:lineRule="exact"/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</w:pPr>
    </w:p>
    <w:p w14:paraId="6AB2698F"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spacing w:line="500" w:lineRule="exact"/>
        <w:ind w:leftChars="0"/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  <w:lang w:val="en-US" w:eastAsia="zh-CN"/>
        </w:rPr>
      </w:pPr>
    </w:p>
    <w:p w14:paraId="62246682"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pacing w:line="500" w:lineRule="exact"/>
        <w:ind w:left="0" w:leftChars="0" w:firstLine="0" w:firstLineChars="0"/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  <w:t>如因工作失误而造成</w:t>
      </w: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  <w:lang w:eastAsia="zh-CN"/>
        </w:rPr>
        <w:t>采购人</w:t>
      </w: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  <w:t>损失，由</w:t>
      </w: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  <w:lang w:eastAsia="zh-CN"/>
        </w:rPr>
        <w:t>响应供应商</w:t>
      </w:r>
      <w:r>
        <w:rPr>
          <w:rFonts w:hint="eastAsia" w:ascii="仿宋" w:hAnsi="仿宋" w:eastAsia="仿宋" w:cs="仿宋"/>
          <w:i w:val="0"/>
          <w:iCs w:val="0"/>
          <w:caps w:val="0"/>
          <w:color w:val="222222"/>
          <w:spacing w:val="0"/>
          <w:sz w:val="28"/>
          <w:szCs w:val="28"/>
        </w:rPr>
        <w:t>负责赔偿。不可抗力的因素除外。</w:t>
      </w:r>
    </w:p>
    <w:p w14:paraId="67C13D95">
      <w:pPr>
        <w:rPr>
          <w:rFonts w:hint="eastAsia" w:ascii="宋体" w:hAnsi="宋体" w:eastAsia="宋体" w:cs="宋体"/>
          <w:sz w:val="24"/>
          <w:szCs w:val="24"/>
        </w:rPr>
      </w:pPr>
    </w:p>
    <w:p w14:paraId="3590A07C">
      <w:pPr>
        <w:keepNext w:val="0"/>
        <w:keepLines w:val="0"/>
        <w:pageBreakBefore w:val="0"/>
        <w:widowControl/>
        <w:shd w:val="clear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00" w:lineRule="exact"/>
        <w:ind w:left="0" w:right="0" w:firstLine="562" w:firstLineChars="200"/>
        <w:jc w:val="left"/>
        <w:textAlignment w:val="baseline"/>
        <w:outlineLvl w:val="9"/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color w:val="auto"/>
          <w:spacing w:val="0"/>
          <w:sz w:val="28"/>
          <w:szCs w:val="28"/>
          <w:highlight w:val="none"/>
          <w:lang w:val="en-US" w:eastAsia="zh-CN"/>
        </w:rPr>
        <w:t>（四）商务要求</w:t>
      </w:r>
    </w:p>
    <w:p w14:paraId="32340CF2">
      <w:pPr>
        <w:pStyle w:val="6"/>
        <w:keepNext w:val="0"/>
        <w:keepLines w:val="0"/>
        <w:pageBreakBefore w:val="0"/>
        <w:widowControl w:val="0"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 w:val="0"/>
        <w:wordWrap/>
        <w:overflowPunct/>
        <w:topLinePunct w:val="0"/>
        <w:autoSpaceDE w:val="0"/>
        <w:autoSpaceDN w:val="0"/>
        <w:bidi w:val="0"/>
        <w:adjustRightInd w:val="0"/>
        <w:snapToGrid/>
        <w:spacing w:before="0" w:beforeAutospacing="0" w:after="0" w:afterAutospacing="0" w:line="500" w:lineRule="exact"/>
        <w:ind w:left="0" w:right="0" w:firstLine="560" w:firstLineChars="200"/>
        <w:jc w:val="left"/>
        <w:textAlignment w:val="baseline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333333"/>
          <w:spacing w:val="0"/>
          <w:sz w:val="28"/>
          <w:szCs w:val="28"/>
          <w:highlight w:val="yellow"/>
          <w:u w:val="none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shd w:val="clear" w:fill="FFFFFF"/>
          <w:lang w:val="en-US" w:eastAsia="zh-CN"/>
        </w:rPr>
        <w:t>1、服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u w:val="none"/>
          <w:shd w:val="clear" w:fill="FFFFFF"/>
          <w:lang w:val="en-US" w:eastAsia="zh-CN"/>
        </w:rPr>
        <w:t>务期限：物业服务时长为1周年（至合同签订起算）。</w:t>
      </w:r>
    </w:p>
    <w:p w14:paraId="14EE6B60">
      <w:pPr>
        <w:pStyle w:val="6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beforeAutospacing="0" w:after="0" w:afterAutospacing="0" w:line="500" w:lineRule="exact"/>
        <w:ind w:left="0" w:right="0" w:firstLine="560" w:firstLineChars="200"/>
        <w:jc w:val="left"/>
        <w:textAlignment w:val="baseline"/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u w:val="none"/>
          <w:shd w:val="clear" w:fill="FFFFFF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u w:val="none"/>
          <w:shd w:val="clear" w:fill="FFFFFF"/>
          <w:lang w:val="en-US" w:eastAsia="zh-CN"/>
        </w:rPr>
        <w:t>2、服务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u w:val="none"/>
          <w:shd w:val="clear" w:fill="FFFFFF"/>
        </w:rPr>
        <w:t>地点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u w:val="none"/>
          <w:shd w:val="clear" w:fill="FFFFFF"/>
          <w:lang w:eastAsia="zh-CN"/>
        </w:rPr>
        <w:t>：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u w:val="none"/>
          <w:shd w:val="clear" w:fill="FFFFFF"/>
          <w:lang w:val="en-US" w:eastAsia="zh-CN"/>
        </w:rPr>
        <w:t>采购人指定地点</w:t>
      </w:r>
      <w:r>
        <w:rPr>
          <w:rFonts w:hint="eastAsia" w:ascii="仿宋" w:hAnsi="仿宋" w:eastAsia="仿宋" w:cs="仿宋"/>
          <w:spacing w:val="15"/>
          <w:sz w:val="28"/>
          <w:szCs w:val="28"/>
          <w:highlight w:val="none"/>
          <w:u w:val="none"/>
          <w:lang w:eastAsia="zh-CN"/>
        </w:rPr>
        <w:t>。</w:t>
      </w:r>
    </w:p>
    <w:p w14:paraId="27C45D0D">
      <w:pPr>
        <w:keepNext w:val="0"/>
        <w:keepLines w:val="0"/>
        <w:pageBreakBefore w:val="0"/>
        <w:wordWrap/>
        <w:overflowPunct/>
        <w:topLinePunct w:val="0"/>
        <w:bidi w:val="0"/>
        <w:spacing w:line="500" w:lineRule="exact"/>
        <w:ind w:firstLine="560" w:firstLineChars="200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u w:val="none"/>
          <w:shd w:val="clear" w:fill="FFFFFF"/>
          <w:lang w:val="en-US" w:eastAsia="zh-CN"/>
        </w:rPr>
        <w:t>3、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highlight w:val="none"/>
          <w:u w:val="none"/>
          <w:shd w:val="clear" w:fill="FFFFFF"/>
        </w:rPr>
        <w:t>付款方式：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highlight w:val="none"/>
          <w:u w:val="none"/>
          <w:shd w:val="clear" w:fill="FFFFFF"/>
          <w:lang w:val="en-US"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每季度末进行项目验收，验收合格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开具正式发票后，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采购人</w:t>
      </w:r>
      <w:r>
        <w:rPr>
          <w:rFonts w:hint="eastAsia" w:ascii="仿宋" w:hAnsi="仿宋" w:eastAsia="仿宋" w:cs="仿宋"/>
          <w:sz w:val="28"/>
          <w:szCs w:val="28"/>
          <w:lang w:eastAsia="zh-CN"/>
        </w:rPr>
        <w:t>按季度</w:t>
      </w:r>
      <w:r>
        <w:rPr>
          <w:rFonts w:hint="eastAsia" w:ascii="仿宋" w:hAnsi="仿宋" w:eastAsia="仿宋" w:cs="仿宋"/>
          <w:sz w:val="28"/>
          <w:szCs w:val="28"/>
        </w:rPr>
        <w:t>以转账方式支付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响应供应商</w:t>
      </w:r>
      <w:r>
        <w:rPr>
          <w:rFonts w:hint="eastAsia" w:ascii="仿宋" w:hAnsi="仿宋" w:eastAsia="仿宋" w:cs="仿宋"/>
          <w:sz w:val="28"/>
          <w:szCs w:val="28"/>
        </w:rPr>
        <w:t>服务费。</w:t>
      </w:r>
    </w:p>
    <w:p w14:paraId="114ECA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仿宋_GB2312" w:hAnsi="仿宋_GB2312" w:eastAsia="仿宋_GB2312" w:cs="仿宋_GB2312"/>
          <w:b/>
          <w:bCs/>
          <w:sz w:val="28"/>
          <w:szCs w:val="28"/>
          <w:highlight w:val="none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highlight w:val="none"/>
          <w:u w:val="none"/>
          <w:shd w:val="clear" w:fill="FFFFFF"/>
          <w:lang w:val="en-US" w:eastAsia="zh-CN"/>
        </w:rPr>
        <w:t>4、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highlight w:val="none"/>
          <w:u w:val="none"/>
          <w:shd w:val="clear" w:fill="FFFFFF"/>
        </w:rPr>
        <w:t>履约保证金： </w:t>
      </w:r>
      <w:r>
        <w:rPr>
          <w:rFonts w:hint="eastAsia" w:ascii="仿宋" w:hAnsi="仿宋" w:eastAsia="仿宋" w:cs="仿宋"/>
          <w:b w:val="0"/>
          <w:bCs w:val="0"/>
          <w:i w:val="0"/>
          <w:iCs w:val="0"/>
          <w:caps w:val="0"/>
          <w:color w:val="000000"/>
          <w:spacing w:val="0"/>
          <w:sz w:val="28"/>
          <w:szCs w:val="28"/>
          <w:highlight w:val="none"/>
          <w:u w:val="none"/>
          <w:shd w:val="clear" w:fill="FFFFFF"/>
          <w:lang w:val="en-US" w:eastAsia="zh-CN"/>
        </w:rPr>
        <w:t>中标人须按中标金额的 5%缴纳履约保证金（履约保证金以银行转账（电汇）、支票、汇票、本票或者金融机构、担保机构出具的保函等非现金形式提交），履约保证金由采购人收取，采购合同签订后七个工作日退还。</w:t>
      </w:r>
    </w:p>
    <w:p w14:paraId="09988D52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7DACB0E"/>
    <w:multiLevelType w:val="singleLevel"/>
    <w:tmpl w:val="87DACB0E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531681A"/>
    <w:rsid w:val="55316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unhideWhenUsed/>
    <w:qFormat/>
    <w:uiPriority w:val="0"/>
    <w:pPr>
      <w:spacing w:after="120"/>
    </w:pPr>
  </w:style>
  <w:style w:type="paragraph" w:styleId="4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8">
    <w:name w:val="Table Grid"/>
    <w:basedOn w:val="7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2026-05-21T02:11:00Z</dcterms:created>
  <dc:creator>Administrator</dc:creator>
  <cp:lastModifiedBy>Administrator</cp:lastModifiedBy>
  <dcterms:modified xsi:type="dcterms:W3CDTF">2026-05-21T02:13:28Z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246D187B47544381939F8532322399E4_11</vt:lpwstr>
  </property>
  <property fmtid="{D5CDD505-2E9C-101B-9397-08002B2CF9AE}" pid="4" name="KSOTemplateDocerSaveRecord">
    <vt:lpwstr>eyJoZGlkIjoiZDA5NGE5MTllNjdkYWE3NThhODViZTNlMDQ2ZWI0YjMiLCJ1c2VySWQiOiIxMTcxNTQyMTMxIn0=</vt:lpwstr>
  </property>
</Properties>
</file>