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13787D">
      <w:pPr>
        <w:widowControl/>
        <w:spacing w:line="460" w:lineRule="exact"/>
        <w:jc w:val="center"/>
        <w:outlineLvl w:val="1"/>
        <w:rPr>
          <w:rFonts w:ascii="宋体" w:hAnsi="宋体"/>
          <w:b/>
          <w:sz w:val="36"/>
          <w:szCs w:val="36"/>
        </w:rPr>
      </w:pPr>
      <w:bookmarkStart w:id="0" w:name="_Toc225348496"/>
      <w:bookmarkStart w:id="1" w:name="_Toc225348561"/>
      <w:bookmarkStart w:id="2" w:name="_Toc25908"/>
      <w:r>
        <w:rPr>
          <w:rFonts w:ascii="宋体" w:hAnsi="宋体"/>
          <w:b/>
          <w:sz w:val="36"/>
          <w:szCs w:val="36"/>
        </w:rPr>
        <w:t>第</w:t>
      </w:r>
      <w:r>
        <w:rPr>
          <w:rFonts w:hint="eastAsia" w:ascii="宋体" w:hAnsi="宋体"/>
          <w:b/>
          <w:sz w:val="36"/>
          <w:szCs w:val="36"/>
        </w:rPr>
        <w:t>三</w:t>
      </w:r>
      <w:r>
        <w:rPr>
          <w:rFonts w:ascii="宋体" w:hAnsi="宋体"/>
          <w:b/>
          <w:sz w:val="36"/>
          <w:szCs w:val="36"/>
        </w:rPr>
        <w:t xml:space="preserve">章  </w:t>
      </w:r>
      <w:r>
        <w:rPr>
          <w:rFonts w:hint="eastAsia" w:ascii="宋体" w:hAnsi="宋体"/>
          <w:b/>
          <w:sz w:val="36"/>
          <w:szCs w:val="36"/>
        </w:rPr>
        <w:t>服务</w:t>
      </w:r>
      <w:r>
        <w:rPr>
          <w:rFonts w:ascii="宋体" w:hAnsi="宋体"/>
          <w:b/>
          <w:sz w:val="36"/>
          <w:szCs w:val="36"/>
        </w:rPr>
        <w:t>需求及商务需求</w:t>
      </w:r>
      <w:bookmarkEnd w:id="0"/>
      <w:bookmarkEnd w:id="1"/>
      <w:bookmarkEnd w:id="2"/>
    </w:p>
    <w:p w14:paraId="34BA73D9">
      <w:pPr>
        <w:widowControl/>
        <w:spacing w:line="460" w:lineRule="exact"/>
        <w:jc w:val="center"/>
        <w:outlineLvl w:val="1"/>
        <w:rPr>
          <w:rFonts w:ascii="宋体" w:hAnsi="宋体"/>
          <w:bCs/>
          <w:color w:val="000000" w:themeColor="text1"/>
          <w:sz w:val="36"/>
          <w:szCs w:val="36"/>
          <w14:textFill>
            <w14:solidFill>
              <w14:schemeClr w14:val="tx1"/>
            </w14:solidFill>
          </w14:textFill>
        </w:rPr>
      </w:pPr>
    </w:p>
    <w:p w14:paraId="74B1F851">
      <w:pPr>
        <w:spacing w:line="336" w:lineRule="exact"/>
        <w:ind w:left="-283" w:leftChars="-135" w:right="-483" w:rightChars="-230" w:firstLine="281" w:firstLineChars="100"/>
        <w:outlineLvl w:val="1"/>
        <w:rPr>
          <w:rFonts w:ascii="宋体" w:hAnsi="宋体" w:cs="宋体"/>
          <w:b/>
          <w:color w:val="000000" w:themeColor="text1"/>
          <w:sz w:val="28"/>
          <w:szCs w:val="28"/>
          <w14:textFill>
            <w14:solidFill>
              <w14:schemeClr w14:val="tx1"/>
            </w14:solidFill>
          </w14:textFill>
        </w:rPr>
      </w:pPr>
      <w:bookmarkStart w:id="3" w:name="_Toc51699998"/>
      <w:bookmarkStart w:id="4" w:name="_Toc7099282"/>
      <w:bookmarkStart w:id="5" w:name="_Toc16537764"/>
      <w:bookmarkStart w:id="6" w:name="_Toc16589545"/>
      <w:bookmarkStart w:id="7" w:name="_Toc225348497"/>
      <w:bookmarkStart w:id="8" w:name="_Toc23961"/>
      <w:bookmarkStart w:id="9" w:name="_Toc225348562"/>
      <w:r>
        <w:rPr>
          <w:rFonts w:hint="eastAsia" w:ascii="宋体" w:hAnsi="宋体" w:cs="宋体"/>
          <w:b/>
          <w:color w:val="000000" w:themeColor="text1"/>
          <w:sz w:val="28"/>
          <w:szCs w:val="28"/>
          <w14:textFill>
            <w14:solidFill>
              <w14:schemeClr w14:val="tx1"/>
            </w14:solidFill>
          </w14:textFill>
        </w:rPr>
        <w:t>一、</w:t>
      </w:r>
      <w:bookmarkEnd w:id="3"/>
      <w:bookmarkEnd w:id="4"/>
      <w:bookmarkEnd w:id="5"/>
      <w:bookmarkEnd w:id="6"/>
      <w:r>
        <w:rPr>
          <w:rFonts w:hint="eastAsia" w:ascii="宋体" w:hAnsi="宋体" w:cs="宋体"/>
          <w:b/>
          <w:color w:val="000000" w:themeColor="text1"/>
          <w:sz w:val="28"/>
          <w:szCs w:val="28"/>
          <w14:textFill>
            <w14:solidFill>
              <w14:schemeClr w14:val="tx1"/>
            </w14:solidFill>
          </w14:textFill>
        </w:rPr>
        <w:t>服务需求：</w:t>
      </w:r>
      <w:bookmarkEnd w:id="7"/>
      <w:bookmarkEnd w:id="8"/>
      <w:bookmarkEnd w:id="9"/>
    </w:p>
    <w:p w14:paraId="11FD4446">
      <w:pPr>
        <w:spacing w:before="127" w:line="480" w:lineRule="auto"/>
        <w:rPr>
          <w:rFonts w:ascii="宋体" w:hAnsi="宋体"/>
          <w:color w:val="000000" w:themeColor="text1"/>
          <w:spacing w:val="-4"/>
          <w:sz w:val="24"/>
          <w:szCs w:val="24"/>
          <w14:textFill>
            <w14:solidFill>
              <w14:schemeClr w14:val="tx1"/>
            </w14:solidFill>
          </w14:textFill>
        </w:rPr>
      </w:pPr>
      <w:r>
        <w:rPr>
          <w:rFonts w:hint="eastAsia" w:ascii="宋体" w:hAnsi="宋体"/>
          <w:color w:val="000000" w:themeColor="text1"/>
          <w:spacing w:val="-4"/>
          <w:sz w:val="24"/>
          <w:szCs w:val="24"/>
          <w14:textFill>
            <w14:solidFill>
              <w14:schemeClr w14:val="tx1"/>
            </w14:solidFill>
          </w14:textFill>
        </w:rPr>
        <w:t>（一）项目概况：</w:t>
      </w:r>
    </w:p>
    <w:p w14:paraId="6A1D4BA3">
      <w:pPr>
        <w:widowControl/>
        <w:spacing w:line="480" w:lineRule="auto"/>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 xml:space="preserve">  本工程为崇仁高新区污水管网及一体化泵站维护，维护地点为高新区，污水管网总长度约43公里，提升泵站8个及泵站远程监控及运维管理系统平台。</w:t>
      </w:r>
    </w:p>
    <w:p w14:paraId="296CED74">
      <w:pPr>
        <w:widowControl/>
        <w:spacing w:line="480" w:lineRule="auto"/>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 xml:space="preserve"> 1、污水管网长度约43公里，8座泵站，普查资料未录入管网地理信息系统，未形成管网一张图；污水管网上没有布设在线监测设备，无法监控管网运行状态，不利于应对突发异常状况，无法实现应急调度；为全面推进城市排水管网数字化、智能化管理能力，现拟开展“智慧排水管网系统”项目建设。本项目需具备“感知监测、数据融合、平台支撑、业务应用”四位一体的建设思路，能构建集物联感知、三维建模、数据分析与业务管理于一体的综合管理平台，实现排水设施全要素数字化表达、业务闭环智能管理。</w:t>
      </w:r>
    </w:p>
    <w:p w14:paraId="3AA0CD3D">
      <w:pPr>
        <w:widowControl/>
        <w:spacing w:line="480" w:lineRule="auto"/>
        <w:ind w:firstLine="476" w:firstLineChars="200"/>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2、管道正常清淤，疏通，污泥外运及处置(甲方指定地点).</w:t>
      </w:r>
    </w:p>
    <w:p w14:paraId="27213AE0">
      <w:pPr>
        <w:widowControl/>
        <w:spacing w:line="480" w:lineRule="auto"/>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3、泵站维护：定期进行水泵，格栅，阀门，控制柜等设备和一体化污水提升泵站整体外观检查，泵站周边环境清理。8个泵站日常巡查：在日常运行中需要对一体化污水提升泵站进行以下巡视及检查，水泵的运行电流，电压是否正常，水泵的运行噪声及振动是否正常，泵站的出水量是否正常，泵站内的液位控制是否正常。提篮格栅内的垃圾是否达到一定的数量，否则要吊起进行清理。泵站液面上是否漂浮着大量的漂浮物，否则要进行清理。定期坚固检查控制柜，中转电箱内的电缆接线端子，如发现存在发热变色的情况则及时进行处理，电器元件更换。</w:t>
      </w:r>
    </w:p>
    <w:p w14:paraId="5F0171E6">
      <w:pPr>
        <w:widowControl/>
        <w:spacing w:line="480" w:lineRule="auto"/>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 xml:space="preserve"> 4、泵站远程监控，监测系统网络的维护。</w:t>
      </w:r>
    </w:p>
    <w:p w14:paraId="113F8841">
      <w:pPr>
        <w:widowControl/>
        <w:spacing w:line="480" w:lineRule="auto"/>
        <w:ind w:firstLine="476" w:firstLineChars="200"/>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5、安全文明作业及采购人交办的管道结构性缺陷的维修，井座，井盖维修更换等。</w:t>
      </w:r>
    </w:p>
    <w:p w14:paraId="4C821892">
      <w:pPr>
        <w:widowControl/>
        <w:spacing w:line="480" w:lineRule="auto"/>
        <w:ind w:firstLine="476" w:firstLineChars="200"/>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6、中标人需承诺其派出的维护人员具备相应的资质证书和专业能力，完全能够胜任维护工作。</w:t>
      </w:r>
    </w:p>
    <w:p w14:paraId="74E51477">
      <w:pPr>
        <w:widowControl/>
        <w:spacing w:line="480" w:lineRule="auto"/>
        <w:ind w:firstLine="476" w:firstLineChars="200"/>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7、中标人提供一套水质监测设备（COD 在线监测仪、氨氮在线监测仪）用于应急监测。</w:t>
      </w:r>
    </w:p>
    <w:p w14:paraId="3DE82401">
      <w:pPr>
        <w:widowControl/>
        <w:spacing w:line="480" w:lineRule="auto"/>
        <w:ind w:firstLine="476" w:firstLineChars="200"/>
        <w:jc w:val="left"/>
        <w:rPr>
          <w:rFonts w:ascii="宋体" w:hAnsi="宋体"/>
          <w:color w:val="000000" w:themeColor="text1"/>
          <w:spacing w:val="-1"/>
          <w:kern w:val="0"/>
          <w:sz w:val="24"/>
          <w:szCs w:val="24"/>
          <w14:textFill>
            <w14:solidFill>
              <w14:schemeClr w14:val="tx1"/>
            </w14:solidFill>
          </w14:textFill>
        </w:rPr>
      </w:pPr>
      <w:r>
        <w:rPr>
          <w:rFonts w:hint="eastAsia" w:ascii="宋体" w:hAnsi="宋体"/>
          <w:color w:val="000000" w:themeColor="text1"/>
          <w:spacing w:val="-1"/>
          <w:kern w:val="0"/>
          <w:sz w:val="24"/>
          <w:szCs w:val="24"/>
          <w14:textFill>
            <w14:solidFill>
              <w14:schemeClr w14:val="tx1"/>
            </w14:solidFill>
          </w14:textFill>
        </w:rPr>
        <w:t>8、其他维修费用计算方法与结算方式：维护监督泵站正常运行，进场第一时间对泵站运行情况进行全面排查发现问题记录，如远程监控流量卡续费，电器元件更换等维护费用在2000元以下的问题由中标人自行解决；费用在2000元以上1万元以下的中标人向采购人汇报，中标人提出解决方案由采购人确定维修方案和费用后再行由中标人组织实施；如泵站电气设备维修费用在1万元以上，中标人应做好应急并第一时间告知采购人，中标人提出解决方案报采购人确定，确定后由中标人或请第三方组织实施修复。一，二级污水管道功能性缺陷，由中标人自行维护，费用由中标人负责。三，四级污水管道结构性缺陷，经测算维修费用在1万元以下的，由中标人安排人员对其进行直接修复，费用以双方核定为准；经测算维修费用在1万元以上的，中标人将情况汇报给采购人，由采购人确定维修方案和费用后，由中标人或请第三方组织实施修复。巡查中发现井盖或井座破损等情况，由中标人巡查人员向采购人负责人汇报，甲方确认后由中标人安排人员进行维护或更换(实际发生的费用经双方确认后单独计算)。以上发生的合同外其他维修费按结算给予支付。</w:t>
      </w:r>
    </w:p>
    <w:p w14:paraId="019F26EE">
      <w:pPr>
        <w:rPr>
          <w:rFonts w:ascii="宋体" w:hAnsi="宋体" w:cs="宋体"/>
          <w:sz w:val="24"/>
          <w:szCs w:val="24"/>
        </w:rPr>
        <w:sectPr>
          <w:pgSz w:w="11906" w:h="16840"/>
          <w:pgMar w:top="400" w:right="1785" w:bottom="1214" w:left="1373" w:header="0" w:footer="968" w:gutter="0"/>
          <w:cols w:space="720" w:num="1"/>
        </w:sectPr>
      </w:pPr>
      <w:r>
        <w:rPr>
          <w:rFonts w:ascii="宋体" w:hAnsi="宋体"/>
          <w:b/>
          <w:sz w:val="24"/>
        </w:rPr>
        <w:t>注：以上要求投标单位必须全部满足或优于，有一项不满足的视为无效投标。</w:t>
      </w:r>
    </w:p>
    <w:p w14:paraId="73102A16">
      <w:pPr>
        <w:rPr>
          <w:rFonts w:hint="eastAsia" w:eastAsia="宋体"/>
          <w:lang w:val="en-US" w:eastAsia="zh-CN"/>
        </w:rPr>
      </w:pPr>
      <w:bookmarkStart w:id="10" w:name="_GoBack"/>
      <w:bookmarkEnd w:id="1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3E4E35"/>
    <w:rsid w:val="1FFA0F69"/>
    <w:rsid w:val="53207B2C"/>
    <w:rsid w:val="6E9273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1229</Words>
  <Characters>1240</Characters>
  <Lines>0</Lines>
  <Paragraphs>0</Paragraphs>
  <TotalTime>0</TotalTime>
  <ScaleCrop>false</ScaleCrop>
  <LinksUpToDate>false</LinksUpToDate>
  <CharactersWithSpaces>1259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2026-04-30T04:23:00Z</dcterms:created>
  <dc:creator>Administrator</dc:creator>
  <cp:lastModifiedBy>Administrator</cp:lastModifiedBy>
  <dcterms:modified xsi:type="dcterms:W3CDTF">2026-05-20T07:41:55Z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eyJoZGlkIjoiNDkzZmJjZDM1MTJhNTFlNDFhMGYwN2I3YmFiY2RjNDUiLCJ1c2VySWQiOiI5MjEwNDkxOTkifQ==</vt:lpwstr>
  </property>
  <property fmtid="{D5CDD505-2E9C-101B-9397-08002B2CF9AE}" pid="4" name="ICV">
    <vt:lpwstr>9BD059E62A7E40858C1EA478F5D67747_12</vt:lpwstr>
  </property>
</Properties>
</file>