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before="47" w:line="219" w:lineRule="auto"/>
        <w:ind w:left="3805"/>
        <w:outlineLvl w:val="1"/>
        <w:rPr>
          <w:rFonts w:hint="eastAsia" w:ascii="仿宋" w:hAnsi="仿宋" w:eastAsia="仿宋" w:cs="仿宋"/>
          <w:color w:val="auto"/>
          <w:sz w:val="24"/>
          <w:szCs w:val="24"/>
          <w:highlight w:val="none"/>
        </w:rPr>
      </w:pPr>
      <w:r>
        <w:rPr>
          <w:rFonts w:hint="eastAsia" w:ascii="仿宋" w:hAnsi="仿宋" w:eastAsia="仿宋" w:cs="仿宋"/>
          <w:color w:val="auto"/>
          <w:spacing w:val="-2"/>
          <w:sz w:val="32"/>
          <w:szCs w:val="32"/>
          <w:highlight w:val="none"/>
          <w14:textOutline w14:w="4356" w14:cap="sq" w14:cmpd="sng" w14:algn="ctr">
            <w14:solidFill>
              <w14:srgbClr w14:val="000000"/>
            </w14:solidFill>
            <w14:prstDash w14:val="solid"/>
            <w14:bevel/>
          </w14:textOutline>
        </w:rPr>
        <w:t>采购</w:t>
      </w:r>
      <w:r>
        <w:rPr>
          <w:rFonts w:hint="eastAsia" w:ascii="仿宋" w:hAnsi="仿宋" w:eastAsia="仿宋" w:cs="仿宋"/>
          <w:color w:val="auto"/>
          <w:spacing w:val="-2"/>
          <w:sz w:val="32"/>
          <w:szCs w:val="32"/>
          <w:highlight w:val="none"/>
          <w:lang w:val="en-US" w:eastAsia="zh-CN"/>
          <w14:textOutline w14:w="4356" w14:cap="sq" w14:cmpd="sng" w14:algn="ctr">
            <w14:solidFill>
              <w14:srgbClr w14:val="000000"/>
            </w14:solidFill>
            <w14:prstDash w14:val="solid"/>
            <w14:bevel/>
          </w14:textOutline>
        </w:rPr>
        <w:t>要</w:t>
      </w:r>
      <w:r>
        <w:rPr>
          <w:rFonts w:hint="eastAsia" w:ascii="仿宋" w:hAnsi="仿宋" w:eastAsia="仿宋" w:cs="仿宋"/>
          <w:color w:val="auto"/>
          <w:spacing w:val="-2"/>
          <w:sz w:val="32"/>
          <w:szCs w:val="32"/>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rFonts w:hint="eastAsia" w:ascii="仿宋" w:hAnsi="仿宋" w:eastAsia="仿宋" w:cs="仿宋"/>
          <w:color w:val="auto"/>
          <w:highlight w:val="none"/>
        </w:rPr>
      </w:pPr>
    </w:p>
    <w:p w14:paraId="6EF4E5D2">
      <w:pPr>
        <w:pageBreakBefore w:val="0"/>
        <w:widowControl w:val="0"/>
        <w:wordWrap/>
        <w:overflowPunct/>
        <w:topLinePunct w:val="0"/>
        <w:bidi w:val="0"/>
        <w:spacing w:line="258" w:lineRule="auto"/>
        <w:rPr>
          <w:rFonts w:hint="eastAsia" w:ascii="仿宋" w:hAnsi="仿宋" w:eastAsia="仿宋" w:cs="仿宋"/>
          <w:color w:val="auto"/>
          <w:highlight w:val="none"/>
        </w:rPr>
      </w:pPr>
    </w:p>
    <w:p w14:paraId="6BB3A822">
      <w:pPr>
        <w:spacing w:line="480" w:lineRule="exact"/>
        <w:ind w:firstLine="482" w:firstLineChars="200"/>
        <w:rPr>
          <w:rFonts w:hint="eastAsia" w:ascii="仿宋" w:hAnsi="仿宋" w:eastAsia="仿宋" w:cs="仿宋"/>
          <w:color w:val="auto"/>
          <w:sz w:val="24"/>
          <w:szCs w:val="24"/>
        </w:rPr>
      </w:pPr>
      <w:r>
        <w:rPr>
          <w:rFonts w:hint="eastAsia" w:ascii="仿宋" w:hAnsi="仿宋" w:eastAsia="仿宋" w:cs="仿宋"/>
          <w:b/>
          <w:color w:val="auto"/>
          <w:sz w:val="24"/>
          <w:szCs w:val="24"/>
        </w:rPr>
        <w:t>（一）</w:t>
      </w:r>
      <w:r>
        <w:rPr>
          <w:rFonts w:hint="eastAsia" w:ascii="仿宋" w:hAnsi="仿宋" w:eastAsia="仿宋" w:cs="仿宋"/>
          <w:color w:val="auto"/>
          <w:sz w:val="24"/>
          <w:szCs w:val="24"/>
        </w:rPr>
        <w:t>响应供应商须提供符合要求的技术服务，并负责项目实施过程中出现的任何问题。</w:t>
      </w:r>
    </w:p>
    <w:p w14:paraId="0DF2A65E">
      <w:pPr>
        <w:spacing w:line="480" w:lineRule="exact"/>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（二）本磋商文件提出的服务内容及要求是最低限度的要求，响应供应商的服务方案应达到或优于本磋商文件要求，且符合国家有关标准和规范要求，不允许负偏离。</w:t>
      </w:r>
    </w:p>
    <w:p w14:paraId="1ECAC340">
      <w:pPr>
        <w:spacing w:line="480" w:lineRule="exact"/>
        <w:ind w:firstLine="482" w:firstLineChars="200"/>
        <w:rPr>
          <w:rFonts w:hint="eastAsia" w:ascii="仿宋" w:hAnsi="仿宋" w:eastAsia="仿宋" w:cs="仿宋"/>
          <w:color w:val="auto"/>
          <w:sz w:val="24"/>
          <w:szCs w:val="24"/>
        </w:rPr>
      </w:pPr>
      <w:r>
        <w:rPr>
          <w:rFonts w:hint="eastAsia" w:ascii="仿宋" w:hAnsi="仿宋" w:eastAsia="仿宋" w:cs="仿宋"/>
          <w:b/>
          <w:color w:val="auto"/>
          <w:sz w:val="24"/>
          <w:szCs w:val="24"/>
        </w:rPr>
        <w:t>（三）</w:t>
      </w:r>
      <w:r>
        <w:rPr>
          <w:rFonts w:hint="eastAsia" w:ascii="仿宋" w:hAnsi="仿宋" w:eastAsia="仿宋" w:cs="仿宋"/>
          <w:color w:val="auto"/>
          <w:sz w:val="24"/>
          <w:szCs w:val="24"/>
        </w:rPr>
        <w:t>所有服务的知识产权问题，由各响应供应商自行负责。</w:t>
      </w:r>
    </w:p>
    <w:p w14:paraId="1674FB95">
      <w:pPr>
        <w:spacing w:line="480" w:lineRule="exact"/>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（四）本项目支持中、小、微企业发展线上融资，具体操作规程（详见附件）将按照《江西省财政厅关于推进政府采购合同信用融资工作的通知》（赣财购【2022】20号）。</w:t>
      </w:r>
    </w:p>
    <w:p w14:paraId="581B0F93">
      <w:pPr>
        <w:spacing w:line="480" w:lineRule="exact"/>
        <w:ind w:firstLine="480" w:firstLineChars="200"/>
        <w:rPr>
          <w:rFonts w:hint="eastAsia" w:ascii="仿宋" w:hAnsi="仿宋" w:eastAsia="仿宋" w:cs="仿宋"/>
          <w:b w:val="0"/>
          <w:bCs/>
          <w:color w:val="auto"/>
          <w:sz w:val="24"/>
          <w:szCs w:val="24"/>
        </w:rPr>
      </w:pPr>
      <w:r>
        <w:rPr>
          <w:rFonts w:hint="eastAsia" w:ascii="仿宋" w:hAnsi="仿宋" w:eastAsia="仿宋" w:cs="仿宋"/>
          <w:b w:val="0"/>
          <w:bCs/>
          <w:color w:val="auto"/>
          <w:sz w:val="24"/>
          <w:szCs w:val="24"/>
        </w:rPr>
        <w:t>（五）成交供应商为小微企业不得将合同分包给大中型企业，成交供应商为中型企业不得将合同分包给大型企业。</w:t>
      </w:r>
    </w:p>
    <w:p w14:paraId="213747FE">
      <w:pPr>
        <w:spacing w:line="480" w:lineRule="exact"/>
        <w:ind w:firstLine="482" w:firstLineChars="200"/>
        <w:rPr>
          <w:rFonts w:hint="eastAsia" w:ascii="仿宋" w:hAnsi="仿宋" w:eastAsia="仿宋" w:cs="仿宋"/>
          <w:b w:val="0"/>
          <w:bCs/>
          <w:color w:val="auto"/>
          <w:sz w:val="24"/>
          <w:szCs w:val="24"/>
          <w:lang w:eastAsia="zh-CN"/>
        </w:rPr>
      </w:pPr>
      <w:r>
        <w:rPr>
          <w:rFonts w:hint="eastAsia" w:ascii="仿宋" w:hAnsi="仿宋" w:eastAsia="仿宋" w:cs="仿宋"/>
          <w:b/>
          <w:bCs w:val="0"/>
          <w:color w:val="auto"/>
          <w:sz w:val="24"/>
          <w:szCs w:val="24"/>
        </w:rPr>
        <w:t>（</w:t>
      </w:r>
      <w:r>
        <w:rPr>
          <w:rFonts w:hint="eastAsia" w:ascii="仿宋" w:hAnsi="仿宋" w:eastAsia="仿宋" w:cs="仿宋"/>
          <w:b/>
          <w:bCs w:val="0"/>
          <w:color w:val="auto"/>
          <w:sz w:val="24"/>
          <w:szCs w:val="24"/>
          <w:lang w:val="en-US" w:eastAsia="zh-CN"/>
        </w:rPr>
        <w:t>六</w:t>
      </w:r>
      <w:r>
        <w:rPr>
          <w:rFonts w:hint="eastAsia" w:ascii="仿宋" w:hAnsi="仿宋" w:eastAsia="仿宋" w:cs="仿宋"/>
          <w:b/>
          <w:bCs w:val="0"/>
          <w:color w:val="auto"/>
          <w:sz w:val="24"/>
          <w:szCs w:val="24"/>
        </w:rPr>
        <w:t xml:space="preserve">） </w:t>
      </w:r>
      <w:r>
        <w:rPr>
          <w:rFonts w:hint="eastAsia" w:ascii="仿宋" w:hAnsi="仿宋" w:eastAsia="仿宋" w:cs="仿宋"/>
          <w:b/>
          <w:bCs w:val="0"/>
          <w:color w:val="auto"/>
          <w:sz w:val="24"/>
          <w:szCs w:val="24"/>
          <w:lang w:val="en-US" w:eastAsia="zh-CN"/>
        </w:rPr>
        <w:t>服务要求</w:t>
      </w:r>
    </w:p>
    <w:tbl>
      <w:tblPr>
        <w:tblStyle w:val="4"/>
        <w:tblpPr w:leftFromText="180" w:rightFromText="180" w:vertAnchor="text" w:horzAnchor="margin" w:tblpY="105"/>
        <w:tblW w:w="95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7"/>
        <w:gridCol w:w="987"/>
        <w:gridCol w:w="899"/>
        <w:gridCol w:w="615"/>
        <w:gridCol w:w="4040"/>
        <w:gridCol w:w="2038"/>
      </w:tblGrid>
      <w:tr w14:paraId="53575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987" w:type="dxa"/>
            <w:noWrap w:val="0"/>
            <w:vAlign w:val="center"/>
          </w:tcPr>
          <w:p w14:paraId="5BC0B198">
            <w:pPr>
              <w:pStyle w:val="3"/>
              <w:spacing w:before="0" w:after="0" w:line="500" w:lineRule="exact"/>
              <w:ind w:firstLine="0"/>
              <w:jc w:val="center"/>
              <w:rPr>
                <w:rFonts w:hint="eastAsia" w:ascii="仿宋" w:hAnsi="仿宋" w:eastAsia="仿宋" w:cs="仿宋"/>
                <w:color w:val="auto"/>
                <w:sz w:val="24"/>
                <w:szCs w:val="24"/>
                <w:lang w:val="en-US" w:eastAsia="zh-CN"/>
              </w:rPr>
            </w:pPr>
            <w:bookmarkStart w:id="0" w:name="_Toc4851"/>
            <w:bookmarkStart w:id="1" w:name="_Toc136351362"/>
            <w:r>
              <w:rPr>
                <w:rFonts w:hint="eastAsia" w:ascii="仿宋" w:hAnsi="仿宋" w:eastAsia="仿宋" w:cs="仿宋"/>
                <w:color w:val="auto"/>
                <w:sz w:val="24"/>
                <w:szCs w:val="24"/>
                <w:lang w:val="en-US" w:eastAsia="zh-CN"/>
              </w:rPr>
              <w:t>品目</w:t>
            </w:r>
            <w:bookmarkEnd w:id="0"/>
          </w:p>
        </w:tc>
        <w:tc>
          <w:tcPr>
            <w:tcW w:w="987" w:type="dxa"/>
            <w:noWrap w:val="0"/>
            <w:vAlign w:val="center"/>
          </w:tcPr>
          <w:p w14:paraId="0EE61DBD">
            <w:pPr>
              <w:pStyle w:val="3"/>
              <w:spacing w:before="0" w:after="0" w:line="500" w:lineRule="exact"/>
              <w:ind w:firstLine="0"/>
              <w:jc w:val="center"/>
              <w:rPr>
                <w:rFonts w:hint="eastAsia" w:ascii="仿宋" w:hAnsi="仿宋" w:eastAsia="仿宋" w:cs="仿宋"/>
                <w:color w:val="auto"/>
                <w:sz w:val="24"/>
                <w:szCs w:val="24"/>
              </w:rPr>
            </w:pPr>
            <w:bookmarkStart w:id="2" w:name="_Toc29533"/>
            <w:r>
              <w:rPr>
                <w:rFonts w:hint="eastAsia" w:ascii="仿宋" w:hAnsi="仿宋" w:eastAsia="仿宋" w:cs="仿宋"/>
                <w:color w:val="auto"/>
                <w:sz w:val="24"/>
                <w:szCs w:val="24"/>
                <w:lang w:val="en-US" w:eastAsia="zh-CN"/>
              </w:rPr>
              <w:t>项目</w:t>
            </w:r>
            <w:r>
              <w:rPr>
                <w:rFonts w:hint="eastAsia" w:ascii="仿宋" w:hAnsi="仿宋" w:eastAsia="仿宋" w:cs="仿宋"/>
                <w:color w:val="auto"/>
                <w:sz w:val="24"/>
                <w:szCs w:val="24"/>
              </w:rPr>
              <w:t>名称</w:t>
            </w:r>
            <w:bookmarkEnd w:id="1"/>
            <w:bookmarkEnd w:id="2"/>
          </w:p>
        </w:tc>
        <w:tc>
          <w:tcPr>
            <w:tcW w:w="899" w:type="dxa"/>
            <w:noWrap w:val="0"/>
            <w:vAlign w:val="center"/>
          </w:tcPr>
          <w:p w14:paraId="5BD8E845">
            <w:pPr>
              <w:pStyle w:val="3"/>
              <w:spacing w:before="0" w:after="0" w:line="500" w:lineRule="exact"/>
              <w:ind w:firstLine="0"/>
              <w:jc w:val="center"/>
              <w:rPr>
                <w:rFonts w:hint="eastAsia" w:ascii="仿宋" w:hAnsi="仿宋" w:eastAsia="仿宋" w:cs="仿宋"/>
                <w:color w:val="auto"/>
                <w:sz w:val="24"/>
                <w:szCs w:val="24"/>
              </w:rPr>
            </w:pPr>
            <w:bookmarkStart w:id="3" w:name="_Toc136351363"/>
            <w:bookmarkStart w:id="4" w:name="_Toc6139"/>
            <w:r>
              <w:rPr>
                <w:rFonts w:hint="eastAsia" w:ascii="仿宋" w:hAnsi="仿宋" w:eastAsia="仿宋" w:cs="仿宋"/>
                <w:color w:val="auto"/>
                <w:sz w:val="24"/>
                <w:szCs w:val="24"/>
              </w:rPr>
              <w:t>数量</w:t>
            </w:r>
            <w:bookmarkEnd w:id="3"/>
            <w:bookmarkEnd w:id="4"/>
          </w:p>
        </w:tc>
        <w:tc>
          <w:tcPr>
            <w:tcW w:w="615" w:type="dxa"/>
            <w:noWrap w:val="0"/>
            <w:vAlign w:val="center"/>
          </w:tcPr>
          <w:p w14:paraId="3633CD67">
            <w:pPr>
              <w:pStyle w:val="3"/>
              <w:spacing w:before="0" w:after="0" w:line="500" w:lineRule="exact"/>
              <w:ind w:firstLine="0"/>
              <w:jc w:val="center"/>
              <w:rPr>
                <w:rFonts w:hint="eastAsia" w:ascii="仿宋" w:hAnsi="仿宋" w:eastAsia="仿宋" w:cs="仿宋"/>
                <w:color w:val="auto"/>
                <w:sz w:val="24"/>
                <w:szCs w:val="24"/>
              </w:rPr>
            </w:pPr>
            <w:bookmarkStart w:id="5" w:name="_Toc136351364"/>
            <w:bookmarkStart w:id="6" w:name="_Toc9214"/>
            <w:r>
              <w:rPr>
                <w:rFonts w:hint="eastAsia" w:ascii="仿宋" w:hAnsi="仿宋" w:eastAsia="仿宋" w:cs="仿宋"/>
                <w:color w:val="auto"/>
                <w:sz w:val="24"/>
                <w:szCs w:val="24"/>
              </w:rPr>
              <w:t>单位</w:t>
            </w:r>
            <w:bookmarkEnd w:id="5"/>
            <w:bookmarkEnd w:id="6"/>
          </w:p>
        </w:tc>
        <w:tc>
          <w:tcPr>
            <w:tcW w:w="4040" w:type="dxa"/>
            <w:noWrap w:val="0"/>
            <w:vAlign w:val="center"/>
          </w:tcPr>
          <w:p w14:paraId="60C8D51E">
            <w:pPr>
              <w:pStyle w:val="3"/>
              <w:spacing w:before="0" w:after="0" w:line="500" w:lineRule="exact"/>
              <w:ind w:firstLine="0"/>
              <w:jc w:val="center"/>
              <w:rPr>
                <w:rFonts w:hint="eastAsia" w:ascii="仿宋" w:hAnsi="仿宋" w:eastAsia="仿宋" w:cs="仿宋"/>
                <w:color w:val="auto"/>
                <w:sz w:val="24"/>
                <w:szCs w:val="24"/>
              </w:rPr>
            </w:pPr>
            <w:bookmarkStart w:id="7" w:name="_Toc28690"/>
            <w:bookmarkStart w:id="8" w:name="_Toc136351365"/>
            <w:r>
              <w:rPr>
                <w:rFonts w:hint="eastAsia" w:ascii="仿宋" w:hAnsi="仿宋" w:eastAsia="仿宋" w:cs="仿宋"/>
                <w:b w:val="0"/>
                <w:color w:val="auto"/>
                <w:kern w:val="0"/>
                <w:sz w:val="24"/>
                <w:szCs w:val="24"/>
              </w:rPr>
              <w:t>主要服务内容及要求</w:t>
            </w:r>
            <w:bookmarkEnd w:id="7"/>
            <w:bookmarkEnd w:id="8"/>
          </w:p>
        </w:tc>
        <w:tc>
          <w:tcPr>
            <w:tcW w:w="2038" w:type="dxa"/>
            <w:noWrap w:val="0"/>
            <w:vAlign w:val="top"/>
          </w:tcPr>
          <w:p w14:paraId="44C69B44">
            <w:pPr>
              <w:pStyle w:val="3"/>
              <w:spacing w:before="0" w:after="0" w:line="500" w:lineRule="exact"/>
              <w:ind w:firstLine="0"/>
              <w:jc w:val="center"/>
              <w:rPr>
                <w:rFonts w:hint="eastAsia" w:ascii="仿宋" w:hAnsi="仿宋" w:eastAsia="仿宋" w:cs="仿宋"/>
                <w:b w:val="0"/>
                <w:color w:val="auto"/>
                <w:kern w:val="0"/>
                <w:sz w:val="24"/>
                <w:szCs w:val="24"/>
              </w:rPr>
            </w:pPr>
            <w:bookmarkStart w:id="9" w:name="_Toc25199"/>
            <w:bookmarkStart w:id="10" w:name="_Toc136351366"/>
            <w:r>
              <w:rPr>
                <w:rFonts w:hint="eastAsia" w:ascii="仿宋" w:hAnsi="仿宋" w:eastAsia="仿宋" w:cs="仿宋"/>
                <w:b w:val="0"/>
                <w:color w:val="auto"/>
                <w:kern w:val="0"/>
                <w:sz w:val="24"/>
                <w:szCs w:val="24"/>
              </w:rPr>
              <w:t>预算金额（元）</w:t>
            </w:r>
            <w:bookmarkEnd w:id="9"/>
            <w:bookmarkEnd w:id="10"/>
          </w:p>
        </w:tc>
      </w:tr>
      <w:tr w14:paraId="1ACE8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87" w:type="dxa"/>
            <w:noWrap w:val="0"/>
            <w:vAlign w:val="center"/>
          </w:tcPr>
          <w:p w14:paraId="2F75DE03">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w:t>
            </w:r>
          </w:p>
        </w:tc>
        <w:tc>
          <w:tcPr>
            <w:tcW w:w="987" w:type="dxa"/>
            <w:noWrap w:val="0"/>
            <w:vAlign w:val="center"/>
          </w:tcPr>
          <w:p w14:paraId="6F0A18BD">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创业培训</w:t>
            </w:r>
          </w:p>
        </w:tc>
        <w:tc>
          <w:tcPr>
            <w:tcW w:w="899" w:type="dxa"/>
            <w:noWrap w:val="0"/>
            <w:vAlign w:val="center"/>
          </w:tcPr>
          <w:p w14:paraId="076A4EC9">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615" w:type="dxa"/>
            <w:noWrap w:val="0"/>
            <w:vAlign w:val="center"/>
          </w:tcPr>
          <w:p w14:paraId="63929E9C">
            <w:pPr>
              <w:spacing w:line="500" w:lineRule="exact"/>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项</w:t>
            </w:r>
          </w:p>
        </w:tc>
        <w:tc>
          <w:tcPr>
            <w:tcW w:w="4040" w:type="dxa"/>
            <w:noWrap w:val="0"/>
            <w:vAlign w:val="center"/>
          </w:tcPr>
          <w:p w14:paraId="4AA2BA13">
            <w:pPr>
              <w:spacing w:line="500" w:lineRule="exact"/>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严格按照《中国就业培训技术指导中心关于印发&lt;创业培训标准（试行）的通知&gt;》（中就培发〔2018〕2号）、《江西省就业补助资金职业培训补贴管理办法》（赣人社发〔2019〕3号）文件规定的培训目标、培训对象、培训内容等要求开展培训，培训人数不得低于250人。2026年12月31日前完成培训人数不少于于210人，剩余培训人数须在2027年03月31日前培训完成，培训过程要求全程视频录像。</w:t>
            </w:r>
          </w:p>
          <w:p w14:paraId="06C5DDB7">
            <w:pPr>
              <w:spacing w:line="500" w:lineRule="exact"/>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创业培训项目培训对象为劳动年龄内有创业项目或创业意愿及培训需求的城乡各类劳动者及毕业学年高校毕业生和符合条件的初创企业经营者（初创企业经营者是指在我省登记注册3年内的企业法人或自然人），原则上不对外省户籍人员以及政府机关、企事业单位等在职在编工作人员培训。培训时间不少于7天，每天集中授课不低于8个标准课时，采取集中培训授课和个性化辅导等相结合的形式，完成创业准备或创业运营培训。每个班学员原则上不超过30人。</w:t>
            </w:r>
          </w:p>
        </w:tc>
        <w:tc>
          <w:tcPr>
            <w:tcW w:w="2038" w:type="dxa"/>
            <w:noWrap w:val="0"/>
            <w:vAlign w:val="center"/>
          </w:tcPr>
          <w:p w14:paraId="328DC71B">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300000.00</w:t>
            </w:r>
          </w:p>
        </w:tc>
      </w:tr>
    </w:tbl>
    <w:p w14:paraId="292A84D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1、培训机构条件及要求：</w:t>
      </w:r>
    </w:p>
    <w:p w14:paraId="3AE3282F">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1.1积极宣传和落实我县培训政策，具备培训经验，满足承办培训工种的基本要求。能够按要求承担培训任务，服从人力资源社会保障部门的监管。</w:t>
      </w:r>
    </w:p>
    <w:p w14:paraId="0854124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1.2具有合法稳定的收入来源和开展培训工作经历，有较好的培训工作基础和业绩，有规章制度健全、内部管理良好，社会信誉较好。</w:t>
      </w:r>
    </w:p>
    <w:p w14:paraId="71221233">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1.3具有开展培训所必须的2名（含）以上的专（兼）职师资及实施和培训规模相适应的多媒体教室、教学设施、办公场地、办公设备，具备信息化管理条件。</w:t>
      </w:r>
    </w:p>
    <w:p w14:paraId="7A017CD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1.4建立培训质量保证体系、学员档案和培训台账，教学管理、学员管理、安全管理、财务管理等制度，未发生过群体性事件，无违规培训记录。</w:t>
      </w:r>
    </w:p>
    <w:p w14:paraId="25334984">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1.5响应供应商被人力资源社会保障部门开展的年度民办职业技能培训学校及市属技工学校年度评估中列入限期整改的单位，整改期间不得承接本采购培训服务。</w:t>
      </w:r>
    </w:p>
    <w:p w14:paraId="49D63DE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1.6符合职业技能培训项目规定的其他条件。</w:t>
      </w:r>
    </w:p>
    <w:p w14:paraId="440A412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2.培训机构责任和义务：</w:t>
      </w:r>
    </w:p>
    <w:p w14:paraId="5B62407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2.1生源组织：承接培训机构应按核准的培训项目、对象和人数组织生源，审验并保存培训对象有效证件复印件，每期不超过2个班。</w:t>
      </w:r>
    </w:p>
    <w:p w14:paraId="3346E53F">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2.2开班申请：承接培训机构须在每季度末线上报送下一季度培训计划，当期培训班开班前1个工作日， 向采购人线上提交开班申请。对未按规定提供开班申请资料或未经许可擅自开班的， 其所开展的培训不享受政府补贴。</w:t>
      </w:r>
    </w:p>
    <w:p w14:paraId="5F119D4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2.3政策公示：承接培训机构经同意开班后，应在开班后3天内将《培训课程安排表》、《学员须知》、《学员名册》和有关培训补贴政策、 监督举报电话等内容公开在培训场所显著位置， 并告知所有参训学员。</w:t>
      </w:r>
    </w:p>
    <w:p w14:paraId="3B48FEB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2.4教学实施：承接培训机构应主动配合人社等部门对培训过程的检查和巡查，要按照培训协议相关要求，严格执行教学管理、考勤管理、 考试考核等制度规定，确保培训质量。</w:t>
      </w:r>
    </w:p>
    <w:p w14:paraId="30B79E3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2.5建立台帐：承接培训机构应按要求以班期为单位， 按主体材料、 辅助材料和学员个人资料分类建立培训基础台帐（包括电子台帐和纸质台帐），并对基础台帐的真实性负责，作为检查验收、效果评估和资金拨付的重要参考依据。</w:t>
      </w:r>
    </w:p>
    <w:p w14:paraId="723B7B6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2.6承接培训机构应按要求让每班至少5个学员对每期的培训课程质量进行满意度评价（评价表须留有学员联系电话及学员本人签字），项目完成后所有满意度评价表一次性递交两份（评价表原件及复印件各一份）给采购人，满意度评价表格式详见附件，满意度评价结果作为履约验收的依据。</w:t>
      </w:r>
    </w:p>
    <w:p w14:paraId="6EB9164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3、监督考核：</w:t>
      </w:r>
    </w:p>
    <w:p w14:paraId="05A9954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3.1加强过程监管。建立班期现场检查巡查制度，成立巡查小组，采取日常巡查（每期每班不少于 1 次）、举报专查等方式进行培训质量监控。日常检查巡查采取实地走访、查看资料、现场询问身份核对、 收集学员意见反馈等方式，对承接培训机构开班情况及培训过程进行不定期现场督导和巡查，并据实填写《巡查情况记录表》 。</w:t>
      </w:r>
    </w:p>
    <w:p w14:paraId="6719CBC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3.2开展效果评估。培训结束后，根据过程检查巡查和其它渠道掌握的情况，并结合学员结业考核合格情况、创业情况和电话回访抽查情况，对承接培训机构培训效果进行综合评估，并据实填写《效果评估表》，撰写综合评估报告、评估结果作为是否拨付培训补贴资金的重要参考依据。</w:t>
      </w:r>
    </w:p>
    <w:p w14:paraId="3A566227">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3.3建立动态管理和退出机制。 通过巡查和抽查，发现承接培训结构弄虚作假、教学管理不规范、无故缩短培训期限、学员满意度低等现象的，对其及相关责任人提出警告，停止其办班审批，同时要求其限期整改。</w:t>
      </w:r>
    </w:p>
    <w:p w14:paraId="736B82B4">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3.4承接培训机构有下列情形之一的，将取消其定点资格，不予拨付培训补贴资金，已拨付的予以追回：</w:t>
      </w:r>
    </w:p>
    <w:p w14:paraId="3FE27043">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A.当年度被书面警告两次以上的；</w:t>
      </w:r>
    </w:p>
    <w:p w14:paraId="7CCF010D">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B.拒不整改或连续两次整改不符合要求的；</w:t>
      </w:r>
    </w:p>
    <w:p w14:paraId="6F5ABFDD">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C.将培训项目转包给其他单位和个人的；</w:t>
      </w:r>
    </w:p>
    <w:p w14:paraId="783944E7">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D.管理混乱、违规收费，造成社会不良影响的；</w:t>
      </w:r>
    </w:p>
    <w:p w14:paraId="5BFBFF7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E.弄虚作假，骗取培训补贴经费的；</w:t>
      </w:r>
    </w:p>
    <w:p w14:paraId="29850B23">
      <w:r>
        <w:rPr>
          <w:rFonts w:hint="eastAsia" w:ascii="仿宋" w:hAnsi="仿宋" w:eastAsia="仿宋" w:cs="仿宋"/>
          <w:color w:val="auto"/>
          <w:sz w:val="24"/>
          <w:szCs w:val="24"/>
          <w:highlight w:val="none"/>
          <w:lang w:val="en-US" w:eastAsia="zh-CN"/>
        </w:rPr>
        <w:t>F.违反国家法律法规或政策文件规定的其他情形。</w:t>
      </w:r>
      <w:bookmarkStart w:id="11" w:name="_GoBack"/>
      <w:bookmarkEnd w:id="1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5A567E"/>
    <w:rsid w:val="015A56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2026-05-20T07:33:00Z</dcterms:created>
  <dc:creator>lenovo</dc:creator>
  <cp:lastModifiedBy>lenovo</cp:lastModifiedBy>
  <dcterms:modified xsi:type="dcterms:W3CDTF">2026-05-20T07:33:51Z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5DEC016768C6454DAC1BF4BA1F8D539A_11</vt:lpwstr>
  </property>
  <property fmtid="{D5CDD505-2E9C-101B-9397-08002B2CF9AE}" pid="4" name="KSOTemplateDocerSaveRecord">
    <vt:lpwstr>eyJoZGlkIjoiMTE3MTQ0ZjMxY2UyNjI5Mjk4NjM3NGFkOGU2Y2M2MzMiLCJ1c2VySWQiOiIyODg5MjQ3ODEifQ==</vt:lpwstr>
  </property>
</Properties>
</file>