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widowControl w:val="0"/>
        <w:wordWrap/>
        <w:overflowPunct/>
        <w:topLinePunct w:val="0"/>
        <w:bidi w:val="0"/>
        <w:spacing w:before="47" w:line="219" w:lineRule="auto"/>
        <w:ind w:left="3805"/>
        <w:outlineLvl w:val="1"/>
        <w:rPr>
          <w:color w:val="auto"/>
          <w:highlight w:val="none"/>
        </w:rPr>
      </w:pPr>
      <w:bookmarkStart w:id="0" w:name="_Toc20495"/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二、采购</w:t>
      </w:r>
      <w:r>
        <w:rPr>
          <w:rFonts w:hint="eastAsia" w:ascii="宋体" w:hAnsi="宋体" w:eastAsia="宋体" w:cs="宋体"/>
          <w:color w:val="auto"/>
          <w:spacing w:val="-2"/>
          <w:sz w:val="24"/>
          <w:szCs w:val="24"/>
          <w:highlight w:val="none"/>
          <w:lang w:val="en-US" w:eastAsia="zh-CN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要</w:t>
      </w:r>
      <w:r>
        <w:rPr>
          <w:rFonts w:ascii="宋体" w:hAnsi="宋体" w:eastAsia="宋体" w:cs="宋体"/>
          <w:color w:val="auto"/>
          <w:spacing w:val="-2"/>
          <w:sz w:val="24"/>
          <w:szCs w:val="24"/>
          <w:highlight w:val="none"/>
          <w14:textOutline w14:w="4356" w14:cap="sq" w14:cmpd="sng" w14:algn="ctr">
            <w14:solidFill>
              <w14:srgbClr w14:val="000000"/>
            </w14:solidFill>
            <w14:prstDash w14:val="solid"/>
            <w14:bevel/>
          </w14:textOutline>
        </w:rPr>
        <w:t>求</w:t>
      </w:r>
      <w:bookmarkEnd w:id="0"/>
    </w:p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  <w:lang w:val="en-US" w:eastAsia="zh-CN"/>
        </w:rPr>
        <w:t>项目概况：</w:t>
      </w:r>
    </w:p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ind w:firstLine="480" w:firstLineChars="200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湘东区云程中学拟对校门入口操场、四合院、梧桐大道、伟人广场四处约6000平方米的破损人造草坪进行维修更换。</w:t>
      </w:r>
    </w:p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（一）</w:t>
      </w:r>
      <w:r>
        <w:rPr>
          <w:rFonts w:ascii="宋体" w:hAnsi="宋体" w:eastAsia="宋体" w:cs="宋体"/>
          <w:b/>
          <w:bCs/>
          <w:color w:val="auto"/>
          <w:spacing w:val="25"/>
          <w:sz w:val="24"/>
          <w:szCs w:val="24"/>
          <w:highlight w:val="none"/>
        </w:rPr>
        <w:t xml:space="preserve"> </w:t>
      </w:r>
      <w:r>
        <w:rPr>
          <w:rFonts w:ascii="宋体" w:hAnsi="宋体" w:eastAsia="宋体" w:cs="宋体"/>
          <w:b/>
          <w:bCs/>
          <w:color w:val="auto"/>
          <w:spacing w:val="-5"/>
          <w:sz w:val="24"/>
          <w:szCs w:val="24"/>
          <w:highlight w:val="none"/>
        </w:rPr>
        <w:t>技术需求</w:t>
      </w:r>
    </w:p>
    <w:p>
      <w:pPr>
        <w:adjustRightInd w:val="0"/>
        <w:spacing w:line="400" w:lineRule="exact"/>
        <w:jc w:val="left"/>
        <w:outlineLvl w:val="0"/>
        <w:rPr>
          <w:rFonts w:hint="eastAsia" w:asciiTheme="minorEastAsia" w:hAnsiTheme="minorEastAsia" w:eastAsiaTheme="minorEastAsia" w:cstheme="minorEastAsia"/>
          <w:b/>
          <w:bCs/>
          <w:szCs w:val="21"/>
        </w:rPr>
      </w:pPr>
      <w:r>
        <w:rPr>
          <w:rFonts w:hint="eastAsia" w:asciiTheme="minorEastAsia" w:hAnsiTheme="minorEastAsia" w:eastAsiaTheme="minorEastAsia" w:cstheme="minorEastAsia"/>
          <w:b/>
          <w:bCs/>
          <w:sz w:val="24"/>
          <w:lang w:val="en-US" w:eastAsia="zh-CN"/>
        </w:rPr>
        <w:t>一、</w:t>
      </w:r>
      <w:r>
        <w:rPr>
          <w:rFonts w:hint="eastAsia" w:asciiTheme="minorEastAsia" w:hAnsiTheme="minorEastAsia" w:eastAsiaTheme="minorEastAsia" w:cstheme="minorEastAsia"/>
          <w:b/>
          <w:bCs/>
          <w:sz w:val="24"/>
        </w:rPr>
        <w:t>人造草规格要求和参数要求</w:t>
      </w:r>
    </w:p>
    <w:p>
      <w:pPr>
        <w:pStyle w:val="4"/>
        <w:widowControl/>
        <w:shd w:val="clear" w:color="auto" w:fill="FFFFFF"/>
        <w:spacing w:line="144" w:lineRule="atLeast"/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-SA"/>
        </w:rPr>
      </w:pP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en-US" w:bidi="ar-SA"/>
        </w:rPr>
        <w:t>1.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-SA"/>
        </w:rPr>
        <w:t xml:space="preserve">1 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en-US" w:bidi="ar-SA"/>
        </w:rPr>
        <w:t>直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zh-CN" w:bidi="ar-SA"/>
        </w:rPr>
        <w:t>曲混织</w:t>
      </w:r>
      <w:r>
        <w:rPr>
          <w:rFonts w:hint="eastAsia" w:ascii="宋体" w:hAnsi="宋体" w:eastAsia="宋体" w:cs="宋体"/>
          <w:snapToGrid w:val="0"/>
          <w:color w:val="000000"/>
          <w:kern w:val="0"/>
          <w:sz w:val="24"/>
          <w:szCs w:val="24"/>
          <w:lang w:val="en-US" w:eastAsia="en-US" w:bidi="ar-SA"/>
        </w:rPr>
        <w:t>草坪技术参数</w:t>
      </w:r>
    </w:p>
    <w:tbl>
      <w:tblPr>
        <w:tblStyle w:val="5"/>
        <w:tblW w:w="851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FFFFFF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87"/>
        <w:gridCol w:w="702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  <w:t>草丝形状及编织工艺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  <w:t>高分子材料PE材质全卷曲丝簇绒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（不包纱）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  <w:t>编织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工艺</w:t>
            </w:r>
          </w:p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  <w:t>草丝颜色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挪威绿挪威柠&amp;翠绿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  <w:t>草高（不含底布高度）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25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en-US" w:bidi="ar-SA"/>
              </w:rPr>
              <w:t>±1mm。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行距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lang w:val="en-US" w:eastAsia="zh-CN" w:bidi="ar-SA"/>
              </w:rPr>
              <w:t>9.52mm（3/8英寸）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织距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≥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200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针/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m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密度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≥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21000针/㎡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磅重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≥13000dtex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底布走针方式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簇绒法一形走针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5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底布材质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双层底布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背胶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丁苯背</w:t>
            </w: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卷宽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en-US" w:bidi="ar-SA"/>
              </w:rPr>
              <w:t>4米（卷长：按场地实际需要）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FFFFFF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4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面积</w:t>
            </w:r>
          </w:p>
        </w:tc>
        <w:tc>
          <w:tcPr>
            <w:tcW w:w="70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top w:w="15" w:type="dxa"/>
              <w:left w:w="0" w:type="dxa"/>
              <w:bottom w:w="15" w:type="dxa"/>
              <w:right w:w="0" w:type="dxa"/>
            </w:tcMar>
          </w:tcPr>
          <w:p>
            <w:pPr>
              <w:jc w:val="left"/>
              <w:rPr>
                <w:rFonts w:hint="default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</w:pPr>
            <w:bookmarkStart w:id="1" w:name="OLE_LINK3"/>
            <w:r>
              <w:rPr>
                <w:rFonts w:hint="eastAsia" w:ascii="宋体" w:hAnsi="宋体" w:eastAsia="宋体" w:cs="宋体"/>
                <w:snapToGrid w:val="0"/>
                <w:color w:val="000000"/>
                <w:kern w:val="0"/>
                <w:sz w:val="24"/>
                <w:szCs w:val="24"/>
                <w:highlight w:val="none"/>
                <w:lang w:val="en-US" w:eastAsia="zh-CN" w:bidi="ar-SA"/>
              </w:rPr>
              <w:t>约6000平方米（最终以实际面积结算）</w:t>
            </w:r>
            <w:bookmarkEnd w:id="1"/>
          </w:p>
        </w:tc>
      </w:tr>
    </w:tbl>
    <w:p>
      <w:pPr>
        <w:spacing w:line="400" w:lineRule="exact"/>
        <w:jc w:val="center"/>
        <w:rPr>
          <w:rFonts w:hint="eastAsia" w:ascii="宋体" w:hAnsi="宋体" w:eastAsia="宋体" w:cs="宋体"/>
          <w:b/>
          <w:bCs/>
          <w:sz w:val="24"/>
          <w:szCs w:val="24"/>
          <w:highlight w:val="none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1.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环保要求：人造草坪依据GB/T 20394-2019、GB36246-2018、GB/T 43566-2023标准进行氙灯500h+耐酸（30%硫酸）500h+耐碱（20%碳酸钠）500h+常温常湿（23℃、湿度50%）500h+高温（90℃、湿度5%）500h+低温（-40℃、湿度5%）500h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六项老化后测试三种邻苯二甲酸酯类化合物（DBP、BBP、DEHP）总和、三种邻苯二甲酸酯类化合物（DNOP、DINP、DIDP）总和、18 种多环芳烃总和、苯并[a]芘、可溶性铅、可溶性镉、可溶性铬、可溶性汞、可迁移元素钡、总挥发性有机化合物（TVOC）、甲醛、苯、甲苯、二甲苯和乙苯总和均为未检出。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1.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3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阻燃要求：人造草坪依据GB/T 20394-2019、GB36246-2018、GB/T 43566-2023标准进行经过氙灯500h+耐酸（30%硫酸）500h+耐碱（20%碳酸钠）500h+常温常湿（23℃、湿度50%）500h+高温（90℃、湿度5%）500h+低温（-40℃、湿度5%）500h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，六项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老化后测试冲击吸收达50%-55%、垂直变形达6-8mm、阻燃性能Ⅰ级（中心到损毁边沿最大距离 ≤50mm）、抗静电：表面电阻≤1×10^9Ω、拉伸强度≥700N/100mm、剥离强度≥90N/100mm、渗水速率≥200mm/h。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1.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草丝拉断力及拔出力要求：人造草坪依据GB/T 20394-2019、QB/T5591-2021标准测试草丝拉断力≥1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N、单簇草丝拔出力≥43N，底布拉断力纵向≥1200N、底布拉断力横向≥1250N，经过氙灯老化168小时+雨水（3%乙酸，40℃）老化168小时+高低温老化7次循环（每个循环60℃ 12小时、常温1小时、－40℃ 12小时）</w:t>
      </w:r>
      <w:r>
        <w:rPr>
          <w:rFonts w:hint="eastAsia" w:ascii="宋体" w:hAnsi="宋体" w:eastAsia="宋体" w:cs="宋体"/>
          <w:sz w:val="24"/>
          <w:szCs w:val="24"/>
          <w:highlight w:val="none"/>
          <w:lang w:eastAsia="zh-CN"/>
        </w:rPr>
        <w:t>，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三项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老化测试后草丝色牢度≥7级，草丝拉断力保留率≥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95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%，单簇草丝拔出力保留率≥97.7%，纵向底布拉断力保留率≥97%，横向底布拉断力保留率≥97%、热水浸泡后背胶无掉胶、掉色，单簇草丝拔出力≥30N。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1.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sz w:val="24"/>
          <w:szCs w:val="24"/>
          <w:highlight w:val="none"/>
        </w:rPr>
        <w:t>抗滑要求：人造草坪依据GB 36246-2018、GB/T 14833-2020标准检测拉伸强度≥11Mpa，经过氙灯老化500小时+雨水（3%乙酸，40℃）老化500小时+高低温老化20次循环（每个循环60℃ 12小时、常温1小时、－40℃ 12小时）后测试抗滑值≥85BPN、拉断伸长率≥45%、三项老化后阻燃性能Ⅰ级（中心到损毁边沿最大距离 ≤50mm）、拉伸强度保留率≥85%。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0" w:firstLineChars="200"/>
        <w:textAlignment w:val="auto"/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highlight w:val="none"/>
        </w:rPr>
        <w:t>1.</w:t>
      </w:r>
      <w:r>
        <w:rPr>
          <w:rFonts w:hint="eastAsia" w:ascii="宋体" w:hAnsi="宋体" w:eastAsia="宋体" w:cs="宋体"/>
          <w:sz w:val="24"/>
          <w:szCs w:val="24"/>
          <w:highlight w:val="none"/>
          <w:lang w:val="en-US" w:eastAsia="zh-CN"/>
        </w:rPr>
        <w:t>6磅重为单簇总纤度，测试方法按GB/T 20394-2019执行。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ind w:firstLine="482" w:firstLineChars="200"/>
        <w:textAlignment w:val="auto"/>
        <w:rPr>
          <w:rFonts w:hint="eastAsia" w:ascii="宋体" w:hAnsi="宋体" w:eastAsia="宋体" w:cs="宋体"/>
          <w:b/>
          <w:bCs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</w:rPr>
        <w:t>注：以上1.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</w:rPr>
        <w:t>-1.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b/>
          <w:bCs/>
          <w:sz w:val="24"/>
          <w:szCs w:val="24"/>
          <w:highlight w:val="none"/>
        </w:rPr>
        <w:t>项需提供具有运动场地检测资质的检验检测机构出具的带有CMA或CNAS标志的检验检测报告原件扫描件及检测机构具备相应</w:t>
      </w:r>
      <w:r>
        <w:rPr>
          <w:rFonts w:hint="eastAsia" w:ascii="宋体" w:hAnsi="宋体" w:eastAsia="宋体" w:cs="宋体"/>
          <w:b/>
          <w:bCs/>
          <w:sz w:val="24"/>
          <w:szCs w:val="24"/>
        </w:rPr>
        <w:t>检测能力附表查询截图加盖投标人公章佐证。</w:t>
      </w:r>
    </w:p>
    <w:p>
      <w:pPr>
        <w:rPr>
          <w:rFonts w:ascii="宋体" w:hAnsi="宋体" w:cs="宋体"/>
          <w:bCs/>
          <w:szCs w:val="21"/>
        </w:rPr>
      </w:pPr>
    </w:p>
    <w:p>
      <w:pPr>
        <w:rPr>
          <w:rFonts w:hint="eastAsia" w:ascii="宋体" w:hAnsi="宋体" w:eastAsia="宋体" w:cs="宋体"/>
          <w:b/>
          <w:bCs/>
          <w:kern w:val="2"/>
          <w:sz w:val="28"/>
          <w:szCs w:val="28"/>
        </w:rPr>
      </w:pPr>
      <w:r>
        <w:rPr>
          <w:rFonts w:hint="eastAsia" w:ascii="宋体" w:hAnsi="宋体" w:eastAsia="宋体" w:cs="宋体"/>
          <w:b/>
          <w:bCs/>
          <w:kern w:val="2"/>
          <w:sz w:val="28"/>
          <w:szCs w:val="28"/>
        </w:rPr>
        <w:br w:type="page"/>
      </w:r>
    </w:p>
    <w:p>
      <w:pPr>
        <w:pageBreakBefore w:val="0"/>
        <w:widowControl w:val="0"/>
        <w:wordWrap/>
        <w:overflowPunct/>
        <w:topLinePunct w:val="0"/>
        <w:bidi w:val="0"/>
        <w:spacing w:before="78" w:line="219" w:lineRule="auto"/>
        <w:rPr>
          <w:rFonts w:ascii="宋体" w:hAnsi="宋体" w:eastAsia="宋体" w:cs="宋体"/>
          <w:b/>
          <w:bCs/>
          <w:color w:val="auto"/>
          <w:sz w:val="24"/>
          <w:szCs w:val="24"/>
          <w:highlight w:val="none"/>
          <w:lang w:eastAsia="zh-CN"/>
        </w:rPr>
      </w:pPr>
      <w:r>
        <w:rPr>
          <w:rFonts w:ascii="宋体" w:hAnsi="宋体" w:eastAsia="宋体" w:cs="宋体"/>
          <w:b/>
          <w:bCs/>
          <w:color w:val="auto"/>
          <w:spacing w:val="-6"/>
          <w:sz w:val="24"/>
          <w:szCs w:val="24"/>
          <w:highlight w:val="none"/>
          <w:lang w:eastAsia="zh-CN"/>
        </w:rPr>
        <w:t>（二）商务条件</w:t>
      </w:r>
    </w:p>
    <w:p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color w:val="auto"/>
          <w:highlight w:val="none"/>
          <w:lang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1、付款方式：全部货物送达采购人指定地点并安装调试完毕，经验收合格后一次性付清。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2、质保期：全部产品自验收合格之日起提供五年质保。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3、交货期：</w:t>
      </w:r>
      <w:bookmarkStart w:id="2" w:name="OLE_LINK1"/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合同签订后30天内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/>
        </w:rPr>
        <w:t>完成旧草坪拆除、清运清理、新人造草坪铺设、安装、调试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并交付使用。</w:t>
      </w:r>
      <w:bookmarkEnd w:id="2"/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4、售后服务：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(1)免费维护期内，提供7*24小时服务，服务方式包括上门服务、电话服务、邮件服务、网络远程协助服务等；若出现问题，影响采购人使用，成交供应商接到故障通知后电话、邮件1小时内响应，上门服务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kern w:val="2"/>
          <w:sz w:val="24"/>
          <w:szCs w:val="24"/>
          <w:highlight w:val="none"/>
          <w:lang w:eastAsia="zh-CN"/>
        </w:rPr>
        <w:t>4小时</w:t>
      </w: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内响应。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(2)质保期内，非人为因素而出现的问题，成交供应商负责包修、包换或者退货。如果成交供应商收到采购人口头或书面通知后，未在规定的响应时间内将问题处理好，采购人有权采取请人维修、使用同类替代产品等必要的措施，但风险和由此产生的相关费用全部由成交供应商承担。如经成交供应商两次维修或更换，货物仍不能达到合同约定的质量标准，采购人有权退货，成交供应商应退回相应货款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5、地点：萍乡市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湘东</w:t>
      </w: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区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云程中学</w:t>
      </w: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指定地点。</w:t>
      </w: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after="0" w:line="360" w:lineRule="auto"/>
        <w:ind w:firstLine="480" w:firstLineChars="200"/>
        <w:jc w:val="both"/>
        <w:textAlignment w:val="baseline"/>
        <w:rPr>
          <w:rFonts w:hint="eastAsia" w:ascii="宋体" w:hAnsi="宋体" w:eastAsia="宋体" w:cs="宋体"/>
          <w:kern w:val="2"/>
          <w:sz w:val="24"/>
          <w:szCs w:val="24"/>
          <w:lang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6、包装运输：在合同规定的时间内将货物交至采购单位指定的地点并安装摆放，有关运输、</w:t>
      </w: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装卸等</w:t>
      </w:r>
      <w:r>
        <w:rPr>
          <w:rFonts w:hint="eastAsia" w:ascii="宋体" w:hAnsi="宋体" w:eastAsia="宋体" w:cs="宋体"/>
          <w:kern w:val="2"/>
          <w:sz w:val="24"/>
          <w:szCs w:val="24"/>
          <w:lang w:eastAsia="zh-CN"/>
        </w:rPr>
        <w:t>一切费用由成交供应商承担。</w:t>
      </w:r>
    </w:p>
    <w:p>
      <w:pPr>
        <w:pageBreakBefore w:val="0"/>
        <w:widowControl w:val="0"/>
        <w:wordWrap/>
        <w:overflowPunct/>
        <w:topLinePunct w:val="0"/>
        <w:bidi w:val="0"/>
        <w:spacing w:line="249" w:lineRule="auto"/>
        <w:ind w:firstLine="480" w:firstLineChars="200"/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kern w:val="2"/>
          <w:sz w:val="24"/>
          <w:szCs w:val="24"/>
          <w:lang w:val="en-US" w:eastAsia="zh-CN"/>
        </w:rPr>
        <w:t>7、验收：货物到现场后，由采购单位（或其被授权人）、成交供应商和其他相关人员共同对货物的数量、外观、包装等进行检查，确认合格后开始旧草坪拆除、清运清理、新人造草坪铺设及安装调试。安装调试及草坪铺设完毕经采购单位确认后，由采购单位组织有关专家按合同进行最终验收，在验收过程中发现有缺陷等质量问题（含草坪拆除不彻底、清运不干净、铺设不达标等），应按照采购单位的要求更换、返工或退货等措施妥善处理，并承担由此发生的一切费用和损失。</w:t>
      </w:r>
    </w:p>
    <w:p>
      <w:pPr>
        <w:pageBreakBefore w:val="0"/>
        <w:widowControl w:val="0"/>
        <w:wordWrap/>
        <w:overflowPunct/>
        <w:topLinePunct w:val="0"/>
        <w:bidi w:val="0"/>
        <w:spacing w:line="249" w:lineRule="auto"/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/>
        </w:rPr>
      </w:pPr>
    </w:p>
    <w:p>
      <w:r>
        <w:rPr>
          <w:rFonts w:hint="eastAsia" w:ascii="宋体" w:hAnsi="宋体" w:eastAsia="宋体" w:cs="宋体"/>
          <w:b/>
          <w:bCs/>
          <w:kern w:val="2"/>
          <w:sz w:val="24"/>
          <w:szCs w:val="24"/>
          <w:lang w:val="en-US" w:eastAsia="zh-CN"/>
        </w:rPr>
        <w:t>注：（技术需求和商务条件为不允许负偏离的实质性条款，否则做无效响应处理）</w:t>
      </w:r>
      <w:bookmarkStart w:id="3" w:name="_GoBack"/>
      <w:bookmarkEnd w:id="3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EFF" w:usb1="C000785B" w:usb2="00000009" w:usb3="00000000" w:csb0="400001FF" w:csb1="FFFF0000"/>
  </w:font>
  <w:font w:name="宋体">
    <w:panose1 w:val="02010600030101010101"/>
    <w:charset w:val="34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rPr>
        <w:lang w:eastAsia="zh-CN"/>
      </w:rPr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53" name="文本框 5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59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59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51E1E1C"/>
    <w:rsid w:val="015F3A95"/>
    <w:rsid w:val="151E1E1C"/>
    <w:rsid w:val="58E02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2">
    <w:name w:val="heading 3"/>
    <w:basedOn w:val="1"/>
    <w:next w:val="1"/>
    <w:qFormat/>
    <w:uiPriority w:val="0"/>
    <w:pPr>
      <w:keepNext/>
      <w:outlineLvl w:val="2"/>
    </w:pPr>
    <w:rPr>
      <w:rFonts w:ascii="楷体_GB2312" w:hAnsi="宋体" w:eastAsia="黑体"/>
      <w:b/>
      <w:bCs/>
      <w:sz w:val="32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4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customStyle="1" w:styleId="7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8">
    <w:name w:val="Table Text"/>
    <w:basedOn w:val="1"/>
    <w:semiHidden/>
    <w:qFormat/>
    <w:uiPriority w:val="0"/>
  </w:style>
  <w:style w:type="character" w:customStyle="1" w:styleId="9">
    <w:name w:val="font51"/>
    <w:basedOn w:val="6"/>
    <w:qFormat/>
    <w:uiPriority w:val="0"/>
    <w:rPr>
      <w:rFonts w:hint="eastAsia" w:ascii="宋体" w:hAnsi="宋体" w:eastAsia="宋体" w:cs="宋体"/>
      <w:color w:val="05073B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2024-12-11T05:44:00Z</dcterms:created>
  <dc:creator>Administrator</dc:creator>
  <cp:lastModifiedBy>Administrator</cp:lastModifiedBy>
  <dcterms:modified xsi:type="dcterms:W3CDTF">2026-05-19T07:40:32Z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2052-11.8.2.10158</vt:lpwstr>
  </property>
</Properties>
</file>