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4692E">
      <w:pPr>
        <w:pStyle w:val="6"/>
        <w:keepNext/>
        <w:keepLines/>
        <w:pageBreakBefore w:val="0"/>
        <w:widowControl/>
        <w:kinsoku w:val="0"/>
        <w:wordWrap/>
        <w:overflowPunct/>
        <w:topLinePunct w:val="0"/>
        <w:autoSpaceDE w:val="0"/>
        <w:autoSpaceDN w:val="0"/>
        <w:bidi w:val="0"/>
        <w:adjustRightInd w:val="0"/>
        <w:snapToGrid w:val="0"/>
        <w:spacing w:before="0" w:after="0" w:line="360" w:lineRule="auto"/>
        <w:textAlignment w:val="baseline"/>
        <w:rPr>
          <w:rFonts w:hint="eastAsia" w:ascii="新宋体" w:hAnsi="新宋体" w:eastAsia="新宋体" w:cs="新宋体"/>
          <w:color w:val="auto"/>
          <w:lang w:val="en-US" w:eastAsia="zh-CN"/>
        </w:rPr>
      </w:pPr>
      <w:bookmarkStart w:id="0" w:name="_Toc13271"/>
      <w:bookmarkStart w:id="1" w:name="_Toc26923"/>
      <w:r>
        <w:rPr>
          <w:rFonts w:hint="eastAsia" w:ascii="新宋体" w:hAnsi="新宋体" w:eastAsia="新宋体" w:cs="新宋体"/>
          <w:b/>
          <w:color w:val="auto"/>
          <w:lang w:eastAsia="zh-CN"/>
        </w:rPr>
        <w:t xml:space="preserve">（一） </w:t>
      </w:r>
      <w:r>
        <w:rPr>
          <w:rFonts w:hint="eastAsia" w:ascii="新宋体" w:hAnsi="新宋体" w:eastAsia="新宋体" w:cs="新宋体"/>
          <w:b/>
          <w:color w:val="auto"/>
          <w:lang w:val="en-US" w:eastAsia="zh-CN"/>
        </w:rPr>
        <w:t>服务</w:t>
      </w:r>
      <w:r>
        <w:rPr>
          <w:rFonts w:hint="eastAsia" w:ascii="新宋体" w:hAnsi="新宋体" w:eastAsia="新宋体" w:cs="新宋体"/>
          <w:b/>
          <w:color w:val="auto"/>
          <w:lang w:eastAsia="zh-CN"/>
        </w:rPr>
        <w:t>需求</w:t>
      </w:r>
      <w:bookmarkEnd w:id="0"/>
      <w:bookmarkEnd w:id="1"/>
    </w:p>
    <w:p w14:paraId="4D0168EF">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1、服务内容 </w:t>
      </w:r>
    </w:p>
    <w:p w14:paraId="2CAC50B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供应商将本项目采购内容包括医院</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lang w:val="en-US" w:eastAsia="zh-CN"/>
        </w:rPr>
        <w:t>含仙临路院区、黄巢社区卫生服务中心</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手术衣、手术裤、大腹单、中单、治疗巾、大包布、小包布、窗帘等物品的清点、清洗、消毒、熨烫、过水、分类、缝补、烘干、折叠、包装等全部工作并运送到医院接收地点。洗涤污垢包括人体污渍、血渍、食物油渍、尿垢、粪便、药渍等各种污渍。包含供应商负责每天不少于 1 次（含所有节假日）到医院各科室收污衣，送洁衣的整个服务过程。 </w:t>
      </w:r>
    </w:p>
    <w:p w14:paraId="6A71ECEF">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2、服务要求 </w:t>
      </w:r>
    </w:p>
    <w:p w14:paraId="3F41FA3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2.1、服务总则 </w:t>
      </w:r>
    </w:p>
    <w:p w14:paraId="79DAB9E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2.1.1、所有物件须按本项目的要求进行洗涤、烘干、消毒</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烫平、叠好后交回采购单位，中间若有不符合要求的物件，须由供应商承担返工、修改等。 </w:t>
      </w:r>
    </w:p>
    <w:p w14:paraId="03D23BF0">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2.1.2、供应商须对破损的被服、衣物进行缝补。 </w:t>
      </w:r>
    </w:p>
    <w:p w14:paraId="745DD016">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2.1.3、供应商须负责装卸和运输工作。 </w:t>
      </w:r>
    </w:p>
    <w:p w14:paraId="3E1656D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2.1.4、供应商须负责每天至少 1 次（含所有节假日）到采购单位收取被、服等污脏物件，并送回前次所收取洗涤烘干的被服。 </w:t>
      </w:r>
    </w:p>
    <w:p w14:paraId="3A11E94C">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2.1.5、供应商依照采购单位要求按时按质按量提供洗涤服务。 </w:t>
      </w:r>
    </w:p>
    <w:p w14:paraId="2BADB519">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2.1.6、供应商负责洗涤的员工均受过专业洗涤培训，能够熟悉的做好本职工作，操作熟练，按洗涤流程及标准进行洗涤；杜绝交叉感染。 </w:t>
      </w:r>
    </w:p>
    <w:p w14:paraId="7D31464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2.1.7、按照有关《劳动法》规定，供应商需严格遵守招工用工制度，若因招工用工问题造成的各种不良后果由供应商负责。员工的劳动安全保险及社保费用由供应商负责，一切安全责任及因操作不当造成的损失由供应商承担。做好员工的职业防护工作，配备相应的劳保用品及工具，若因供应商未落实职业防护要求造成员工工作中的各种不良后果，由供应商负责。 </w:t>
      </w:r>
    </w:p>
    <w:p w14:paraId="4CF8E7A7">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2.2、具体服务内容及要求 </w:t>
      </w:r>
    </w:p>
    <w:p w14:paraId="7E2BC2C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2.2.1、配送要求 </w:t>
      </w:r>
    </w:p>
    <w:p w14:paraId="23475551">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2.2.1.1、负责脏被服和净被服的配送，在进行配送时，供应商工作人员应与采购人衣物中转处工作人员根据现场发出和送回的被服品类、品种、数量当面清点，经核对无误后，在洗衣单上双方确认签名，洗衣单各执一份。 </w:t>
      </w:r>
    </w:p>
    <w:p w14:paraId="5CC3C3B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2.2.1.2、每天至少 1 次到采购人处收取污被服并交回前次已清洗干净的所有被服。</w:t>
      </w:r>
    </w:p>
    <w:p w14:paraId="2DA9224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2.2.1.3、在送回净被服时，须根据被服上的标志分类装入净衣袋中进行配送。 </w:t>
      </w:r>
    </w:p>
    <w:p w14:paraId="32427499">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2.2.2、洁净度（洗涤质量）要求： </w:t>
      </w:r>
    </w:p>
    <w:p w14:paraId="7679F844">
      <w:pPr>
        <w:keepNext w:val="0"/>
        <w:keepLines w:val="0"/>
        <w:pageBreakBefore w:val="0"/>
        <w:wordWrap/>
        <w:overflowPunct/>
        <w:topLinePunct w:val="0"/>
        <w:autoSpaceDE w:val="0"/>
        <w:bidi w:val="0"/>
        <w:spacing w:line="360" w:lineRule="exact"/>
        <w:ind w:firstLine="480" w:firstLineChars="200"/>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2.2.2.1、</w:t>
      </w:r>
      <w:r>
        <w:rPr>
          <w:rFonts w:hint="eastAsia" w:ascii="新宋体" w:hAnsi="新宋体" w:eastAsia="新宋体" w:cs="新宋体"/>
          <w:color w:val="auto"/>
          <w:kern w:val="0"/>
          <w:sz w:val="24"/>
          <w:szCs w:val="24"/>
          <w:highlight w:val="none"/>
          <w:lang w:val="en-US" w:eastAsia="zh-CN"/>
        </w:rPr>
        <w:t>衣物清洗需严格符合国家标准，</w:t>
      </w:r>
      <w:r>
        <w:rPr>
          <w:rFonts w:hint="eastAsia" w:ascii="新宋体" w:hAnsi="新宋体" w:eastAsia="新宋体" w:cs="新宋体"/>
          <w:color w:val="auto"/>
          <w:kern w:val="0"/>
          <w:sz w:val="24"/>
          <w:szCs w:val="24"/>
          <w:highlight w:val="none"/>
        </w:rPr>
        <w:t>须确保所有经洗涤</w:t>
      </w:r>
      <w:r>
        <w:rPr>
          <w:rFonts w:hint="eastAsia" w:ascii="新宋体" w:hAnsi="新宋体" w:eastAsia="新宋体" w:cs="新宋体"/>
          <w:color w:val="auto"/>
          <w:kern w:val="0"/>
          <w:sz w:val="24"/>
          <w:szCs w:val="24"/>
          <w:highlight w:val="none"/>
          <w:lang w:val="en-US" w:eastAsia="zh-CN"/>
        </w:rPr>
        <w:t>及消毒</w:t>
      </w:r>
      <w:r>
        <w:rPr>
          <w:rFonts w:hint="eastAsia" w:ascii="新宋体" w:hAnsi="新宋体" w:eastAsia="新宋体" w:cs="新宋体"/>
          <w:color w:val="auto"/>
          <w:kern w:val="0"/>
          <w:sz w:val="24"/>
          <w:szCs w:val="24"/>
          <w:highlight w:val="none"/>
        </w:rPr>
        <w:t xml:space="preserve">后的被服无异味、臭味、污渍、血渍、破损、白色布草洁白度良好无发灰发黄等现象。工作服、被套、床单、熨烫平整，舒展，无异味，无异物，无破损的同时,还需符合医院布草洗涤行业标准,洗涤物洁净鲜亮,做到清洗还原后与布料原色基本保持一致，洁净度符合医院织物洗涤行业标准或达到市级或以上卫生防疫部门规定的行业相关洗涤标准。 </w:t>
      </w:r>
    </w:p>
    <w:p w14:paraId="292ECBD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2.2.2.2、在洗涤时使用的洗消剂须符合国家标准。 </w:t>
      </w:r>
    </w:p>
    <w:p w14:paraId="62E33E8E">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2.2.2.3、若因供应商的缘故导致被服洗涤质量达不到本项目要求的,供应商应负责免费返工,同时将被服类型、数量填写复洗单，复洗单须经双方确认签名后，于次日送净被服时送回。 </w:t>
      </w:r>
    </w:p>
    <w:p w14:paraId="1176094E">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2.2.3、人员、车辆、设备及环境要求: </w:t>
      </w:r>
    </w:p>
    <w:p w14:paraId="497403CE">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2.2.3.1、须配备负责洗涤工作管理的专职人员,并负责医院洗涤用品的收发配送工作。</w:t>
      </w:r>
    </w:p>
    <w:p w14:paraId="386DA395">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2.2.3.2、为本项目投入至少一辆服务运输车辆</w:t>
      </w:r>
      <w:r>
        <w:rPr>
          <w:rFonts w:hint="eastAsia" w:ascii="新宋体" w:hAnsi="新宋体" w:eastAsia="新宋体" w:cs="新宋体"/>
          <w:b/>
          <w:bCs/>
          <w:color w:val="auto"/>
          <w:kern w:val="0"/>
          <w:sz w:val="24"/>
          <w:szCs w:val="24"/>
          <w:highlight w:val="none"/>
        </w:rPr>
        <w:t xml:space="preserve">。 </w:t>
      </w:r>
    </w:p>
    <w:p w14:paraId="17340B1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2.2.3.3、应配置满足本项目洗涤要求的设备，相关的设备应具有洗涤功能多样、程序合理、使用安全，对被服损伤小的特点。 </w:t>
      </w:r>
    </w:p>
    <w:p w14:paraId="4FF9DDF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2.2.3.4、工作人员应经岗前培训,进行有关消毒隔离知识的学习</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lang w:val="en-US" w:eastAsia="zh-CN"/>
        </w:rPr>
        <w:t>并定期培训</w:t>
      </w:r>
      <w:r>
        <w:rPr>
          <w:rFonts w:hint="eastAsia" w:ascii="新宋体" w:hAnsi="新宋体" w:eastAsia="新宋体" w:cs="新宋体"/>
          <w:color w:val="auto"/>
          <w:kern w:val="0"/>
          <w:sz w:val="24"/>
          <w:szCs w:val="24"/>
          <w:highlight w:val="none"/>
        </w:rPr>
        <w:t>。</w:t>
      </w:r>
    </w:p>
    <w:p w14:paraId="07D8880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2.2.3.5、工作人员做好个人防护,注意个人卫生,上班时衣帽整洁,不戴首饰,接触污物后,摘手套后及时使用(皂液)和流动水洗手。 </w:t>
      </w:r>
    </w:p>
    <w:p w14:paraId="04C0BFB3">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2.2.3.6、进行烘干</w:t>
      </w:r>
      <w:r>
        <w:rPr>
          <w:rFonts w:hint="eastAsia" w:ascii="新宋体" w:hAnsi="新宋体" w:eastAsia="新宋体" w:cs="新宋体"/>
          <w:color w:val="auto"/>
          <w:kern w:val="0"/>
          <w:sz w:val="24"/>
          <w:szCs w:val="24"/>
          <w:highlight w:val="none"/>
          <w:lang w:eastAsia="zh-CN"/>
        </w:rPr>
        <w:t>、</w:t>
      </w:r>
      <w:r>
        <w:rPr>
          <w:rFonts w:hint="eastAsia" w:ascii="新宋体" w:hAnsi="新宋体" w:eastAsia="新宋体" w:cs="新宋体"/>
          <w:color w:val="auto"/>
          <w:kern w:val="0"/>
          <w:sz w:val="24"/>
          <w:szCs w:val="24"/>
          <w:highlight w:val="none"/>
        </w:rPr>
        <w:t xml:space="preserve">压熨、折叠、发放等过程中,应保持手卫生清洁,患痢疾、伤寒、肺结核、肠道传染病及脓性或滲出性皮肤病者不应从事直接与洗涤物品接触的工作。 </w:t>
      </w:r>
    </w:p>
    <w:p w14:paraId="7B554E45">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2.2.3.7、洗衣房周围环境清洁,无污染源。 </w:t>
      </w:r>
    </w:p>
    <w:p w14:paraId="76408344">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2.2.3.8、洗衣房内注意通风换气,各工作间保持清洁整齐,每周大扫除一次,污染区的地面、物表面每日2次使用500mg/L的含氯消毒剂擦拭,拖擦,每日下午下班前用紫外线照射消毒60分钟，并作好记录妥善保存。清洁区与污染区扫地、抹布、拖把必须分区使用,标示清楚,用后及时清洁与消毒。 </w:t>
      </w:r>
    </w:p>
    <w:p w14:paraId="18CE1433">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2.2.4、工作流程 </w:t>
      </w:r>
    </w:p>
    <w:p w14:paraId="6C4E0B6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2.2.4.1、流程合理,人流、物流,洁、污分开。物流由洗涤区→烘干熨烫区→清洁衣物存放区,由污到洁,不得逆流。</w:t>
      </w:r>
    </w:p>
    <w:p w14:paraId="677015AA">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2.2.4.2、收集、运送要求</w:t>
      </w:r>
    </w:p>
    <w:p w14:paraId="6E04B5C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2.2.4.3、应在采购人指定地点收集污物,避免在病房清点,清点时戴口罩、手套、帽子、穿隔离衣。专车、专线运输。运送车辆洁污分开,表示明显。布草在出医院之前就要进行分拣、严格按照感染与非感染病人的布草、医生与病人的布草、小孩与成人的布草、新生儿的布草等采取分别分类隔离包装，灭菌处理。清洁被服、不能和污物被服、敷料用同一车辆同时运输。传染病人被服、數料或被病人血液、体液、排泄物等污染的被服、敷料要用双层黄袋密闭包扎,单独标记,当面交接,封闭运运输。 清洁车辆随时保持清洁,污物车辆用后及时进行清洁与消毒,消毒用500mgL含氯消毒液擦拭,作用30分钟,做好登记。 </w:t>
      </w:r>
    </w:p>
    <w:p w14:paraId="04B457C4">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2.2.5、管理要求 </w:t>
      </w:r>
    </w:p>
    <w:p w14:paraId="2085ACF3">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2.2.5.1、对于正常磨损且磨损率大于60%或以上的布草或无法缝补的布草,应填写布草报废单随实物交采购人衣物负责人核实后作报废处理。如若因供应商的原因导致布草损坏的,供应商须按损坏的品种、数量和购置成本,详细计算后,向采购人作出赔偿。 </w:t>
      </w:r>
    </w:p>
    <w:p w14:paraId="54B17E4D">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2.2.5.2、如因供应商的原因导致采购人的被服丢失的,供应商须按丢失的品种、数量和购置成本计算向采购人作出赔偿。 </w:t>
      </w:r>
    </w:p>
    <w:p w14:paraId="7423815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2.2.5.3、供应商在本项目执行期内,应考虑到可能出现的停水、停电、停气、设 备等方面因素影响,并做好应急预案,若因上述原因导致不能及时履行的,采购人有权送外单位洗涤,其费用由供应商支付,采购人有权追究供应商的相关责任。 </w:t>
      </w:r>
    </w:p>
    <w:p w14:paraId="3694C702">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2.2.5.4、供应商须配合采购人不定期到洗涤现场进行监督和检查。 </w:t>
      </w:r>
    </w:p>
    <w:p w14:paraId="6E871729">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2.2.5.5、在服务期内,对于采购人各科室针对被服洗涤质量的投诉或意见,供应商应及时作出响应并提出完善的整改措施,如须到现场解决问题的,负责人应在接到采购人通知后的一小时内到达现场。</w:t>
      </w:r>
    </w:p>
    <w:p w14:paraId="4C020A6C">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2.2.5.6、若因供应商的服务质量问题或失误给采购人造成利益损害的,供应商应当予以赔偿。采购人可定期组织供应商到各科室进行布草洗涤质量满意度调查，对各科室提出的问题，供应商应尽快拿出解决措施予以整改到位。</w:t>
      </w:r>
    </w:p>
    <w:p w14:paraId="345DF5F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2.2.5.7、在服务期内,如遇到不可抗力因素而导致出现服务能力缺失时,应及时通知采购人以确保采购人能及时作出应对措施。 </w:t>
      </w:r>
    </w:p>
    <w:p w14:paraId="34452EC7">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2.2.5.8、在服务期内,如遇到公共卫生突发事件及创文巩卫等工作，供应商无条件要按质按量完成采购方的布草洗涤工作，否则造成的一切后果由供应商负责，采购人原则上不再额外支付费用。</w:t>
      </w:r>
    </w:p>
    <w:p w14:paraId="31B15F48">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kern w:val="0"/>
          <w:sz w:val="24"/>
          <w:szCs w:val="24"/>
          <w:highlight w:val="none"/>
          <w:lang w:val="en-US" w:eastAsia="zh-CN"/>
        </w:rPr>
      </w:pPr>
      <w:r>
        <w:rPr>
          <w:rFonts w:hint="eastAsia" w:ascii="新宋体" w:hAnsi="新宋体" w:eastAsia="新宋体" w:cs="新宋体"/>
          <w:color w:val="auto"/>
          <w:kern w:val="0"/>
          <w:sz w:val="24"/>
          <w:szCs w:val="24"/>
          <w:highlight w:val="none"/>
        </w:rPr>
        <w:t>2.2.5.</w:t>
      </w:r>
      <w:r>
        <w:rPr>
          <w:rFonts w:hint="eastAsia" w:ascii="新宋体" w:hAnsi="新宋体" w:eastAsia="新宋体" w:cs="新宋体"/>
          <w:color w:val="auto"/>
          <w:kern w:val="0"/>
          <w:sz w:val="24"/>
          <w:szCs w:val="24"/>
          <w:highlight w:val="none"/>
          <w:lang w:val="en-US" w:eastAsia="zh-CN"/>
        </w:rPr>
        <w:t>9、布类洗涤降低机械破损，布类包装配送前需要检测、发现破损及时缝补，保证布类完整无破洞。</w:t>
      </w:r>
    </w:p>
    <w:p w14:paraId="23E4335F">
      <w:pPr>
        <w:keepNext w:val="0"/>
        <w:keepLines w:val="0"/>
        <w:pageBreakBefore w:val="0"/>
        <w:widowControl/>
        <w:wordWrap/>
        <w:overflowPunct/>
        <w:topLinePunct w:val="0"/>
        <w:autoSpaceDE w:val="0"/>
        <w:bidi w:val="0"/>
        <w:spacing w:line="360" w:lineRule="exact"/>
        <w:ind w:firstLine="480" w:firstLineChars="200"/>
        <w:jc w:val="left"/>
        <w:rPr>
          <w:rFonts w:hint="eastAsia" w:ascii="新宋体" w:hAnsi="新宋体" w:eastAsia="新宋体" w:cs="新宋体"/>
          <w:color w:val="auto"/>
          <w:highlight w:val="none"/>
          <w:lang w:val="en-US" w:eastAsia="zh-CN"/>
        </w:rPr>
      </w:pPr>
      <w:r>
        <w:rPr>
          <w:rFonts w:hint="eastAsia" w:ascii="新宋体" w:hAnsi="新宋体" w:eastAsia="新宋体" w:cs="新宋体"/>
          <w:color w:val="auto"/>
          <w:kern w:val="0"/>
          <w:sz w:val="24"/>
          <w:szCs w:val="24"/>
          <w:highlight w:val="none"/>
        </w:rPr>
        <w:t>2.2.5.</w:t>
      </w:r>
      <w:r>
        <w:rPr>
          <w:rFonts w:hint="eastAsia" w:ascii="新宋体" w:hAnsi="新宋体" w:eastAsia="新宋体" w:cs="新宋体"/>
          <w:color w:val="auto"/>
          <w:kern w:val="0"/>
          <w:sz w:val="24"/>
          <w:szCs w:val="24"/>
          <w:highlight w:val="none"/>
          <w:lang w:val="en-US" w:eastAsia="zh-CN"/>
        </w:rPr>
        <w:t>10、洗涤物品清洗后应无污渍、污垢，如有被药水污染，应照价赔偿；混洗时造成污迹未能洗干净需照价赔偿。</w:t>
      </w:r>
    </w:p>
    <w:p w14:paraId="575129DE">
      <w:pPr>
        <w:keepNext w:val="0"/>
        <w:keepLines w:val="0"/>
        <w:pageBreakBefore w:val="0"/>
        <w:widowControl/>
        <w:wordWrap/>
        <w:overflowPunct/>
        <w:topLinePunct w:val="0"/>
        <w:autoSpaceDE w:val="0"/>
        <w:bidi w:val="0"/>
        <w:spacing w:line="360" w:lineRule="exact"/>
        <w:ind w:firstLine="482" w:firstLineChars="200"/>
        <w:jc w:val="left"/>
        <w:rPr>
          <w:rFonts w:hint="eastAsia" w:ascii="新宋体" w:hAnsi="新宋体" w:eastAsia="新宋体" w:cs="新宋体"/>
          <w:b/>
          <w:bCs/>
          <w:color w:val="auto"/>
          <w:kern w:val="0"/>
          <w:sz w:val="24"/>
          <w:szCs w:val="24"/>
          <w:highlight w:val="none"/>
        </w:rPr>
      </w:pPr>
      <w:r>
        <w:rPr>
          <w:rFonts w:hint="eastAsia" w:ascii="新宋体" w:hAnsi="新宋体" w:eastAsia="新宋体" w:cs="新宋体"/>
          <w:b/>
          <w:bCs/>
          <w:color w:val="auto"/>
          <w:kern w:val="0"/>
          <w:sz w:val="24"/>
          <w:szCs w:val="24"/>
          <w:highlight w:val="none"/>
        </w:rPr>
        <w:t xml:space="preserve">3.服务考核及处罚方法 </w:t>
      </w:r>
    </w:p>
    <w:p w14:paraId="41BD7522">
      <w:pPr>
        <w:keepNext w:val="0"/>
        <w:keepLines w:val="0"/>
        <w:pageBreakBefore w:val="0"/>
        <w:wordWrap/>
        <w:overflowPunct/>
        <w:topLinePunct w:val="0"/>
        <w:autoSpaceDE w:val="0"/>
        <w:bidi w:val="0"/>
        <w:spacing w:line="360" w:lineRule="exact"/>
        <w:ind w:firstLine="482" w:firstLineChars="200"/>
        <w:rPr>
          <w:rFonts w:hint="eastAsia" w:ascii="新宋体" w:hAnsi="新宋体" w:eastAsia="新宋体" w:cs="新宋体"/>
          <w:b/>
          <w:color w:val="auto"/>
          <w:sz w:val="24"/>
          <w:szCs w:val="24"/>
          <w:highlight w:val="none"/>
        </w:rPr>
      </w:pPr>
      <w:r>
        <w:rPr>
          <w:rFonts w:hint="eastAsia" w:ascii="新宋体" w:hAnsi="新宋体" w:eastAsia="新宋体" w:cs="新宋体"/>
          <w:b/>
          <w:color w:val="auto"/>
          <w:sz w:val="24"/>
          <w:szCs w:val="24"/>
          <w:highlight w:val="none"/>
        </w:rPr>
        <w:t>3.1考核制度</w:t>
      </w:r>
    </w:p>
    <w:p w14:paraId="3EF82553">
      <w:pPr>
        <w:keepNext w:val="0"/>
        <w:keepLines w:val="0"/>
        <w:pageBreakBefore w:val="0"/>
        <w:wordWrap/>
        <w:overflowPunct/>
        <w:topLinePunct w:val="0"/>
        <w:autoSpaceDE w:val="0"/>
        <w:bidi w:val="0"/>
        <w:spacing w:line="360" w:lineRule="exact"/>
        <w:ind w:firstLine="480" w:firstLineChars="200"/>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为切实加强我院洗涤服务工作的长效管理工作，充分调动洗涤服务公司及员工的工作积极性，增强工作责任感，提高我院洗涤服务工作管理水平和服务水平，现制定我院洗涤服务工作考核办法（试行），通过对现场工作质量的检查，将考核结果和洗涤公司的月服务费用挂钩，当月的考核对应当月的服务费用。具体考核办法如下：</w:t>
      </w:r>
    </w:p>
    <w:tbl>
      <w:tblPr>
        <w:tblStyle w:val="8"/>
        <w:tblW w:w="9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817"/>
        <w:gridCol w:w="4394"/>
        <w:gridCol w:w="1276"/>
        <w:gridCol w:w="1134"/>
      </w:tblGrid>
      <w:tr w14:paraId="63C3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08ED998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序号</w:t>
            </w:r>
          </w:p>
        </w:tc>
        <w:tc>
          <w:tcPr>
            <w:tcW w:w="1817" w:type="dxa"/>
            <w:tcBorders>
              <w:top w:val="single" w:color="auto" w:sz="4" w:space="0"/>
              <w:left w:val="nil"/>
              <w:bottom w:val="single" w:color="auto" w:sz="4" w:space="0"/>
              <w:right w:val="single" w:color="auto" w:sz="4" w:space="0"/>
            </w:tcBorders>
            <w:vAlign w:val="center"/>
          </w:tcPr>
          <w:p w14:paraId="720C757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考核内容（100分）</w:t>
            </w:r>
          </w:p>
        </w:tc>
        <w:tc>
          <w:tcPr>
            <w:tcW w:w="4394" w:type="dxa"/>
            <w:tcBorders>
              <w:top w:val="single" w:color="auto" w:sz="4" w:space="0"/>
              <w:left w:val="nil"/>
              <w:bottom w:val="single" w:color="auto" w:sz="4" w:space="0"/>
              <w:right w:val="single" w:color="auto" w:sz="4" w:space="0"/>
            </w:tcBorders>
            <w:vAlign w:val="center"/>
          </w:tcPr>
          <w:p w14:paraId="52F6607C">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处罚扣分标准</w:t>
            </w:r>
          </w:p>
        </w:tc>
        <w:tc>
          <w:tcPr>
            <w:tcW w:w="1276" w:type="dxa"/>
            <w:tcBorders>
              <w:top w:val="single" w:color="auto" w:sz="4" w:space="0"/>
              <w:left w:val="nil"/>
              <w:bottom w:val="single" w:color="auto" w:sz="4" w:space="0"/>
              <w:right w:val="single" w:color="auto" w:sz="4" w:space="0"/>
            </w:tcBorders>
            <w:vAlign w:val="center"/>
          </w:tcPr>
          <w:p w14:paraId="3C69805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考核情况</w:t>
            </w:r>
          </w:p>
        </w:tc>
        <w:tc>
          <w:tcPr>
            <w:tcW w:w="1134" w:type="dxa"/>
            <w:tcBorders>
              <w:top w:val="single" w:color="auto" w:sz="4" w:space="0"/>
              <w:left w:val="nil"/>
              <w:bottom w:val="single" w:color="auto" w:sz="4" w:space="0"/>
              <w:right w:val="single" w:color="auto" w:sz="4" w:space="0"/>
            </w:tcBorders>
            <w:vAlign w:val="center"/>
          </w:tcPr>
          <w:p w14:paraId="018F2FC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当月扣分数</w:t>
            </w:r>
          </w:p>
        </w:tc>
      </w:tr>
      <w:tr w14:paraId="2E30B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46821AA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w:t>
            </w:r>
          </w:p>
        </w:tc>
        <w:tc>
          <w:tcPr>
            <w:tcW w:w="1817" w:type="dxa"/>
            <w:tcBorders>
              <w:top w:val="single" w:color="auto" w:sz="4" w:space="0"/>
              <w:left w:val="nil"/>
              <w:bottom w:val="single" w:color="auto" w:sz="4" w:space="0"/>
              <w:right w:val="single" w:color="auto" w:sz="4" w:space="0"/>
            </w:tcBorders>
            <w:vAlign w:val="center"/>
          </w:tcPr>
          <w:p w14:paraId="22D0F1C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项目负责人</w:t>
            </w:r>
          </w:p>
          <w:p w14:paraId="13A0C47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（5分）</w:t>
            </w:r>
          </w:p>
        </w:tc>
        <w:tc>
          <w:tcPr>
            <w:tcW w:w="4394" w:type="dxa"/>
            <w:tcBorders>
              <w:top w:val="single" w:color="auto" w:sz="4" w:space="0"/>
              <w:left w:val="nil"/>
              <w:bottom w:val="single" w:color="auto" w:sz="4" w:space="0"/>
              <w:right w:val="single" w:color="auto" w:sz="4" w:space="0"/>
            </w:tcBorders>
            <w:vAlign w:val="center"/>
          </w:tcPr>
          <w:p w14:paraId="3F530AB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根据是否及时响应采购人的服务需求的次数计分，未及时处理的每次扣1分，扣完为止。</w:t>
            </w:r>
          </w:p>
        </w:tc>
        <w:tc>
          <w:tcPr>
            <w:tcW w:w="1276" w:type="dxa"/>
            <w:tcBorders>
              <w:top w:val="single" w:color="auto" w:sz="4" w:space="0"/>
              <w:left w:val="nil"/>
              <w:bottom w:val="single" w:color="auto" w:sz="4" w:space="0"/>
              <w:right w:val="single" w:color="auto" w:sz="4" w:space="0"/>
            </w:tcBorders>
            <w:vAlign w:val="center"/>
          </w:tcPr>
          <w:p w14:paraId="0C85C5E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4821719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3F7B7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1F668FE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w:t>
            </w:r>
          </w:p>
        </w:tc>
        <w:tc>
          <w:tcPr>
            <w:tcW w:w="1817" w:type="dxa"/>
            <w:tcBorders>
              <w:top w:val="single" w:color="auto" w:sz="4" w:space="0"/>
              <w:left w:val="nil"/>
              <w:bottom w:val="single" w:color="auto" w:sz="4" w:space="0"/>
              <w:right w:val="single" w:color="auto" w:sz="4" w:space="0"/>
            </w:tcBorders>
            <w:vAlign w:val="center"/>
          </w:tcPr>
          <w:p w14:paraId="2AF763E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员工健康</w:t>
            </w:r>
          </w:p>
          <w:p w14:paraId="47F5758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（5分）</w:t>
            </w:r>
          </w:p>
        </w:tc>
        <w:tc>
          <w:tcPr>
            <w:tcW w:w="4394" w:type="dxa"/>
            <w:tcBorders>
              <w:top w:val="single" w:color="auto" w:sz="4" w:space="0"/>
              <w:left w:val="nil"/>
              <w:bottom w:val="single" w:color="auto" w:sz="4" w:space="0"/>
              <w:right w:val="single" w:color="auto" w:sz="4" w:space="0"/>
            </w:tcBorders>
            <w:vAlign w:val="center"/>
          </w:tcPr>
          <w:p w14:paraId="44FE501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现场检查发现员工未持证上岗（健康证），每发现一次扣1分，扣完为止。</w:t>
            </w:r>
          </w:p>
        </w:tc>
        <w:tc>
          <w:tcPr>
            <w:tcW w:w="1276" w:type="dxa"/>
            <w:tcBorders>
              <w:top w:val="single" w:color="auto" w:sz="4" w:space="0"/>
              <w:left w:val="nil"/>
              <w:bottom w:val="single" w:color="auto" w:sz="4" w:space="0"/>
              <w:right w:val="single" w:color="auto" w:sz="4" w:space="0"/>
            </w:tcBorders>
            <w:vAlign w:val="center"/>
          </w:tcPr>
          <w:p w14:paraId="76FFEB1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26B5B44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5E05E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18E94FF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3</w:t>
            </w:r>
          </w:p>
        </w:tc>
        <w:tc>
          <w:tcPr>
            <w:tcW w:w="1817" w:type="dxa"/>
            <w:tcBorders>
              <w:top w:val="single" w:color="auto" w:sz="4" w:space="0"/>
              <w:left w:val="nil"/>
              <w:bottom w:val="single" w:color="auto" w:sz="4" w:space="0"/>
              <w:right w:val="single" w:color="auto" w:sz="4" w:space="0"/>
            </w:tcBorders>
            <w:vAlign w:val="center"/>
          </w:tcPr>
          <w:p w14:paraId="2769DBC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工作人员服务态度</w:t>
            </w:r>
          </w:p>
          <w:p w14:paraId="0CFDC13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4922696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根据相关工作人员不配合采购人的现场监督检查、不服从指挥和服务态度差的情况，每发生一次投诉扣2分，扣完为止。</w:t>
            </w:r>
          </w:p>
        </w:tc>
        <w:tc>
          <w:tcPr>
            <w:tcW w:w="1276" w:type="dxa"/>
            <w:tcBorders>
              <w:top w:val="single" w:color="auto" w:sz="4" w:space="0"/>
              <w:left w:val="nil"/>
              <w:bottom w:val="single" w:color="auto" w:sz="4" w:space="0"/>
              <w:right w:val="single" w:color="auto" w:sz="4" w:space="0"/>
            </w:tcBorders>
            <w:vAlign w:val="center"/>
          </w:tcPr>
          <w:p w14:paraId="6BE1242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4B74E95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4C11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474BB4A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4</w:t>
            </w:r>
          </w:p>
        </w:tc>
        <w:tc>
          <w:tcPr>
            <w:tcW w:w="1817" w:type="dxa"/>
            <w:tcBorders>
              <w:top w:val="single" w:color="auto" w:sz="4" w:space="0"/>
              <w:left w:val="nil"/>
              <w:bottom w:val="single" w:color="auto" w:sz="4" w:space="0"/>
              <w:right w:val="single" w:color="auto" w:sz="4" w:space="0"/>
            </w:tcBorders>
            <w:vAlign w:val="center"/>
          </w:tcPr>
          <w:p w14:paraId="032118C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布草运输管理（10分）</w:t>
            </w:r>
          </w:p>
        </w:tc>
        <w:tc>
          <w:tcPr>
            <w:tcW w:w="4394" w:type="dxa"/>
            <w:tcBorders>
              <w:top w:val="single" w:color="auto" w:sz="4" w:space="0"/>
              <w:left w:val="nil"/>
              <w:bottom w:val="single" w:color="auto" w:sz="4" w:space="0"/>
              <w:right w:val="single" w:color="auto" w:sz="4" w:space="0"/>
            </w:tcBorders>
            <w:vAlign w:val="center"/>
          </w:tcPr>
          <w:p w14:paraId="742683F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根据各科室要求，满足当天运输次数，未满足次数的，每次扣2分，扣完为止。</w:t>
            </w:r>
          </w:p>
        </w:tc>
        <w:tc>
          <w:tcPr>
            <w:tcW w:w="1276" w:type="dxa"/>
            <w:tcBorders>
              <w:top w:val="single" w:color="auto" w:sz="4" w:space="0"/>
              <w:left w:val="nil"/>
              <w:bottom w:val="single" w:color="auto" w:sz="4" w:space="0"/>
              <w:right w:val="single" w:color="auto" w:sz="4" w:space="0"/>
            </w:tcBorders>
            <w:vAlign w:val="center"/>
          </w:tcPr>
          <w:p w14:paraId="797534B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6F2B3AB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7CBA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6D37F80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5</w:t>
            </w:r>
          </w:p>
        </w:tc>
        <w:tc>
          <w:tcPr>
            <w:tcW w:w="1817" w:type="dxa"/>
            <w:tcBorders>
              <w:top w:val="single" w:color="auto" w:sz="4" w:space="0"/>
              <w:left w:val="nil"/>
              <w:bottom w:val="single" w:color="auto" w:sz="4" w:space="0"/>
              <w:right w:val="single" w:color="auto" w:sz="4" w:space="0"/>
            </w:tcBorders>
            <w:vAlign w:val="center"/>
          </w:tcPr>
          <w:p w14:paraId="308ABF3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被服配送管理（15分）</w:t>
            </w:r>
          </w:p>
        </w:tc>
        <w:tc>
          <w:tcPr>
            <w:tcW w:w="4394" w:type="dxa"/>
            <w:tcBorders>
              <w:top w:val="single" w:color="auto" w:sz="4" w:space="0"/>
              <w:left w:val="nil"/>
              <w:bottom w:val="single" w:color="auto" w:sz="4" w:space="0"/>
              <w:right w:val="single" w:color="auto" w:sz="4" w:space="0"/>
            </w:tcBorders>
            <w:vAlign w:val="center"/>
          </w:tcPr>
          <w:p w14:paraId="7D59C0D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1.不依时配送或配送时不服从采购方工作人员指挥的每次扣3分。 2.发生丢失被服情况的，除了按本项目要求进行赔偿外，还须根据发生的次数，每次扣1分，以上2项总分15分，扣完为止。</w:t>
            </w:r>
          </w:p>
        </w:tc>
        <w:tc>
          <w:tcPr>
            <w:tcW w:w="1276" w:type="dxa"/>
            <w:tcBorders>
              <w:top w:val="single" w:color="auto" w:sz="4" w:space="0"/>
              <w:left w:val="nil"/>
              <w:bottom w:val="single" w:color="auto" w:sz="4" w:space="0"/>
              <w:right w:val="single" w:color="auto" w:sz="4" w:space="0"/>
            </w:tcBorders>
            <w:vAlign w:val="center"/>
          </w:tcPr>
          <w:p w14:paraId="45C2F05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18AA751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527F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298156B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6</w:t>
            </w:r>
          </w:p>
        </w:tc>
        <w:tc>
          <w:tcPr>
            <w:tcW w:w="1817" w:type="dxa"/>
            <w:vMerge w:val="restart"/>
            <w:tcBorders>
              <w:top w:val="nil"/>
              <w:left w:val="nil"/>
              <w:bottom w:val="single" w:color="auto" w:sz="4" w:space="0"/>
              <w:right w:val="single" w:color="auto" w:sz="4" w:space="0"/>
            </w:tcBorders>
            <w:vAlign w:val="center"/>
          </w:tcPr>
          <w:p w14:paraId="1AAE944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特殊要求</w:t>
            </w:r>
          </w:p>
          <w:p w14:paraId="20DBE6C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（10分）</w:t>
            </w:r>
          </w:p>
        </w:tc>
        <w:tc>
          <w:tcPr>
            <w:tcW w:w="4394" w:type="dxa"/>
            <w:vMerge w:val="restart"/>
            <w:tcBorders>
              <w:top w:val="nil"/>
              <w:left w:val="nil"/>
              <w:bottom w:val="single" w:color="auto" w:sz="4" w:space="0"/>
              <w:right w:val="single" w:color="auto" w:sz="4" w:space="0"/>
            </w:tcBorders>
            <w:vAlign w:val="center"/>
          </w:tcPr>
          <w:p w14:paraId="346B885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1.洗涤公司未将传染病人的医用被服物品和其他卫生防疫部门要求的特殊医用被服物品按相关规定完成初步消毒后分类洗涤，每次扣1分。2.</w:t>
            </w:r>
            <w:r>
              <w:rPr>
                <w:rFonts w:hint="eastAsia" w:ascii="新宋体" w:hAnsi="新宋体" w:eastAsia="新宋体" w:cs="新宋体"/>
                <w:color w:val="auto"/>
                <w:sz w:val="24"/>
                <w:szCs w:val="24"/>
                <w:highlight w:val="none"/>
              </w:rPr>
              <w:t xml:space="preserve"> </w:t>
            </w:r>
            <w:r>
              <w:rPr>
                <w:rFonts w:hint="eastAsia" w:ascii="新宋体" w:hAnsi="新宋体" w:eastAsia="新宋体" w:cs="新宋体"/>
                <w:color w:val="auto"/>
                <w:kern w:val="0"/>
                <w:sz w:val="24"/>
                <w:szCs w:val="24"/>
                <w:highlight w:val="none"/>
              </w:rPr>
              <w:t>洗涤公司及时应对突发应急情况能力未及时调度安排，</w:t>
            </w:r>
            <w:r>
              <w:rPr>
                <w:rFonts w:hint="eastAsia" w:ascii="新宋体" w:hAnsi="新宋体" w:eastAsia="新宋体" w:cs="新宋体"/>
                <w:color w:val="auto"/>
                <w:sz w:val="24"/>
                <w:szCs w:val="24"/>
                <w:highlight w:val="none"/>
              </w:rPr>
              <w:t>每次扣2分，以上2项目共10分，扣完为止。</w:t>
            </w:r>
          </w:p>
        </w:tc>
        <w:tc>
          <w:tcPr>
            <w:tcW w:w="1276" w:type="dxa"/>
            <w:vMerge w:val="restart"/>
            <w:tcBorders>
              <w:top w:val="nil"/>
              <w:left w:val="nil"/>
              <w:bottom w:val="single" w:color="auto" w:sz="4" w:space="0"/>
              <w:right w:val="single" w:color="auto" w:sz="4" w:space="0"/>
            </w:tcBorders>
            <w:vAlign w:val="center"/>
          </w:tcPr>
          <w:p w14:paraId="1CBA151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vMerge w:val="restart"/>
            <w:tcBorders>
              <w:top w:val="nil"/>
              <w:left w:val="nil"/>
              <w:bottom w:val="single" w:color="auto" w:sz="4" w:space="0"/>
              <w:right w:val="single" w:color="auto" w:sz="4" w:space="0"/>
            </w:tcBorders>
            <w:vAlign w:val="center"/>
          </w:tcPr>
          <w:p w14:paraId="7519D4AA">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160A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6A86C48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7</w:t>
            </w:r>
          </w:p>
        </w:tc>
        <w:tc>
          <w:tcPr>
            <w:tcW w:w="0" w:type="auto"/>
            <w:vMerge w:val="continue"/>
            <w:tcBorders>
              <w:top w:val="nil"/>
              <w:left w:val="nil"/>
              <w:bottom w:val="single" w:color="auto" w:sz="4" w:space="0"/>
              <w:right w:val="single" w:color="auto" w:sz="4" w:space="0"/>
            </w:tcBorders>
            <w:vAlign w:val="center"/>
          </w:tcPr>
          <w:p w14:paraId="440497F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3FAAC83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0ED09B0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c>
          <w:tcPr>
            <w:tcW w:w="0" w:type="auto"/>
            <w:vMerge w:val="continue"/>
            <w:tcBorders>
              <w:top w:val="nil"/>
              <w:left w:val="nil"/>
              <w:bottom w:val="single" w:color="auto" w:sz="4" w:space="0"/>
              <w:right w:val="single" w:color="auto" w:sz="4" w:space="0"/>
            </w:tcBorders>
            <w:vAlign w:val="center"/>
          </w:tcPr>
          <w:p w14:paraId="2CDA28F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p>
        </w:tc>
      </w:tr>
      <w:tr w14:paraId="5AFD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3EC4CA5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8</w:t>
            </w:r>
          </w:p>
        </w:tc>
        <w:tc>
          <w:tcPr>
            <w:tcW w:w="1817" w:type="dxa"/>
            <w:tcBorders>
              <w:top w:val="single" w:color="auto" w:sz="4" w:space="0"/>
              <w:left w:val="nil"/>
              <w:bottom w:val="single" w:color="auto" w:sz="4" w:space="0"/>
              <w:right w:val="single" w:color="auto" w:sz="4" w:space="0"/>
            </w:tcBorders>
            <w:vAlign w:val="center"/>
          </w:tcPr>
          <w:p w14:paraId="0C11366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洗涤质量</w:t>
            </w:r>
          </w:p>
          <w:p w14:paraId="3C29F91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（25分）</w:t>
            </w:r>
          </w:p>
        </w:tc>
        <w:tc>
          <w:tcPr>
            <w:tcW w:w="4394" w:type="dxa"/>
            <w:tcBorders>
              <w:top w:val="single" w:color="auto" w:sz="4" w:space="0"/>
              <w:left w:val="nil"/>
              <w:bottom w:val="single" w:color="auto" w:sz="4" w:space="0"/>
              <w:right w:val="single" w:color="auto" w:sz="4" w:space="0"/>
            </w:tcBorders>
            <w:vAlign w:val="center"/>
          </w:tcPr>
          <w:p w14:paraId="5D6BA8E1">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1、不符合采购要求，经洗涤后仍有明显污渍，发生复洗情况的，每出现一次不超过当批次数量10%的情况下，扣1分，达到或超过10%的的情况的，扣3分。</w:t>
            </w:r>
          </w:p>
          <w:p w14:paraId="31BAF589">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2.没有按采购要求，对有修补价值的破损被服未进行修补的，每次扣1分。</w:t>
            </w:r>
          </w:p>
          <w:p w14:paraId="7A19C982">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3、因洗涤服务质量问题或失误等造成有效投诉的，情况属实每次扣2分并承担全额赔偿责任。</w:t>
            </w:r>
          </w:p>
          <w:p w14:paraId="0084F68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 xml:space="preserve"> 4、经洗涤后，没有按采购要求对被服进行烫平，有明显褶皱的，每次扣1分。</w:t>
            </w:r>
          </w:p>
          <w:p w14:paraId="675F15C6">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以上4项总分25分，扣完为止。</w:t>
            </w:r>
          </w:p>
        </w:tc>
        <w:tc>
          <w:tcPr>
            <w:tcW w:w="1276" w:type="dxa"/>
            <w:tcBorders>
              <w:top w:val="single" w:color="auto" w:sz="4" w:space="0"/>
              <w:left w:val="nil"/>
              <w:bottom w:val="single" w:color="auto" w:sz="4" w:space="0"/>
              <w:right w:val="single" w:color="auto" w:sz="4" w:space="0"/>
            </w:tcBorders>
            <w:vAlign w:val="center"/>
          </w:tcPr>
          <w:p w14:paraId="763FF794">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674A002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AD59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5A7EEE40">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9</w:t>
            </w:r>
          </w:p>
        </w:tc>
        <w:tc>
          <w:tcPr>
            <w:tcW w:w="1817" w:type="dxa"/>
            <w:tcBorders>
              <w:top w:val="single" w:color="auto" w:sz="4" w:space="0"/>
              <w:left w:val="nil"/>
              <w:bottom w:val="single" w:color="auto" w:sz="4" w:space="0"/>
              <w:right w:val="single" w:color="auto" w:sz="4" w:space="0"/>
            </w:tcBorders>
            <w:vAlign w:val="center"/>
          </w:tcPr>
          <w:p w14:paraId="2CE678C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利益损害</w:t>
            </w:r>
          </w:p>
          <w:p w14:paraId="650743B7">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4D14906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因服务质量问题或失误造成采购人利益损害的，每次扣2分并承担赔偿责任，扣完为止。</w:t>
            </w:r>
          </w:p>
        </w:tc>
        <w:tc>
          <w:tcPr>
            <w:tcW w:w="1276" w:type="dxa"/>
            <w:tcBorders>
              <w:top w:val="single" w:color="auto" w:sz="4" w:space="0"/>
              <w:left w:val="nil"/>
              <w:bottom w:val="single" w:color="auto" w:sz="4" w:space="0"/>
              <w:right w:val="single" w:color="auto" w:sz="4" w:space="0"/>
            </w:tcBorders>
            <w:vAlign w:val="center"/>
          </w:tcPr>
          <w:p w14:paraId="460F2383">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5DCDCC5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DE78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Borders>
              <w:top w:val="single" w:color="auto" w:sz="4" w:space="0"/>
              <w:left w:val="single" w:color="auto" w:sz="4" w:space="0"/>
              <w:bottom w:val="single" w:color="auto" w:sz="4" w:space="0"/>
              <w:right w:val="single" w:color="auto" w:sz="4" w:space="0"/>
            </w:tcBorders>
            <w:vAlign w:val="center"/>
          </w:tcPr>
          <w:p w14:paraId="3A6C8065">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w:t>
            </w:r>
          </w:p>
        </w:tc>
        <w:tc>
          <w:tcPr>
            <w:tcW w:w="1817" w:type="dxa"/>
            <w:tcBorders>
              <w:top w:val="single" w:color="auto" w:sz="4" w:space="0"/>
              <w:left w:val="nil"/>
              <w:bottom w:val="single" w:color="auto" w:sz="4" w:space="0"/>
              <w:right w:val="single" w:color="auto" w:sz="4" w:space="0"/>
            </w:tcBorders>
            <w:vAlign w:val="center"/>
          </w:tcPr>
          <w:p w14:paraId="6F1B843C">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遵守纪律</w:t>
            </w:r>
          </w:p>
          <w:p w14:paraId="4507E15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（10分）</w:t>
            </w:r>
          </w:p>
        </w:tc>
        <w:tc>
          <w:tcPr>
            <w:tcW w:w="4394" w:type="dxa"/>
            <w:tcBorders>
              <w:top w:val="single" w:color="auto" w:sz="4" w:space="0"/>
              <w:left w:val="nil"/>
              <w:bottom w:val="single" w:color="auto" w:sz="4" w:space="0"/>
              <w:right w:val="single" w:color="auto" w:sz="4" w:space="0"/>
            </w:tcBorders>
            <w:vAlign w:val="center"/>
          </w:tcPr>
          <w:p w14:paraId="3AFC71B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工作人员在服务过程中，未经允许情况下不得随意出入医护人员办公室，违反一次扣2分，扣完为止。</w:t>
            </w:r>
          </w:p>
        </w:tc>
        <w:tc>
          <w:tcPr>
            <w:tcW w:w="1276" w:type="dxa"/>
            <w:tcBorders>
              <w:top w:val="single" w:color="auto" w:sz="4" w:space="0"/>
              <w:left w:val="nil"/>
              <w:bottom w:val="single" w:color="auto" w:sz="4" w:space="0"/>
              <w:right w:val="single" w:color="auto" w:sz="4" w:space="0"/>
            </w:tcBorders>
            <w:vAlign w:val="center"/>
          </w:tcPr>
          <w:p w14:paraId="7A2B5F20">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7726BD3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2D89F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3A2A6D9D">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11</w:t>
            </w:r>
          </w:p>
        </w:tc>
        <w:tc>
          <w:tcPr>
            <w:tcW w:w="1817" w:type="dxa"/>
            <w:tcBorders>
              <w:top w:val="single" w:color="auto" w:sz="4" w:space="0"/>
              <w:left w:val="nil"/>
              <w:bottom w:val="single" w:color="auto" w:sz="4" w:space="0"/>
              <w:right w:val="single" w:color="auto" w:sz="4" w:space="0"/>
            </w:tcBorders>
            <w:vAlign w:val="center"/>
          </w:tcPr>
          <w:p w14:paraId="72C25A6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当月总得分</w:t>
            </w:r>
          </w:p>
        </w:tc>
        <w:tc>
          <w:tcPr>
            <w:tcW w:w="4394" w:type="dxa"/>
            <w:tcBorders>
              <w:top w:val="single" w:color="auto" w:sz="4" w:space="0"/>
              <w:left w:val="nil"/>
              <w:bottom w:val="single" w:color="auto" w:sz="4" w:space="0"/>
              <w:right w:val="single" w:color="auto" w:sz="4" w:space="0"/>
            </w:tcBorders>
            <w:vAlign w:val="center"/>
          </w:tcPr>
          <w:p w14:paraId="7E84DF28">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textAlignment w:val="baseline"/>
              <w:rPr>
                <w:rFonts w:hint="eastAsia" w:ascii="新宋体" w:hAnsi="新宋体" w:eastAsia="新宋体" w:cs="新宋体"/>
                <w:color w:val="auto"/>
                <w:sz w:val="24"/>
                <w:szCs w:val="24"/>
                <w:highlight w:val="none"/>
              </w:rPr>
            </w:pPr>
          </w:p>
        </w:tc>
        <w:tc>
          <w:tcPr>
            <w:tcW w:w="1276" w:type="dxa"/>
            <w:tcBorders>
              <w:top w:val="single" w:color="auto" w:sz="4" w:space="0"/>
              <w:left w:val="nil"/>
              <w:bottom w:val="single" w:color="auto" w:sz="4" w:space="0"/>
              <w:right w:val="single" w:color="auto" w:sz="4" w:space="0"/>
            </w:tcBorders>
            <w:vAlign w:val="center"/>
          </w:tcPr>
          <w:p w14:paraId="17FF374B">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c>
          <w:tcPr>
            <w:tcW w:w="1134" w:type="dxa"/>
            <w:tcBorders>
              <w:top w:val="single" w:color="auto" w:sz="4" w:space="0"/>
              <w:left w:val="nil"/>
              <w:bottom w:val="single" w:color="auto" w:sz="4" w:space="0"/>
              <w:right w:val="single" w:color="auto" w:sz="4" w:space="0"/>
            </w:tcBorders>
            <w:vAlign w:val="center"/>
          </w:tcPr>
          <w:p w14:paraId="27D6984E">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center"/>
              <w:textAlignment w:val="baseline"/>
              <w:rPr>
                <w:rFonts w:hint="eastAsia" w:ascii="新宋体" w:hAnsi="新宋体" w:eastAsia="新宋体" w:cs="新宋体"/>
                <w:color w:val="auto"/>
                <w:sz w:val="24"/>
                <w:szCs w:val="24"/>
                <w:highlight w:val="none"/>
              </w:rPr>
            </w:pPr>
          </w:p>
        </w:tc>
      </w:tr>
      <w:tr w14:paraId="670A7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9296" w:type="dxa"/>
            <w:gridSpan w:val="5"/>
            <w:tcBorders>
              <w:top w:val="single" w:color="auto" w:sz="4" w:space="0"/>
              <w:left w:val="single" w:color="auto" w:sz="4" w:space="0"/>
              <w:bottom w:val="single" w:color="auto" w:sz="4" w:space="0"/>
              <w:right w:val="single" w:color="auto" w:sz="4" w:space="0"/>
            </w:tcBorders>
            <w:vAlign w:val="center"/>
          </w:tcPr>
          <w:p w14:paraId="2CC6ACEA">
            <w:pPr>
              <w:pStyle w:val="7"/>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exact"/>
              <w:ind w:firstLine="0" w:firstLineChars="0"/>
              <w:textAlignment w:val="baseline"/>
              <w:rPr>
                <w:rFonts w:hint="eastAsia" w:ascii="新宋体" w:hAnsi="新宋体" w:eastAsia="新宋体" w:cs="新宋体"/>
                <w:bCs/>
                <w:color w:val="auto"/>
                <w:kern w:val="44"/>
                <w:sz w:val="24"/>
                <w:szCs w:val="24"/>
                <w:highlight w:val="none"/>
              </w:rPr>
            </w:pPr>
            <w:bookmarkStart w:id="2" w:name="_Toc83241304"/>
            <w:r>
              <w:rPr>
                <w:rFonts w:hint="eastAsia" w:ascii="新宋体" w:hAnsi="新宋体" w:eastAsia="新宋体" w:cs="新宋体"/>
                <w:color w:val="auto"/>
                <w:kern w:val="44"/>
                <w:sz w:val="24"/>
                <w:szCs w:val="24"/>
                <w:highlight w:val="none"/>
              </w:rPr>
              <w:t>总分（100分）考核结果：优≥95分；良85分-90分；合格80分-85分；不合格</w:t>
            </w:r>
            <w:bookmarkEnd w:id="2"/>
            <w:r>
              <w:rPr>
                <w:rFonts w:hint="eastAsia" w:ascii="新宋体" w:hAnsi="新宋体" w:eastAsia="新宋体" w:cs="新宋体"/>
                <w:color w:val="auto"/>
                <w:kern w:val="44"/>
                <w:sz w:val="24"/>
                <w:szCs w:val="24"/>
                <w:highlight w:val="none"/>
                <w:shd w:val="clear" w:color="auto" w:fill="FFFFFF"/>
              </w:rPr>
              <w:t>＜80分以下。</w:t>
            </w:r>
          </w:p>
        </w:tc>
      </w:tr>
      <w:tr w14:paraId="5089E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296" w:type="dxa"/>
            <w:gridSpan w:val="5"/>
            <w:tcBorders>
              <w:top w:val="single" w:color="auto" w:sz="4" w:space="0"/>
              <w:left w:val="single" w:color="auto" w:sz="4" w:space="0"/>
              <w:bottom w:val="single" w:color="auto" w:sz="4" w:space="0"/>
              <w:right w:val="single" w:color="auto" w:sz="4" w:space="0"/>
            </w:tcBorders>
            <w:vAlign w:val="center"/>
          </w:tcPr>
          <w:p w14:paraId="58BA675F">
            <w:pPr>
              <w:keepNext w:val="0"/>
              <w:keepLines w:val="0"/>
              <w:pageBreakBefore w:val="0"/>
              <w:widowControl/>
              <w:kinsoku w:val="0"/>
              <w:wordWrap/>
              <w:overflowPunct/>
              <w:topLinePunct w:val="0"/>
              <w:autoSpaceDE w:val="0"/>
              <w:autoSpaceDN w:val="0"/>
              <w:bidi w:val="0"/>
              <w:adjustRightInd w:val="0"/>
              <w:snapToGrid w:val="0"/>
              <w:spacing w:line="360" w:lineRule="exact"/>
              <w:ind w:firstLine="0" w:firstLineChars="0"/>
              <w:jc w:val="left"/>
              <w:textAlignment w:val="baseline"/>
              <w:rPr>
                <w:rFonts w:hint="eastAsia" w:ascii="新宋体" w:hAnsi="新宋体" w:eastAsia="新宋体" w:cs="新宋体"/>
                <w:color w:val="auto"/>
                <w:sz w:val="24"/>
                <w:szCs w:val="24"/>
                <w:highlight w:val="none"/>
              </w:rPr>
            </w:pPr>
            <w:r>
              <w:rPr>
                <w:rFonts w:hint="eastAsia" w:ascii="新宋体" w:hAnsi="新宋体" w:eastAsia="新宋体" w:cs="新宋体"/>
                <w:color w:val="auto"/>
                <w:sz w:val="24"/>
                <w:szCs w:val="24"/>
                <w:highlight w:val="none"/>
              </w:rPr>
              <w:t>监管部门（签字）：                           洗涤公司负责人（签字）：</w:t>
            </w:r>
          </w:p>
        </w:tc>
      </w:tr>
    </w:tbl>
    <w:p w14:paraId="2F94949E">
      <w:pPr>
        <w:keepNext w:val="0"/>
        <w:keepLines w:val="0"/>
        <w:pageBreakBefore w:val="0"/>
        <w:wordWrap/>
        <w:overflowPunct/>
        <w:topLinePunct w:val="0"/>
        <w:autoSpaceDE w:val="0"/>
        <w:autoSpaceDN w:val="0"/>
        <w:bidi w:val="0"/>
        <w:adjustRightInd w:val="0"/>
        <w:spacing w:line="360" w:lineRule="exact"/>
        <w:ind w:firstLine="482" w:firstLineChars="200"/>
        <w:rPr>
          <w:rFonts w:hint="eastAsia" w:ascii="新宋体" w:hAnsi="新宋体" w:eastAsia="新宋体" w:cs="新宋体"/>
          <w:b/>
          <w:color w:val="auto"/>
          <w:sz w:val="24"/>
          <w:szCs w:val="24"/>
          <w:highlight w:val="none"/>
        </w:rPr>
      </w:pPr>
      <w:r>
        <w:rPr>
          <w:rFonts w:hint="eastAsia" w:ascii="新宋体" w:hAnsi="新宋体" w:eastAsia="新宋体" w:cs="新宋体"/>
          <w:b/>
          <w:color w:val="auto"/>
          <w:sz w:val="24"/>
          <w:szCs w:val="24"/>
          <w:highlight w:val="none"/>
        </w:rPr>
        <w:t xml:space="preserve">    3.2考核原则</w:t>
      </w:r>
    </w:p>
    <w:p w14:paraId="634ACBBE">
      <w:pPr>
        <w:keepNext w:val="0"/>
        <w:keepLines w:val="0"/>
        <w:pageBreakBefore w:val="0"/>
        <w:widowControl/>
        <w:wordWrap/>
        <w:overflowPunct/>
        <w:topLinePunct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采购人根据以上内容进行每月考核，考核结果与当月服务费直接挂钩。 </w:t>
      </w:r>
    </w:p>
    <w:p w14:paraId="68FAF164">
      <w:pPr>
        <w:keepNext w:val="0"/>
        <w:keepLines w:val="0"/>
        <w:pageBreakBefore w:val="0"/>
        <w:widowControl/>
        <w:wordWrap/>
        <w:overflowPunct/>
        <w:topLinePunct w:val="0"/>
        <w:bidi w:val="0"/>
        <w:spacing w:line="360" w:lineRule="exact"/>
        <w:ind w:firstLine="480" w:firstLineChars="200"/>
        <w:jc w:val="left"/>
        <w:rPr>
          <w:rFonts w:hint="eastAsia" w:ascii="新宋体" w:hAnsi="新宋体" w:eastAsia="新宋体" w:cs="新宋体"/>
          <w:color w:val="auto"/>
          <w:kern w:val="0"/>
          <w:sz w:val="24"/>
          <w:szCs w:val="24"/>
          <w:highlight w:val="none"/>
        </w:rPr>
      </w:pPr>
      <w:r>
        <w:rPr>
          <w:rFonts w:hint="eastAsia" w:ascii="新宋体" w:hAnsi="新宋体" w:eastAsia="新宋体" w:cs="新宋体"/>
          <w:color w:val="auto"/>
          <w:kern w:val="0"/>
          <w:sz w:val="24"/>
          <w:szCs w:val="24"/>
          <w:highlight w:val="none"/>
        </w:rPr>
        <w:t xml:space="preserve">3.2.1、考核总分值为 100 分。在考核中，如得分达 80 分为合格，不足 80 分的则为不合格。 </w:t>
      </w:r>
    </w:p>
    <w:p w14:paraId="260D3724">
      <w:pPr>
        <w:pStyle w:val="4"/>
        <w:keepNext w:val="0"/>
        <w:keepLines w:val="0"/>
        <w:pageBreakBefore w:val="0"/>
        <w:tabs>
          <w:tab w:val="left" w:pos="720"/>
        </w:tabs>
        <w:wordWrap/>
        <w:overflowPunct/>
        <w:topLinePunct w:val="0"/>
        <w:bidi w:val="0"/>
        <w:spacing w:before="0" w:beforeAutospacing="0" w:after="0" w:line="360" w:lineRule="exact"/>
        <w:ind w:left="0" w:leftChars="0" w:firstLine="480" w:firstLineChars="200"/>
        <w:jc w:val="left"/>
        <w:rPr>
          <w:rFonts w:hint="eastAsia" w:ascii="新宋体" w:hAnsi="新宋体" w:eastAsia="新宋体" w:cs="新宋体"/>
          <w:color w:val="auto"/>
          <w:sz w:val="24"/>
          <w:szCs w:val="24"/>
          <w:highlight w:val="none"/>
        </w:rPr>
      </w:pPr>
      <w:r>
        <w:rPr>
          <w:rFonts w:hint="eastAsia" w:ascii="新宋体" w:hAnsi="新宋体" w:eastAsia="新宋体" w:cs="新宋体"/>
          <w:color w:val="auto"/>
          <w:kern w:val="0"/>
          <w:sz w:val="24"/>
          <w:szCs w:val="24"/>
          <w:highlight w:val="none"/>
        </w:rPr>
        <w:t>3.2.2、如供应商在当月考核中，</w:t>
      </w:r>
      <w:r>
        <w:rPr>
          <w:rFonts w:hint="eastAsia" w:ascii="新宋体" w:hAnsi="新宋体" w:eastAsia="新宋体" w:cs="新宋体"/>
          <w:color w:val="auto"/>
          <w:sz w:val="24"/>
          <w:szCs w:val="24"/>
          <w:highlight w:val="none"/>
        </w:rPr>
        <w:t>平均分达到90分（含）以上按全额支付月服务费，平均分低于90分（不含），每一分扣罚100元，并要求限期整改；</w:t>
      </w:r>
      <w:r>
        <w:rPr>
          <w:rFonts w:hint="eastAsia" w:ascii="新宋体" w:hAnsi="新宋体" w:eastAsia="新宋体" w:cs="新宋体"/>
          <w:color w:val="auto"/>
          <w:kern w:val="0"/>
          <w:sz w:val="24"/>
          <w:szCs w:val="24"/>
          <w:highlight w:val="none"/>
        </w:rPr>
        <w:t>得分为不合格的，采购人有权扣除当月服务费总额的10%；合同期内累计 3 次以上考核不合格或连续2次考核不合格的,采购方有权终止本项目服务合同，一切后果由供应商自负。</w:t>
      </w:r>
    </w:p>
    <w:p w14:paraId="0C85A9D4">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新宋体" w:hAnsi="新宋体" w:eastAsia="新宋体" w:cs="新宋体"/>
          <w:color w:val="auto"/>
          <w:lang w:eastAsia="zh-CN"/>
        </w:rPr>
      </w:pPr>
      <w:r>
        <w:rPr>
          <w:rFonts w:hint="eastAsia" w:ascii="新宋体" w:hAnsi="新宋体" w:eastAsia="新宋体" w:cs="新宋体"/>
          <w:color w:val="auto"/>
          <w:kern w:val="0"/>
          <w:sz w:val="24"/>
          <w:szCs w:val="24"/>
          <w:highlight w:val="none"/>
        </w:rPr>
        <w:t>3.2.3、每月的考核结果由采购人在每月终了后的一周内以书面方式通知供应商，供应商应对相关的结果进行确认。如供应商对考核结果有异议的，应在收到通知后的两个工作日内以书面形式向采购人提出并举证</w:t>
      </w:r>
      <w:r>
        <w:rPr>
          <w:rFonts w:hint="eastAsia" w:ascii="新宋体" w:hAnsi="新宋体" w:eastAsia="新宋体" w:cs="新宋体"/>
          <w:color w:val="auto"/>
          <w:kern w:val="0"/>
          <w:sz w:val="24"/>
          <w:szCs w:val="24"/>
          <w:highlight w:val="none"/>
          <w:lang w:eastAsia="zh-CN"/>
        </w:rPr>
        <w:t>。</w:t>
      </w:r>
    </w:p>
    <w:p w14:paraId="66EBD70A">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D56B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6">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ind w:firstLine="420" w:firstLineChars="100"/>
    </w:pPr>
  </w:style>
  <w:style w:type="paragraph" w:styleId="3">
    <w:name w:val="Body Text"/>
    <w:basedOn w:val="1"/>
    <w:next w:val="2"/>
    <w:qFormat/>
    <w:uiPriority w:val="0"/>
    <w:rPr>
      <w:rFonts w:ascii="仿宋" w:hAnsi="仿宋" w:eastAsia="仿宋" w:cs="仿宋"/>
      <w:sz w:val="30"/>
      <w:szCs w:val="30"/>
    </w:rPr>
  </w:style>
  <w:style w:type="paragraph" w:styleId="4">
    <w:name w:val="Body Text First Indent 2"/>
    <w:basedOn w:val="5"/>
    <w:qFormat/>
    <w:uiPriority w:val="0"/>
    <w:pPr>
      <w:ind w:firstLine="420"/>
    </w:pPr>
  </w:style>
  <w:style w:type="paragraph" w:styleId="5">
    <w:name w:val="Body Text Indent"/>
    <w:basedOn w:val="1"/>
    <w:next w:val="4"/>
    <w:unhideWhenUsed/>
    <w:qFormat/>
    <w:uiPriority w:val="99"/>
    <w:pPr>
      <w:spacing w:after="120"/>
      <w:ind w:left="420" w:leftChars="200"/>
    </w:pPr>
    <w:rPr>
      <w:rFonts w:eastAsia="微软雅黑"/>
      <w:kern w:val="0"/>
      <w:sz w:val="24"/>
      <w:szCs w:val="20"/>
    </w:rPr>
  </w:style>
  <w:style w:type="paragraph" w:styleId="7">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2026-05-19T10:05:26Z</dcterms:created>
  <dc:creator>Administrator</dc:creator>
  <cp:lastModifiedBy>Administrator</cp:lastModifiedBy>
  <dcterms:modified xsi:type="dcterms:W3CDTF">2026-05-19T10:05:47Z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KSOTemplateDocerSaveRecord">
    <vt:lpwstr>eyJoZGlkIjoiYzZkMTVkMTc2OTExZjg2ZGM1OWU1ODU0ZGUzZmNmYmEiLCJ1c2VySWQiOiIyOTE4NDEzNzMifQ==</vt:lpwstr>
  </property>
  <property fmtid="{D5CDD505-2E9C-101B-9397-08002B2CF9AE}" pid="4" name="ICV">
    <vt:lpwstr>6302E62F620149E2A369F13D2254B5C7_12</vt:lpwstr>
  </property>
</Properties>
</file>