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2C67C0">
      <w:pPr>
        <w:pageBreakBefore w:val="0"/>
        <w:widowControl w:val="0"/>
        <w:wordWrap/>
        <w:overflowPunct/>
        <w:topLinePunct w:val="0"/>
        <w:bidi w:val="0"/>
        <w:spacing w:before="47" w:line="219" w:lineRule="auto"/>
        <w:jc w:val="center"/>
        <w:outlineLvl w:val="1"/>
        <w:rPr>
          <w:rFonts w:ascii="宋体" w:hAnsi="宋体" w:eastAsia="宋体" w:cs="宋体"/>
          <w:color w:val="auto"/>
          <w:spacing w:val="-2"/>
          <w:sz w:val="52"/>
          <w:szCs w:val="52"/>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2"/>
          <w:sz w:val="52"/>
          <w:szCs w:val="52"/>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52"/>
          <w:szCs w:val="52"/>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52"/>
          <w:szCs w:val="52"/>
          <w:highlight w:val="none"/>
          <w14:textOutline w14:w="4356" w14:cap="sq" w14:cmpd="sng" w14:algn="ctr">
            <w14:solidFill>
              <w14:srgbClr w14:val="000000"/>
            </w14:solidFill>
            <w14:prstDash w14:val="solid"/>
            <w14:bevel/>
          </w14:textOutline>
        </w:rPr>
        <w:t>求</w:t>
      </w:r>
    </w:p>
    <w:p w14:paraId="65FACE62">
      <w:pPr>
        <w:pageBreakBefore w:val="0"/>
        <w:widowControl w:val="0"/>
        <w:wordWrap/>
        <w:overflowPunct/>
        <w:topLinePunct w:val="0"/>
        <w:bidi w:val="0"/>
        <w:spacing w:before="47" w:line="219" w:lineRule="auto"/>
        <w:jc w:val="both"/>
        <w:outlineLvl w:val="1"/>
        <w:rPr>
          <w:rFonts w:ascii="宋体" w:hAnsi="宋体" w:eastAsia="宋体" w:cs="宋体"/>
          <w:color w:val="auto"/>
          <w:spacing w:val="-2"/>
          <w:sz w:val="52"/>
          <w:szCs w:val="52"/>
          <w:highlight w:val="none"/>
          <w14:textOutline w14:w="4356" w14:cap="sq" w14:cmpd="sng" w14:algn="ctr">
            <w14:solidFill>
              <w14:srgbClr w14:val="000000"/>
            </w14:solidFill>
            <w14:prstDash w14:val="solid"/>
            <w14:bevel/>
          </w14:textOutline>
        </w:rPr>
      </w:pPr>
    </w:p>
    <w:p w14:paraId="5C110875">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p w14:paraId="1DA051DA">
      <w:pPr>
        <w:pageBreakBefore w:val="0"/>
        <w:widowControl w:val="0"/>
        <w:wordWrap/>
        <w:overflowPunct/>
        <w:topLinePunct w:val="0"/>
        <w:bidi w:val="0"/>
        <w:spacing w:line="242" w:lineRule="auto"/>
        <w:rPr>
          <w:color w:val="auto"/>
          <w:spacing w:val="0"/>
          <w:w w:val="100"/>
          <w:position w:val="0"/>
        </w:rPr>
      </w:pPr>
    </w:p>
    <w:tbl>
      <w:tblPr>
        <w:tblStyle w:val="5"/>
        <w:tblpPr w:leftFromText="180" w:rightFromText="180" w:vertAnchor="text" w:horzAnchor="page" w:tblpX="1502" w:tblpY="94"/>
        <w:tblOverlap w:val="never"/>
        <w:tblW w:w="97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7"/>
        <w:gridCol w:w="1715"/>
        <w:gridCol w:w="2890"/>
        <w:gridCol w:w="705"/>
        <w:gridCol w:w="1088"/>
        <w:gridCol w:w="1334"/>
        <w:gridCol w:w="1377"/>
      </w:tblGrid>
      <w:tr w14:paraId="11A45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9796" w:type="dxa"/>
            <w:gridSpan w:val="7"/>
            <w:tcBorders>
              <w:top w:val="single" w:color="000000" w:sz="8" w:space="0"/>
              <w:left w:val="single" w:color="000000" w:sz="8" w:space="0"/>
              <w:bottom w:val="single" w:color="000000" w:sz="8" w:space="0"/>
              <w:right w:val="single" w:color="000000" w:sz="8" w:space="0"/>
            </w:tcBorders>
            <w:shd w:val="clear" w:color="FFFFFF" w:fill="FFFFFF"/>
            <w:vAlign w:val="center"/>
          </w:tcPr>
          <w:p w14:paraId="05C3CB0A">
            <w:pPr>
              <w:pageBreakBefore w:val="0"/>
              <w:widowControl w:val="0"/>
              <w:tabs>
                <w:tab w:val="left" w:pos="5777"/>
              </w:tabs>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b/>
                <w:bCs/>
                <w:color w:val="auto"/>
                <w:spacing w:val="0"/>
                <w:w w:val="100"/>
                <w:position w:val="0"/>
                <w:sz w:val="36"/>
                <w:szCs w:val="36"/>
                <w:lang w:val="en-US" w:eastAsia="zh-CN"/>
              </w:rPr>
              <w:t>主材设备表</w:t>
            </w:r>
          </w:p>
        </w:tc>
      </w:tr>
      <w:tr w14:paraId="1FF02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687" w:type="dxa"/>
            <w:tcBorders>
              <w:top w:val="single" w:color="000000" w:sz="8" w:space="0"/>
              <w:left w:val="single" w:color="000000" w:sz="8" w:space="0"/>
              <w:bottom w:val="single" w:color="000000" w:sz="8" w:space="0"/>
              <w:right w:val="single" w:color="000000" w:sz="4" w:space="0"/>
            </w:tcBorders>
            <w:shd w:val="clear" w:color="FFFFFF" w:fill="FFFFFF"/>
            <w:vAlign w:val="center"/>
          </w:tcPr>
          <w:p w14:paraId="455AC0EB">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lang w:eastAsia="zh-CN"/>
              </w:rPr>
              <w:t>序号</w:t>
            </w:r>
          </w:p>
        </w:tc>
        <w:tc>
          <w:tcPr>
            <w:tcW w:w="171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310A8FB8">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lang w:eastAsia="zh-CN"/>
              </w:rPr>
              <w:t>编码</w:t>
            </w:r>
          </w:p>
        </w:tc>
        <w:tc>
          <w:tcPr>
            <w:tcW w:w="2890"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0CE039CC">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lang w:eastAsia="zh-CN"/>
              </w:rPr>
              <w:t>名称及规格</w:t>
            </w:r>
          </w:p>
        </w:tc>
        <w:tc>
          <w:tcPr>
            <w:tcW w:w="70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E01ED23">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lang w:eastAsia="zh-CN"/>
              </w:rPr>
              <w:t>单位</w:t>
            </w:r>
          </w:p>
        </w:tc>
        <w:tc>
          <w:tcPr>
            <w:tcW w:w="1088"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5E29D6F6">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数量</w:t>
            </w:r>
          </w:p>
        </w:tc>
        <w:tc>
          <w:tcPr>
            <w:tcW w:w="1334"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4AF65BBD">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单价（元）</w:t>
            </w:r>
          </w:p>
        </w:tc>
        <w:tc>
          <w:tcPr>
            <w:tcW w:w="1377" w:type="dxa"/>
            <w:tcBorders>
              <w:top w:val="single" w:color="000000" w:sz="4" w:space="0"/>
              <w:left w:val="single" w:color="000000" w:sz="4" w:space="0"/>
              <w:bottom w:val="single" w:color="000000" w:sz="4" w:space="0"/>
              <w:right w:val="single" w:color="000000" w:sz="8" w:space="0"/>
            </w:tcBorders>
            <w:shd w:val="clear" w:color="FFFFFF" w:fill="FFFFFF"/>
            <w:vAlign w:val="center"/>
          </w:tcPr>
          <w:p w14:paraId="68B8268C">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合价（元）</w:t>
            </w:r>
          </w:p>
        </w:tc>
      </w:tr>
      <w:tr w14:paraId="7E873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687" w:type="dxa"/>
            <w:tcBorders>
              <w:top w:val="single" w:color="000000" w:sz="8" w:space="0"/>
              <w:left w:val="single" w:color="000000" w:sz="8" w:space="0"/>
              <w:bottom w:val="single" w:color="000000" w:sz="8" w:space="0"/>
              <w:right w:val="single" w:color="000000" w:sz="4" w:space="0"/>
            </w:tcBorders>
            <w:shd w:val="clear" w:color="FFFFFF" w:fill="FFFFFF"/>
            <w:vAlign w:val="center"/>
          </w:tcPr>
          <w:p w14:paraId="37AA62D1">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1</w:t>
            </w:r>
          </w:p>
        </w:tc>
        <w:tc>
          <w:tcPr>
            <w:tcW w:w="171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677EFE82">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17250261Z@2</w:t>
            </w:r>
          </w:p>
        </w:tc>
        <w:tc>
          <w:tcPr>
            <w:tcW w:w="2890"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4AA4CE5B">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 xml:space="preserve">塑料管MPP壁厚14mm 直径200(mm) </w:t>
            </w:r>
          </w:p>
        </w:tc>
        <w:tc>
          <w:tcPr>
            <w:tcW w:w="70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E350D16">
            <w:pPr>
              <w:pageBreakBefore w:val="0"/>
              <w:widowControl w:val="0"/>
              <w:wordWrap/>
              <w:overflowPunct/>
              <w:topLinePunct w:val="0"/>
              <w:bidi w:val="0"/>
              <w:spacing w:line="242" w:lineRule="auto"/>
              <w:jc w:val="center"/>
              <w:rPr>
                <w:rFonts w:hint="eastAsia" w:ascii="宋体" w:hAnsi="宋体" w:eastAsia="宋体" w:cs="宋体"/>
                <w:color w:val="auto"/>
                <w:lang w:val="en-US" w:eastAsia="zh-CN"/>
              </w:rPr>
            </w:pPr>
            <w:r>
              <w:rPr>
                <w:rFonts w:hint="eastAsia" w:ascii="宋体" w:hAnsi="宋体" w:eastAsia="宋体" w:cs="宋体"/>
                <w:color w:val="auto"/>
                <w:lang w:val="en-US" w:eastAsia="zh-CN"/>
              </w:rPr>
              <w:t>m</w:t>
            </w:r>
          </w:p>
        </w:tc>
        <w:tc>
          <w:tcPr>
            <w:tcW w:w="1088"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10914CA6">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lang w:val="en-US" w:eastAsia="zh-CN"/>
              </w:rPr>
              <w:t>84</w:t>
            </w:r>
            <w:r>
              <w:rPr>
                <w:rFonts w:hint="eastAsia" w:ascii="宋体" w:hAnsi="宋体" w:eastAsia="宋体" w:cs="宋体"/>
                <w:color w:val="auto"/>
                <w:spacing w:val="0"/>
                <w:w w:val="100"/>
                <w:position w:val="0"/>
              </w:rPr>
              <w:t>5.34</w:t>
            </w:r>
          </w:p>
        </w:tc>
        <w:tc>
          <w:tcPr>
            <w:tcW w:w="1334"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0B8D6787">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p>
        </w:tc>
        <w:tc>
          <w:tcPr>
            <w:tcW w:w="1377" w:type="dxa"/>
            <w:tcBorders>
              <w:top w:val="single" w:color="000000" w:sz="4" w:space="0"/>
              <w:left w:val="single" w:color="000000" w:sz="4" w:space="0"/>
              <w:bottom w:val="single" w:color="000000" w:sz="4" w:space="0"/>
              <w:right w:val="single" w:color="000000" w:sz="8" w:space="0"/>
            </w:tcBorders>
            <w:shd w:val="clear" w:color="FFFFFF" w:fill="FFFFFF"/>
            <w:vAlign w:val="center"/>
          </w:tcPr>
          <w:p w14:paraId="1F603D69">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p>
        </w:tc>
      </w:tr>
      <w:tr w14:paraId="07481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687" w:type="dxa"/>
            <w:tcBorders>
              <w:top w:val="single" w:color="000000" w:sz="8" w:space="0"/>
              <w:left w:val="single" w:color="000000" w:sz="8" w:space="0"/>
              <w:bottom w:val="single" w:color="000000" w:sz="8" w:space="0"/>
              <w:right w:val="single" w:color="000000" w:sz="4" w:space="0"/>
            </w:tcBorders>
            <w:shd w:val="clear" w:color="FFFFFF" w:fill="FFFFFF"/>
            <w:vAlign w:val="center"/>
          </w:tcPr>
          <w:p w14:paraId="4E10697F">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2</w:t>
            </w:r>
          </w:p>
        </w:tc>
        <w:tc>
          <w:tcPr>
            <w:tcW w:w="171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542BC73B">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28110000Z@3</w:t>
            </w:r>
          </w:p>
        </w:tc>
        <w:tc>
          <w:tcPr>
            <w:tcW w:w="2890"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CDF58E0">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电缆截面400(mm2)</w:t>
            </w:r>
          </w:p>
          <w:p w14:paraId="6A91CDA4">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 xml:space="preserve">ZC-YJV22-8.7/15KV-3*400  </w:t>
            </w:r>
          </w:p>
        </w:tc>
        <w:tc>
          <w:tcPr>
            <w:tcW w:w="70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48228E3">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m</w:t>
            </w:r>
          </w:p>
        </w:tc>
        <w:tc>
          <w:tcPr>
            <w:tcW w:w="1088"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4128E66">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20.2</w:t>
            </w:r>
          </w:p>
        </w:tc>
        <w:tc>
          <w:tcPr>
            <w:tcW w:w="1334"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0026C7E4">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p>
        </w:tc>
        <w:tc>
          <w:tcPr>
            <w:tcW w:w="1377" w:type="dxa"/>
            <w:tcBorders>
              <w:top w:val="single" w:color="000000" w:sz="4" w:space="0"/>
              <w:left w:val="single" w:color="000000" w:sz="4" w:space="0"/>
              <w:bottom w:val="single" w:color="000000" w:sz="4" w:space="0"/>
              <w:right w:val="single" w:color="000000" w:sz="8" w:space="0"/>
            </w:tcBorders>
            <w:shd w:val="clear" w:color="FFFFFF" w:fill="FFFFFF"/>
            <w:vAlign w:val="center"/>
          </w:tcPr>
          <w:p w14:paraId="52439364">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p>
        </w:tc>
      </w:tr>
      <w:tr w14:paraId="3F130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687" w:type="dxa"/>
            <w:tcBorders>
              <w:top w:val="single" w:color="000000" w:sz="8" w:space="0"/>
              <w:left w:val="single" w:color="000000" w:sz="8" w:space="0"/>
              <w:bottom w:val="single" w:color="000000" w:sz="8" w:space="0"/>
              <w:right w:val="single" w:color="000000" w:sz="4" w:space="0"/>
            </w:tcBorders>
            <w:shd w:val="clear" w:color="FFFFFF" w:fill="FFFFFF"/>
            <w:vAlign w:val="center"/>
          </w:tcPr>
          <w:p w14:paraId="574799A0">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3</w:t>
            </w:r>
          </w:p>
        </w:tc>
        <w:tc>
          <w:tcPr>
            <w:tcW w:w="171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1C32F72D">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28110000Z@4</w:t>
            </w:r>
          </w:p>
        </w:tc>
        <w:tc>
          <w:tcPr>
            <w:tcW w:w="2890"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7DF161D9">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 xml:space="preserve">电缆截面300(mm2) </w:t>
            </w:r>
          </w:p>
          <w:p w14:paraId="12251551">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 xml:space="preserve">ZC-YJV22-8.7/15KV-3*300 </w:t>
            </w:r>
          </w:p>
        </w:tc>
        <w:tc>
          <w:tcPr>
            <w:tcW w:w="705"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4C51CA90">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m</w:t>
            </w:r>
          </w:p>
        </w:tc>
        <w:tc>
          <w:tcPr>
            <w:tcW w:w="1088"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2B8C8355">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434.3</w:t>
            </w:r>
          </w:p>
        </w:tc>
        <w:tc>
          <w:tcPr>
            <w:tcW w:w="1334" w:type="dxa"/>
            <w:tcBorders>
              <w:top w:val="single" w:color="000000" w:sz="8" w:space="0"/>
              <w:left w:val="single" w:color="000000" w:sz="4" w:space="0"/>
              <w:bottom w:val="single" w:color="000000" w:sz="8" w:space="0"/>
              <w:right w:val="single" w:color="000000" w:sz="4" w:space="0"/>
            </w:tcBorders>
            <w:shd w:val="clear" w:color="FFFFFF" w:fill="FFFFFF"/>
            <w:vAlign w:val="center"/>
          </w:tcPr>
          <w:p w14:paraId="1AB23F4F">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p>
        </w:tc>
        <w:tc>
          <w:tcPr>
            <w:tcW w:w="1377" w:type="dxa"/>
            <w:tcBorders>
              <w:top w:val="single" w:color="000000" w:sz="4" w:space="0"/>
              <w:left w:val="single" w:color="000000" w:sz="4" w:space="0"/>
              <w:bottom w:val="single" w:color="000000" w:sz="4" w:space="0"/>
              <w:right w:val="single" w:color="000000" w:sz="8" w:space="0"/>
            </w:tcBorders>
            <w:shd w:val="clear" w:color="FFFFFF" w:fill="FFFFFF"/>
            <w:vAlign w:val="center"/>
          </w:tcPr>
          <w:p w14:paraId="43BE6814">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p>
        </w:tc>
      </w:tr>
      <w:tr w14:paraId="3E475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687" w:type="dxa"/>
            <w:tcBorders>
              <w:top w:val="single" w:color="000000" w:sz="8" w:space="0"/>
              <w:left w:val="single" w:color="000000" w:sz="8" w:space="0"/>
              <w:bottom w:val="single" w:color="000000" w:sz="4" w:space="0"/>
              <w:right w:val="single" w:color="000000" w:sz="4" w:space="0"/>
            </w:tcBorders>
            <w:shd w:val="clear" w:color="FFFFFF" w:fill="FFFFFF"/>
            <w:vAlign w:val="center"/>
          </w:tcPr>
          <w:p w14:paraId="2F395182">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r>
              <w:rPr>
                <w:rFonts w:hint="eastAsia" w:ascii="宋体" w:hAnsi="宋体" w:eastAsia="宋体" w:cs="宋体"/>
                <w:color w:val="auto"/>
                <w:spacing w:val="0"/>
                <w:w w:val="100"/>
                <w:position w:val="0"/>
                <w:lang w:val="en-US" w:eastAsia="zh-CN"/>
              </w:rPr>
              <w:t>4</w:t>
            </w:r>
          </w:p>
        </w:tc>
        <w:tc>
          <w:tcPr>
            <w:tcW w:w="1715" w:type="dxa"/>
            <w:tcBorders>
              <w:top w:val="single" w:color="000000" w:sz="8" w:space="0"/>
              <w:left w:val="single" w:color="000000" w:sz="4" w:space="0"/>
              <w:bottom w:val="single" w:color="000000" w:sz="4" w:space="0"/>
              <w:right w:val="single" w:color="000000" w:sz="4" w:space="0"/>
            </w:tcBorders>
            <w:shd w:val="clear" w:color="FFFFFF" w:fill="FFFFFF"/>
            <w:vAlign w:val="center"/>
          </w:tcPr>
          <w:p w14:paraId="2692EC48">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Z00150@1</w:t>
            </w:r>
          </w:p>
        </w:tc>
        <w:tc>
          <w:tcPr>
            <w:tcW w:w="2890" w:type="dxa"/>
            <w:tcBorders>
              <w:top w:val="single" w:color="000000" w:sz="8" w:space="0"/>
              <w:left w:val="single" w:color="000000" w:sz="4" w:space="0"/>
              <w:bottom w:val="single" w:color="000000" w:sz="4" w:space="0"/>
              <w:right w:val="single" w:color="000000" w:sz="4" w:space="0"/>
            </w:tcBorders>
            <w:shd w:val="clear" w:color="FFFFFF" w:fill="FFFFFF"/>
            <w:vAlign w:val="center"/>
          </w:tcPr>
          <w:p w14:paraId="5E53BE09">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环网柜一二次融合成套环网箱,AC10kV,630A,SF6,二进四出</w:t>
            </w:r>
          </w:p>
        </w:tc>
        <w:tc>
          <w:tcPr>
            <w:tcW w:w="705" w:type="dxa"/>
            <w:tcBorders>
              <w:top w:val="single" w:color="000000" w:sz="8" w:space="0"/>
              <w:left w:val="single" w:color="000000" w:sz="4" w:space="0"/>
              <w:bottom w:val="single" w:color="000000" w:sz="4" w:space="0"/>
              <w:right w:val="single" w:color="000000" w:sz="4" w:space="0"/>
            </w:tcBorders>
            <w:shd w:val="clear" w:color="FFFFFF" w:fill="FFFFFF"/>
            <w:vAlign w:val="center"/>
          </w:tcPr>
          <w:p w14:paraId="114A70E0">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eastAsia="zh-CN"/>
              </w:rPr>
            </w:pPr>
            <w:r>
              <w:rPr>
                <w:rFonts w:hint="eastAsia" w:ascii="宋体" w:hAnsi="宋体" w:eastAsia="宋体" w:cs="宋体"/>
                <w:color w:val="auto"/>
                <w:spacing w:val="0"/>
                <w:w w:val="100"/>
                <w:position w:val="0"/>
                <w:lang w:eastAsia="zh-CN"/>
              </w:rPr>
              <w:t>座</w:t>
            </w:r>
          </w:p>
        </w:tc>
        <w:tc>
          <w:tcPr>
            <w:tcW w:w="1088" w:type="dxa"/>
            <w:tcBorders>
              <w:top w:val="single" w:color="000000" w:sz="8" w:space="0"/>
              <w:left w:val="single" w:color="000000" w:sz="4" w:space="0"/>
              <w:bottom w:val="single" w:color="000000" w:sz="4" w:space="0"/>
              <w:right w:val="single" w:color="000000" w:sz="4" w:space="0"/>
            </w:tcBorders>
            <w:shd w:val="clear" w:color="FFFFFF" w:fill="FFFFFF"/>
            <w:vAlign w:val="center"/>
          </w:tcPr>
          <w:p w14:paraId="5623CEF2">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r>
              <w:rPr>
                <w:rFonts w:hint="eastAsia" w:ascii="宋体" w:hAnsi="宋体" w:eastAsia="宋体" w:cs="宋体"/>
                <w:color w:val="auto"/>
                <w:spacing w:val="0"/>
                <w:w w:val="100"/>
                <w:position w:val="0"/>
              </w:rPr>
              <w:t>1</w:t>
            </w:r>
          </w:p>
        </w:tc>
        <w:tc>
          <w:tcPr>
            <w:tcW w:w="1334" w:type="dxa"/>
            <w:tcBorders>
              <w:top w:val="single" w:color="000000" w:sz="8" w:space="0"/>
              <w:left w:val="single" w:color="000000" w:sz="4" w:space="0"/>
              <w:bottom w:val="single" w:color="000000" w:sz="4" w:space="0"/>
              <w:right w:val="single" w:color="000000" w:sz="4" w:space="0"/>
            </w:tcBorders>
            <w:shd w:val="clear" w:color="FFFFFF" w:fill="FFFFFF"/>
            <w:vAlign w:val="center"/>
          </w:tcPr>
          <w:p w14:paraId="5F3ADD28">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rPr>
            </w:pPr>
          </w:p>
        </w:tc>
        <w:tc>
          <w:tcPr>
            <w:tcW w:w="1377" w:type="dxa"/>
            <w:tcBorders>
              <w:top w:val="single" w:color="000000" w:sz="4" w:space="0"/>
              <w:left w:val="single" w:color="000000" w:sz="4" w:space="0"/>
              <w:bottom w:val="single" w:color="000000" w:sz="4" w:space="0"/>
              <w:right w:val="single" w:color="000000" w:sz="8" w:space="0"/>
            </w:tcBorders>
            <w:shd w:val="clear" w:color="FFFFFF" w:fill="FFFFFF"/>
            <w:vAlign w:val="center"/>
          </w:tcPr>
          <w:p w14:paraId="04F43308">
            <w:pPr>
              <w:pageBreakBefore w:val="0"/>
              <w:widowControl w:val="0"/>
              <w:wordWrap/>
              <w:overflowPunct/>
              <w:topLinePunct w:val="0"/>
              <w:bidi w:val="0"/>
              <w:spacing w:line="242" w:lineRule="auto"/>
              <w:jc w:val="center"/>
              <w:rPr>
                <w:rFonts w:hint="eastAsia" w:ascii="宋体" w:hAnsi="宋体" w:eastAsia="宋体" w:cs="宋体"/>
                <w:color w:val="auto"/>
                <w:spacing w:val="0"/>
                <w:w w:val="100"/>
                <w:position w:val="0"/>
                <w:lang w:val="en-US" w:eastAsia="zh-CN"/>
              </w:rPr>
            </w:pPr>
          </w:p>
        </w:tc>
      </w:tr>
    </w:tbl>
    <w:p w14:paraId="1D350C78">
      <w:pPr>
        <w:pageBreakBefore w:val="0"/>
        <w:widowControl w:val="0"/>
        <w:wordWrap/>
        <w:overflowPunct/>
        <w:topLinePunct w:val="0"/>
        <w:bidi w:val="0"/>
        <w:spacing w:line="242" w:lineRule="auto"/>
        <w:jc w:val="center"/>
        <w:rPr>
          <w:color w:val="auto"/>
          <w:spacing w:val="0"/>
          <w:w w:val="100"/>
          <w:position w:val="0"/>
        </w:rPr>
      </w:pPr>
    </w:p>
    <w:p w14:paraId="332D0EE3">
      <w:pPr>
        <w:pageBreakBefore w:val="0"/>
        <w:widowControl w:val="0"/>
        <w:wordWrap/>
        <w:overflowPunct/>
        <w:topLinePunct w:val="0"/>
        <w:bidi w:val="0"/>
        <w:spacing w:line="249" w:lineRule="auto"/>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注：所提供的产品必须符合国家标准；</w:t>
      </w:r>
    </w:p>
    <w:p w14:paraId="09B8E067">
      <w:pPr>
        <w:pageBreakBefore w:val="0"/>
        <w:widowControl w:val="0"/>
        <w:wordWrap/>
        <w:overflowPunct/>
        <w:topLinePunct w:val="0"/>
        <w:bidi w:val="0"/>
        <w:spacing w:line="249" w:lineRule="auto"/>
        <w:ind w:firstLine="420" w:firstLineChars="200"/>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以上技术参数为基本需求，有一项不满足视为无效投标；</w:t>
      </w:r>
    </w:p>
    <w:p w14:paraId="1BB9C351">
      <w:pPr>
        <w:pageBreakBefore w:val="0"/>
        <w:widowControl w:val="0"/>
        <w:wordWrap/>
        <w:overflowPunct/>
        <w:topLinePunct w:val="0"/>
        <w:bidi w:val="0"/>
        <w:spacing w:line="242" w:lineRule="auto"/>
        <w:rPr>
          <w:color w:val="auto"/>
          <w:spacing w:val="0"/>
          <w:w w:val="100"/>
          <w:position w:val="0"/>
        </w:rPr>
      </w:pPr>
    </w:p>
    <w:p w14:paraId="080E4CDC">
      <w:pPr>
        <w:pageBreakBefore w:val="0"/>
        <w:widowControl w:val="0"/>
        <w:wordWrap/>
        <w:overflowPunct/>
        <w:topLinePunct w:val="0"/>
        <w:bidi w:val="0"/>
        <w:spacing w:line="242" w:lineRule="auto"/>
        <w:rPr>
          <w:color w:val="auto"/>
          <w:spacing w:val="0"/>
          <w:w w:val="100"/>
          <w:position w:val="0"/>
        </w:rPr>
      </w:pPr>
    </w:p>
    <w:p w14:paraId="140ECFD7">
      <w:pPr>
        <w:pageBreakBefore w:val="0"/>
        <w:widowControl w:val="0"/>
        <w:wordWrap/>
        <w:overflowPunct/>
        <w:topLinePunct w:val="0"/>
        <w:bidi w:val="0"/>
        <w:spacing w:line="242" w:lineRule="auto"/>
        <w:rPr>
          <w:color w:val="auto"/>
          <w:spacing w:val="0"/>
          <w:w w:val="100"/>
          <w:position w:val="0"/>
        </w:rPr>
      </w:pPr>
    </w:p>
    <w:p w14:paraId="3054C91A">
      <w:pPr>
        <w:pageBreakBefore w:val="0"/>
        <w:widowControl w:val="0"/>
        <w:wordWrap/>
        <w:overflowPunct/>
        <w:topLinePunct w:val="0"/>
        <w:bidi w:val="0"/>
        <w:spacing w:line="242" w:lineRule="auto"/>
        <w:rPr>
          <w:color w:val="auto"/>
          <w:spacing w:val="0"/>
          <w:w w:val="100"/>
          <w:position w:val="0"/>
        </w:rPr>
      </w:pPr>
    </w:p>
    <w:p w14:paraId="11787928">
      <w:pPr>
        <w:pageBreakBefore w:val="0"/>
        <w:widowControl w:val="0"/>
        <w:wordWrap/>
        <w:overflowPunct/>
        <w:topLinePunct w:val="0"/>
        <w:bidi w:val="0"/>
        <w:spacing w:line="242" w:lineRule="auto"/>
        <w:rPr>
          <w:color w:val="auto"/>
          <w:spacing w:val="0"/>
          <w:w w:val="100"/>
          <w:position w:val="0"/>
        </w:rPr>
      </w:pPr>
    </w:p>
    <w:p w14:paraId="389C342F">
      <w:pPr>
        <w:pageBreakBefore w:val="0"/>
        <w:widowControl w:val="0"/>
        <w:wordWrap/>
        <w:overflowPunct/>
        <w:topLinePunct w:val="0"/>
        <w:bidi w:val="0"/>
        <w:spacing w:line="242" w:lineRule="auto"/>
        <w:rPr>
          <w:color w:val="auto"/>
          <w:spacing w:val="0"/>
          <w:w w:val="100"/>
          <w:position w:val="0"/>
        </w:rPr>
      </w:pPr>
    </w:p>
    <w:p w14:paraId="7721C385">
      <w:pPr>
        <w:pageBreakBefore w:val="0"/>
        <w:widowControl w:val="0"/>
        <w:wordWrap/>
        <w:overflowPunct/>
        <w:topLinePunct w:val="0"/>
        <w:bidi w:val="0"/>
        <w:spacing w:line="242" w:lineRule="auto"/>
        <w:rPr>
          <w:color w:val="auto"/>
          <w:spacing w:val="0"/>
          <w:w w:val="100"/>
          <w:position w:val="0"/>
        </w:rPr>
      </w:pPr>
    </w:p>
    <w:p w14:paraId="2673CB56">
      <w:pPr>
        <w:pageBreakBefore w:val="0"/>
        <w:widowControl w:val="0"/>
        <w:wordWrap/>
        <w:overflowPunct/>
        <w:topLinePunct w:val="0"/>
        <w:bidi w:val="0"/>
        <w:spacing w:line="242" w:lineRule="auto"/>
        <w:rPr>
          <w:color w:val="auto"/>
          <w:spacing w:val="0"/>
          <w:w w:val="100"/>
          <w:position w:val="0"/>
        </w:rPr>
      </w:pPr>
    </w:p>
    <w:p w14:paraId="62A26EC7">
      <w:pPr>
        <w:pageBreakBefore w:val="0"/>
        <w:widowControl w:val="0"/>
        <w:wordWrap/>
        <w:overflowPunct/>
        <w:topLinePunct w:val="0"/>
        <w:bidi w:val="0"/>
        <w:spacing w:line="242" w:lineRule="auto"/>
        <w:rPr>
          <w:color w:val="auto"/>
          <w:spacing w:val="0"/>
          <w:w w:val="100"/>
          <w:position w:val="0"/>
        </w:rPr>
      </w:pPr>
    </w:p>
    <w:p w14:paraId="3F3E1E5C">
      <w:pPr>
        <w:pageBreakBefore w:val="0"/>
        <w:widowControl w:val="0"/>
        <w:wordWrap/>
        <w:overflowPunct/>
        <w:topLinePunct w:val="0"/>
        <w:bidi w:val="0"/>
        <w:spacing w:line="242" w:lineRule="auto"/>
        <w:rPr>
          <w:color w:val="auto"/>
          <w:spacing w:val="0"/>
          <w:w w:val="100"/>
          <w:position w:val="0"/>
        </w:rPr>
      </w:pPr>
    </w:p>
    <w:p w14:paraId="12B2E844">
      <w:pPr>
        <w:pageBreakBefore w:val="0"/>
        <w:widowControl w:val="0"/>
        <w:wordWrap/>
        <w:overflowPunct/>
        <w:topLinePunct w:val="0"/>
        <w:bidi w:val="0"/>
        <w:spacing w:line="242" w:lineRule="auto"/>
        <w:rPr>
          <w:color w:val="auto"/>
          <w:spacing w:val="0"/>
          <w:w w:val="100"/>
          <w:position w:val="0"/>
        </w:rPr>
      </w:pPr>
    </w:p>
    <w:p w14:paraId="2BE4AB35">
      <w:pPr>
        <w:pageBreakBefore w:val="0"/>
        <w:widowControl w:val="0"/>
        <w:wordWrap/>
        <w:overflowPunct/>
        <w:topLinePunct w:val="0"/>
        <w:bidi w:val="0"/>
        <w:spacing w:line="242" w:lineRule="auto"/>
        <w:rPr>
          <w:color w:val="auto"/>
          <w:spacing w:val="0"/>
          <w:w w:val="100"/>
          <w:position w:val="0"/>
        </w:rPr>
      </w:pPr>
    </w:p>
    <w:p w14:paraId="242024F0">
      <w:pPr>
        <w:pageBreakBefore w:val="0"/>
        <w:widowControl w:val="0"/>
        <w:wordWrap/>
        <w:overflowPunct/>
        <w:topLinePunct w:val="0"/>
        <w:bidi w:val="0"/>
        <w:spacing w:line="242" w:lineRule="auto"/>
        <w:rPr>
          <w:color w:val="auto"/>
          <w:spacing w:val="0"/>
          <w:w w:val="100"/>
          <w:position w:val="0"/>
        </w:rPr>
      </w:pPr>
    </w:p>
    <w:p w14:paraId="63B31133">
      <w:pPr>
        <w:pageBreakBefore w:val="0"/>
        <w:widowControl w:val="0"/>
        <w:wordWrap/>
        <w:overflowPunct/>
        <w:topLinePunct w:val="0"/>
        <w:bidi w:val="0"/>
        <w:spacing w:line="242" w:lineRule="auto"/>
        <w:rPr>
          <w:color w:val="auto"/>
          <w:spacing w:val="0"/>
          <w:w w:val="100"/>
          <w:position w:val="0"/>
        </w:rPr>
      </w:pPr>
    </w:p>
    <w:p w14:paraId="131507B8">
      <w:pPr>
        <w:pageBreakBefore w:val="0"/>
        <w:widowControl w:val="0"/>
        <w:wordWrap/>
        <w:overflowPunct/>
        <w:topLinePunct w:val="0"/>
        <w:bidi w:val="0"/>
        <w:spacing w:line="242" w:lineRule="auto"/>
        <w:rPr>
          <w:color w:val="auto"/>
          <w:spacing w:val="0"/>
          <w:w w:val="100"/>
          <w:position w:val="0"/>
        </w:rPr>
      </w:pPr>
    </w:p>
    <w:p w14:paraId="2427E531">
      <w:pPr>
        <w:pageBreakBefore w:val="0"/>
        <w:widowControl w:val="0"/>
        <w:wordWrap/>
        <w:overflowPunct/>
        <w:topLinePunct w:val="0"/>
        <w:bidi w:val="0"/>
        <w:spacing w:line="242" w:lineRule="auto"/>
        <w:rPr>
          <w:color w:val="auto"/>
          <w:spacing w:val="0"/>
          <w:w w:val="100"/>
          <w:position w:val="0"/>
        </w:rPr>
      </w:pPr>
    </w:p>
    <w:p w14:paraId="34B1065B">
      <w:pPr>
        <w:pageBreakBefore w:val="0"/>
        <w:widowControl w:val="0"/>
        <w:wordWrap/>
        <w:overflowPunct/>
        <w:topLinePunct w:val="0"/>
        <w:bidi w:val="0"/>
        <w:spacing w:line="242" w:lineRule="auto"/>
        <w:rPr>
          <w:color w:val="auto"/>
          <w:spacing w:val="0"/>
          <w:w w:val="100"/>
          <w:position w:val="0"/>
        </w:rPr>
      </w:pPr>
    </w:p>
    <w:p w14:paraId="7DCDDCE5">
      <w:pPr>
        <w:pageBreakBefore w:val="0"/>
        <w:widowControl w:val="0"/>
        <w:wordWrap/>
        <w:overflowPunct/>
        <w:topLinePunct w:val="0"/>
        <w:bidi w:val="0"/>
        <w:spacing w:line="242" w:lineRule="auto"/>
        <w:rPr>
          <w:color w:val="auto"/>
          <w:spacing w:val="0"/>
          <w:w w:val="100"/>
          <w:position w:val="0"/>
        </w:rPr>
      </w:pPr>
      <w:bookmarkStart w:id="1" w:name="_GoBack"/>
      <w:bookmarkEnd w:id="1"/>
    </w:p>
    <w:p w14:paraId="10EF21F9">
      <w:pPr>
        <w:pageBreakBefore w:val="0"/>
        <w:widowControl w:val="0"/>
        <w:wordWrap/>
        <w:overflowPunct/>
        <w:topLinePunct w:val="0"/>
        <w:bidi w:val="0"/>
        <w:spacing w:line="242" w:lineRule="auto"/>
        <w:rPr>
          <w:color w:val="auto"/>
          <w:spacing w:val="0"/>
          <w:w w:val="100"/>
          <w:position w:val="0"/>
        </w:rPr>
      </w:pPr>
    </w:p>
    <w:p w14:paraId="31296AD1">
      <w:pPr>
        <w:pageBreakBefore w:val="0"/>
        <w:widowControl w:val="0"/>
        <w:wordWrap/>
        <w:overflowPunct/>
        <w:topLinePunct w:val="0"/>
        <w:bidi w:val="0"/>
        <w:spacing w:line="243" w:lineRule="auto"/>
        <w:rPr>
          <w:color w:val="auto"/>
          <w:spacing w:val="0"/>
          <w:w w:val="100"/>
          <w:position w:val="0"/>
        </w:rPr>
      </w:pPr>
    </w:p>
    <w:p w14:paraId="6175E866">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p>
    <w:p w14:paraId="7EC4035E">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p>
    <w:p w14:paraId="6C7EB900">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33E73FD0">
      <w:pPr>
        <w:pageBreakBefore w:val="0"/>
        <w:widowControl w:val="0"/>
        <w:kinsoku/>
        <w:wordWrap/>
        <w:overflowPunct/>
        <w:topLinePunct w:val="0"/>
        <w:bidi w:val="0"/>
        <w:spacing w:line="249" w:lineRule="auto"/>
        <w:rPr>
          <w:color w:val="auto"/>
          <w:highlight w:val="none"/>
          <w:lang w:eastAsia="zh-CN"/>
        </w:rPr>
      </w:pPr>
    </w:p>
    <w:tbl>
      <w:tblPr>
        <w:tblStyle w:val="5"/>
        <w:tblW w:w="5162" w:type="pct"/>
        <w:jc w:val="center"/>
        <w:tblCellSpacing w:w="0" w:type="dxa"/>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Layout w:type="autofit"/>
        <w:tblCellMar>
          <w:top w:w="0" w:type="dxa"/>
          <w:left w:w="108" w:type="dxa"/>
          <w:bottom w:w="0" w:type="dxa"/>
          <w:right w:w="108" w:type="dxa"/>
        </w:tblCellMar>
      </w:tblPr>
      <w:tblGrid>
        <w:gridCol w:w="778"/>
        <w:gridCol w:w="1214"/>
        <w:gridCol w:w="5620"/>
        <w:gridCol w:w="1444"/>
      </w:tblGrid>
      <w:tr w14:paraId="123980C3">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07"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2F8099EB">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bCs w:val="0"/>
                <w:color w:val="auto"/>
                <w:sz w:val="21"/>
                <w:szCs w:val="21"/>
              </w:rPr>
              <w:t>序号</w:t>
            </w:r>
          </w:p>
        </w:tc>
        <w:tc>
          <w:tcPr>
            <w:tcW w:w="670" w:type="pct"/>
            <w:tcBorders>
              <w:tl2br w:val="nil"/>
              <w:tr2bl w:val="nil"/>
            </w:tcBorders>
            <w:shd w:val="clear" w:color="auto" w:fill="auto"/>
            <w:tcMar>
              <w:top w:w="15" w:type="dxa"/>
              <w:left w:w="15" w:type="dxa"/>
              <w:bottom w:w="15" w:type="dxa"/>
              <w:right w:w="15" w:type="dxa"/>
            </w:tcMar>
            <w:vAlign w:val="center"/>
          </w:tcPr>
          <w:p w14:paraId="33CEF3FF">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bCs w:val="0"/>
                <w:color w:val="auto"/>
                <w:sz w:val="21"/>
                <w:szCs w:val="21"/>
              </w:rPr>
              <w:t>条款名称</w:t>
            </w:r>
          </w:p>
        </w:tc>
        <w:tc>
          <w:tcPr>
            <w:tcW w:w="3102" w:type="pct"/>
            <w:tcBorders>
              <w:tl2br w:val="nil"/>
              <w:tr2bl w:val="nil"/>
            </w:tcBorders>
            <w:shd w:val="clear" w:color="auto" w:fill="auto"/>
            <w:tcMar>
              <w:top w:w="15" w:type="dxa"/>
              <w:left w:w="15" w:type="dxa"/>
              <w:bottom w:w="15" w:type="dxa"/>
              <w:right w:w="15" w:type="dxa"/>
            </w:tcMar>
            <w:vAlign w:val="center"/>
          </w:tcPr>
          <w:p w14:paraId="62869357">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bCs w:val="0"/>
                <w:color w:val="auto"/>
                <w:sz w:val="21"/>
                <w:szCs w:val="21"/>
              </w:rPr>
              <w:t>需求说明</w:t>
            </w:r>
          </w:p>
        </w:tc>
        <w:tc>
          <w:tcPr>
            <w:tcW w:w="797" w:type="pct"/>
            <w:tcBorders>
              <w:tl2br w:val="nil"/>
              <w:tr2bl w:val="nil"/>
            </w:tcBorders>
            <w:shd w:val="clear" w:color="auto" w:fill="auto"/>
            <w:tcMar>
              <w:top w:w="15" w:type="dxa"/>
              <w:left w:w="15" w:type="dxa"/>
              <w:bottom w:w="15" w:type="dxa"/>
              <w:right w:w="15" w:type="dxa"/>
            </w:tcMar>
            <w:vAlign w:val="center"/>
          </w:tcPr>
          <w:p w14:paraId="1EC55D74">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bCs w:val="0"/>
                <w:color w:val="auto"/>
                <w:sz w:val="21"/>
                <w:szCs w:val="21"/>
                <w:lang w:eastAsia="zh-CN"/>
              </w:rPr>
            </w:pPr>
            <w:r>
              <w:rPr>
                <w:rFonts w:hint="eastAsia" w:ascii="宋体" w:hAnsi="宋体" w:eastAsia="宋体" w:cs="宋体"/>
                <w:b/>
                <w:bCs w:val="0"/>
                <w:color w:val="auto"/>
                <w:sz w:val="21"/>
                <w:szCs w:val="21"/>
                <w:lang w:eastAsia="zh-CN"/>
              </w:rPr>
              <w:t>备注</w:t>
            </w:r>
          </w:p>
        </w:tc>
      </w:tr>
      <w:tr w14:paraId="49E8A688">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43"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05FA104A">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b w:val="0"/>
                <w:bCs/>
                <w:color w:val="auto"/>
                <w:sz w:val="21"/>
                <w:szCs w:val="21"/>
                <w:lang w:val="en-US" w:eastAsia="zh-CN"/>
              </w:rPr>
              <w:t>1</w:t>
            </w:r>
          </w:p>
        </w:tc>
        <w:tc>
          <w:tcPr>
            <w:tcW w:w="670" w:type="pct"/>
            <w:tcBorders>
              <w:tl2br w:val="nil"/>
              <w:tr2bl w:val="nil"/>
            </w:tcBorders>
            <w:shd w:val="clear" w:color="auto" w:fill="auto"/>
            <w:tcMar>
              <w:top w:w="15" w:type="dxa"/>
              <w:left w:w="15" w:type="dxa"/>
              <w:bottom w:w="15" w:type="dxa"/>
              <w:right w:w="15" w:type="dxa"/>
            </w:tcMar>
            <w:vAlign w:val="center"/>
          </w:tcPr>
          <w:p w14:paraId="42C22337">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b w:val="0"/>
                <w:bCs w:val="0"/>
                <w:color w:val="auto"/>
                <w:sz w:val="21"/>
                <w:szCs w:val="21"/>
                <w:lang w:eastAsia="zh-CN"/>
              </w:rPr>
              <w:t>交货地点</w:t>
            </w:r>
          </w:p>
        </w:tc>
        <w:tc>
          <w:tcPr>
            <w:tcW w:w="3102" w:type="pct"/>
            <w:tcBorders>
              <w:tl2br w:val="nil"/>
              <w:tr2bl w:val="nil"/>
            </w:tcBorders>
            <w:shd w:val="clear" w:color="auto" w:fill="auto"/>
            <w:tcMar>
              <w:top w:w="15" w:type="dxa"/>
              <w:left w:w="15" w:type="dxa"/>
              <w:bottom w:w="15" w:type="dxa"/>
              <w:right w:w="15" w:type="dxa"/>
            </w:tcMar>
            <w:vAlign w:val="center"/>
          </w:tcPr>
          <w:p w14:paraId="5ABEF14E">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lang w:eastAsia="zh-CN"/>
              </w:rPr>
            </w:pPr>
            <w:r>
              <w:rPr>
                <w:rFonts w:hint="eastAsia" w:ascii="宋体" w:hAnsi="宋体" w:eastAsia="宋体" w:cs="宋体"/>
                <w:b w:val="0"/>
                <w:bCs w:val="0"/>
                <w:color w:val="auto"/>
                <w:sz w:val="21"/>
                <w:szCs w:val="21"/>
                <w:lang w:val="en-US" w:eastAsia="zh-CN"/>
              </w:rPr>
              <w:t>采购人指定地点。</w:t>
            </w:r>
          </w:p>
        </w:tc>
        <w:tc>
          <w:tcPr>
            <w:tcW w:w="797" w:type="pct"/>
            <w:tcBorders>
              <w:tl2br w:val="nil"/>
              <w:tr2bl w:val="nil"/>
            </w:tcBorders>
            <w:shd w:val="clear" w:color="auto" w:fill="auto"/>
            <w:tcMar>
              <w:top w:w="15" w:type="dxa"/>
              <w:left w:w="15" w:type="dxa"/>
              <w:bottom w:w="15" w:type="dxa"/>
              <w:right w:w="15" w:type="dxa"/>
            </w:tcMar>
            <w:vAlign w:val="center"/>
          </w:tcPr>
          <w:p w14:paraId="1ECF0838">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color w:val="auto"/>
                <w:sz w:val="21"/>
                <w:szCs w:val="21"/>
                <w:lang w:eastAsia="zh-CN"/>
              </w:rPr>
              <w:t>不可负偏离</w:t>
            </w:r>
          </w:p>
        </w:tc>
      </w:tr>
      <w:tr w14:paraId="4C86BD29">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43"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3794F577">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b w:val="0"/>
                <w:bCs/>
                <w:color w:val="auto"/>
                <w:sz w:val="21"/>
                <w:szCs w:val="21"/>
              </w:rPr>
              <w:t>2</w:t>
            </w:r>
          </w:p>
        </w:tc>
        <w:tc>
          <w:tcPr>
            <w:tcW w:w="670" w:type="pct"/>
            <w:tcBorders>
              <w:tl2br w:val="nil"/>
              <w:tr2bl w:val="nil"/>
            </w:tcBorders>
            <w:shd w:val="clear" w:color="auto" w:fill="auto"/>
            <w:tcMar>
              <w:top w:w="15" w:type="dxa"/>
              <w:left w:w="15" w:type="dxa"/>
              <w:bottom w:w="15" w:type="dxa"/>
              <w:right w:w="15" w:type="dxa"/>
            </w:tcMar>
            <w:vAlign w:val="center"/>
          </w:tcPr>
          <w:p w14:paraId="6CF85CCA">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eastAsia="zh-CN"/>
              </w:rPr>
              <w:t>交货期</w:t>
            </w:r>
          </w:p>
        </w:tc>
        <w:tc>
          <w:tcPr>
            <w:tcW w:w="3102" w:type="pct"/>
            <w:tcBorders>
              <w:tl2br w:val="nil"/>
              <w:tr2bl w:val="nil"/>
            </w:tcBorders>
            <w:shd w:val="clear" w:color="auto" w:fill="auto"/>
            <w:tcMar>
              <w:top w:w="15" w:type="dxa"/>
              <w:left w:w="15" w:type="dxa"/>
              <w:bottom w:w="15" w:type="dxa"/>
              <w:right w:w="15" w:type="dxa"/>
            </w:tcMar>
            <w:vAlign w:val="center"/>
          </w:tcPr>
          <w:p w14:paraId="1DE1FC37">
            <w:pPr>
              <w:keepNext w:val="0"/>
              <w:keepLines w:val="0"/>
              <w:pageBreakBefore w:val="0"/>
              <w:widowControl w:val="0"/>
              <w:numPr>
                <w:ilvl w:val="0"/>
                <w:numId w:val="1"/>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自签订合同生效之日起</w:t>
            </w:r>
            <w:r>
              <w:rPr>
                <w:rFonts w:hint="eastAsia" w:ascii="宋体" w:hAnsi="宋体" w:eastAsia="宋体" w:cs="宋体"/>
                <w:b w:val="0"/>
                <w:bCs w:val="0"/>
                <w:color w:val="auto"/>
                <w:kern w:val="2"/>
                <w:sz w:val="21"/>
                <w:szCs w:val="21"/>
                <w:highlight w:val="none"/>
                <w:u w:val="single"/>
                <w:lang w:val="en-US" w:eastAsia="zh-CN" w:bidi="ar-SA"/>
              </w:rPr>
              <w:t>30日</w:t>
            </w:r>
            <w:r>
              <w:rPr>
                <w:rFonts w:hint="eastAsia" w:ascii="宋体" w:hAnsi="宋体" w:eastAsia="宋体" w:cs="宋体"/>
                <w:b w:val="0"/>
                <w:bCs w:val="0"/>
                <w:color w:val="auto"/>
                <w:kern w:val="2"/>
                <w:sz w:val="21"/>
                <w:szCs w:val="21"/>
                <w:highlight w:val="none"/>
                <w:u w:val="none"/>
                <w:lang w:val="en-US" w:eastAsia="zh-CN" w:bidi="ar-SA"/>
              </w:rPr>
              <w:t>内交货完成</w:t>
            </w:r>
            <w:r>
              <w:rPr>
                <w:rFonts w:hint="eastAsia" w:ascii="宋体" w:hAnsi="宋体" w:eastAsia="宋体" w:cs="宋体"/>
                <w:color w:val="auto"/>
                <w:kern w:val="2"/>
                <w:sz w:val="21"/>
                <w:szCs w:val="21"/>
                <w:highlight w:val="none"/>
                <w:u w:val="none"/>
                <w:lang w:val="en-US" w:eastAsia="zh-CN" w:bidi="ar-SA"/>
              </w:rPr>
              <w:t>。</w:t>
            </w:r>
          </w:p>
          <w:p w14:paraId="310402A9">
            <w:pPr>
              <w:keepNext w:val="0"/>
              <w:keepLines w:val="0"/>
              <w:pageBreakBefore w:val="0"/>
              <w:widowControl w:val="0"/>
              <w:numPr>
                <w:ilvl w:val="0"/>
                <w:numId w:val="1"/>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卖方所提供货物的质量、性能不符合合同规定标准的，采购人有权拒收；因此产生的一切经济损失由卖方承担。</w:t>
            </w:r>
          </w:p>
          <w:p w14:paraId="07F021C1">
            <w:pPr>
              <w:keepNext w:val="0"/>
              <w:keepLines w:val="0"/>
              <w:pageBreakBefore w:val="0"/>
              <w:widowControl w:val="0"/>
              <w:numPr>
                <w:ilvl w:val="0"/>
                <w:numId w:val="1"/>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kern w:val="2"/>
                <w:sz w:val="21"/>
                <w:szCs w:val="21"/>
                <w:highlight w:val="none"/>
                <w:u w:val="none"/>
                <w:lang w:val="en-US" w:eastAsia="zh-CN" w:bidi="ar-SA"/>
              </w:rPr>
              <w:t>如果卖方没有按照合同规定或取得采购人同意延长的时间交货，赔偿费按货物的总价计价金额每延迟一天0.5%计收。但违约赔偿费的最高限额为迟交服务计价金额的5%。如果乙方在达到最高限额后仍不能交付的，甲方有权终止合同，产生的一切损失由卖方自己承担。</w:t>
            </w:r>
          </w:p>
        </w:tc>
        <w:tc>
          <w:tcPr>
            <w:tcW w:w="797" w:type="pct"/>
            <w:tcBorders>
              <w:tl2br w:val="nil"/>
              <w:tr2bl w:val="nil"/>
            </w:tcBorders>
            <w:shd w:val="clear" w:color="auto" w:fill="auto"/>
            <w:tcMar>
              <w:top w:w="15" w:type="dxa"/>
              <w:left w:w="15" w:type="dxa"/>
              <w:bottom w:w="15" w:type="dxa"/>
              <w:right w:w="15" w:type="dxa"/>
            </w:tcMar>
            <w:vAlign w:val="center"/>
          </w:tcPr>
          <w:p w14:paraId="6452C365">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color w:val="auto"/>
                <w:sz w:val="21"/>
                <w:szCs w:val="21"/>
                <w:lang w:eastAsia="zh-CN"/>
              </w:rPr>
              <w:t>不可负偏离</w:t>
            </w:r>
          </w:p>
        </w:tc>
      </w:tr>
      <w:tr w14:paraId="2C1EFEDE">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90"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1AF05084">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val="0"/>
                <w:bCs/>
                <w:color w:val="auto"/>
                <w:sz w:val="21"/>
                <w:szCs w:val="21"/>
              </w:rPr>
              <w:t>3</w:t>
            </w:r>
          </w:p>
        </w:tc>
        <w:tc>
          <w:tcPr>
            <w:tcW w:w="670" w:type="pct"/>
            <w:tcBorders>
              <w:tl2br w:val="nil"/>
              <w:tr2bl w:val="nil"/>
            </w:tcBorders>
            <w:shd w:val="clear" w:color="auto" w:fill="auto"/>
            <w:tcMar>
              <w:top w:w="15" w:type="dxa"/>
              <w:left w:w="15" w:type="dxa"/>
              <w:bottom w:w="15" w:type="dxa"/>
              <w:right w:w="15" w:type="dxa"/>
            </w:tcMar>
            <w:vAlign w:val="center"/>
          </w:tcPr>
          <w:p w14:paraId="6155E965">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val="0"/>
                <w:bCs/>
                <w:color w:val="auto"/>
                <w:sz w:val="21"/>
                <w:szCs w:val="21"/>
              </w:rPr>
              <w:t>付款方式</w:t>
            </w:r>
          </w:p>
        </w:tc>
        <w:tc>
          <w:tcPr>
            <w:tcW w:w="3102" w:type="pct"/>
            <w:tcBorders>
              <w:tl2br w:val="nil"/>
              <w:tr2bl w:val="nil"/>
            </w:tcBorders>
            <w:shd w:val="clear" w:color="auto" w:fill="auto"/>
            <w:tcMar>
              <w:top w:w="15" w:type="dxa"/>
              <w:left w:w="15" w:type="dxa"/>
              <w:bottom w:w="15" w:type="dxa"/>
              <w:right w:w="15" w:type="dxa"/>
            </w:tcMar>
            <w:vAlign w:val="center"/>
          </w:tcPr>
          <w:p w14:paraId="038F0562">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合同签订并生效后，全部货到现场并经初验合格后付至合同金额的70%，全部货物安装调试完成经相关部门(组织相关专家)验收合格后付至合同金额的100%。</w:t>
            </w:r>
          </w:p>
        </w:tc>
        <w:tc>
          <w:tcPr>
            <w:tcW w:w="797" w:type="pct"/>
            <w:tcBorders>
              <w:tl2br w:val="nil"/>
              <w:tr2bl w:val="nil"/>
            </w:tcBorders>
            <w:shd w:val="clear" w:color="auto" w:fill="auto"/>
            <w:tcMar>
              <w:top w:w="15" w:type="dxa"/>
              <w:left w:w="15" w:type="dxa"/>
              <w:bottom w:w="15" w:type="dxa"/>
              <w:right w:w="15" w:type="dxa"/>
            </w:tcMar>
            <w:vAlign w:val="center"/>
          </w:tcPr>
          <w:p w14:paraId="3615D6F9">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不可负偏离</w:t>
            </w:r>
          </w:p>
        </w:tc>
      </w:tr>
      <w:tr w14:paraId="78F622D0">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055"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6022D93D">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val="0"/>
                <w:bCs/>
                <w:color w:val="auto"/>
                <w:sz w:val="21"/>
                <w:szCs w:val="21"/>
              </w:rPr>
              <w:t>4</w:t>
            </w:r>
          </w:p>
        </w:tc>
        <w:tc>
          <w:tcPr>
            <w:tcW w:w="670" w:type="pct"/>
            <w:tcBorders>
              <w:tl2br w:val="nil"/>
              <w:tr2bl w:val="nil"/>
            </w:tcBorders>
            <w:shd w:val="clear" w:color="auto" w:fill="auto"/>
            <w:tcMar>
              <w:top w:w="15" w:type="dxa"/>
              <w:left w:w="15" w:type="dxa"/>
              <w:bottom w:w="15" w:type="dxa"/>
              <w:right w:w="15" w:type="dxa"/>
            </w:tcMar>
            <w:vAlign w:val="center"/>
          </w:tcPr>
          <w:p w14:paraId="5C2BAF1B">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b w:val="0"/>
                <w:bCs/>
                <w:color w:val="auto"/>
                <w:sz w:val="21"/>
                <w:szCs w:val="21"/>
              </w:rPr>
              <w:t>报价方式</w:t>
            </w:r>
          </w:p>
        </w:tc>
        <w:tc>
          <w:tcPr>
            <w:tcW w:w="3102" w:type="pct"/>
            <w:tcBorders>
              <w:tl2br w:val="nil"/>
              <w:tr2bl w:val="nil"/>
            </w:tcBorders>
            <w:shd w:val="clear" w:color="auto" w:fill="auto"/>
            <w:tcMar>
              <w:top w:w="15" w:type="dxa"/>
              <w:left w:w="15" w:type="dxa"/>
              <w:bottom w:w="15" w:type="dxa"/>
              <w:right w:w="15" w:type="dxa"/>
            </w:tcMar>
            <w:vAlign w:val="center"/>
          </w:tcPr>
          <w:p w14:paraId="76088F95">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投标人报价应包括:设备、包装、保险、税费、管理、运杂、装卸、施工配套、检测等全部费用，由供应商负责运至采购人指定现场，负责与有关货物的运行，合格后交付采购人使用，均应列入货物总报价。</w:t>
            </w:r>
          </w:p>
        </w:tc>
        <w:tc>
          <w:tcPr>
            <w:tcW w:w="797" w:type="pct"/>
            <w:tcBorders>
              <w:tl2br w:val="nil"/>
              <w:tr2bl w:val="nil"/>
            </w:tcBorders>
            <w:shd w:val="clear" w:color="auto" w:fill="auto"/>
            <w:tcMar>
              <w:top w:w="15" w:type="dxa"/>
              <w:left w:w="15" w:type="dxa"/>
              <w:bottom w:w="15" w:type="dxa"/>
              <w:right w:w="15" w:type="dxa"/>
            </w:tcMar>
            <w:vAlign w:val="center"/>
          </w:tcPr>
          <w:p w14:paraId="400D1F5C">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不可负偏离</w:t>
            </w:r>
          </w:p>
        </w:tc>
      </w:tr>
      <w:tr w14:paraId="3F9F11C1">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055"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1AA1965F">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color w:val="auto"/>
                <w:sz w:val="21"/>
                <w:szCs w:val="21"/>
                <w:lang w:val="en-US" w:eastAsia="zh-CN"/>
              </w:rPr>
            </w:pPr>
            <w:r>
              <w:rPr>
                <w:rFonts w:hint="eastAsia" w:ascii="宋体" w:hAnsi="宋体" w:eastAsia="宋体" w:cs="宋体"/>
                <w:b w:val="0"/>
                <w:bCs/>
                <w:color w:val="auto"/>
                <w:sz w:val="21"/>
                <w:szCs w:val="21"/>
                <w:lang w:val="en-US" w:eastAsia="zh-CN"/>
              </w:rPr>
              <w:t>5</w:t>
            </w:r>
          </w:p>
        </w:tc>
        <w:tc>
          <w:tcPr>
            <w:tcW w:w="670" w:type="pct"/>
            <w:tcBorders>
              <w:tl2br w:val="nil"/>
              <w:tr2bl w:val="nil"/>
            </w:tcBorders>
            <w:shd w:val="clear" w:color="auto" w:fill="auto"/>
            <w:tcMar>
              <w:top w:w="15" w:type="dxa"/>
              <w:left w:w="15" w:type="dxa"/>
              <w:bottom w:w="15" w:type="dxa"/>
              <w:right w:w="15" w:type="dxa"/>
            </w:tcMar>
            <w:vAlign w:val="center"/>
          </w:tcPr>
          <w:p w14:paraId="5A0219E6">
            <w:pPr>
              <w:pStyle w:val="2"/>
              <w:ind w:firstLine="210" w:firstLineChars="100"/>
              <w:rPr>
                <w:rFonts w:hint="eastAsia" w:ascii="宋体" w:hAnsi="宋体" w:eastAsia="宋体" w:cs="宋体"/>
                <w:sz w:val="21"/>
                <w:szCs w:val="21"/>
                <w:lang w:eastAsia="zh-CN"/>
              </w:rPr>
            </w:pPr>
            <w:r>
              <w:rPr>
                <w:rFonts w:hint="eastAsia" w:ascii="宋体" w:hAnsi="宋体" w:eastAsia="宋体" w:cs="宋体"/>
                <w:color w:val="auto"/>
                <w:sz w:val="21"/>
                <w:szCs w:val="21"/>
                <w:lang w:eastAsia="zh-CN"/>
              </w:rPr>
              <w:t>货物要求</w:t>
            </w:r>
          </w:p>
        </w:tc>
        <w:tc>
          <w:tcPr>
            <w:tcW w:w="3102" w:type="pct"/>
            <w:tcBorders>
              <w:tl2br w:val="nil"/>
              <w:tr2bl w:val="nil"/>
            </w:tcBorders>
            <w:shd w:val="clear" w:color="auto" w:fill="auto"/>
            <w:tcMar>
              <w:top w:w="15" w:type="dxa"/>
              <w:left w:w="15" w:type="dxa"/>
              <w:bottom w:w="15" w:type="dxa"/>
              <w:right w:w="15" w:type="dxa"/>
            </w:tcMar>
            <w:vAlign w:val="center"/>
          </w:tcPr>
          <w:p w14:paraId="03BEDFD6">
            <w:pPr>
              <w:keepNext w:val="0"/>
              <w:keepLines w:val="0"/>
              <w:pageBreakBefore w:val="0"/>
              <w:widowControl w:val="0"/>
              <w:numPr>
                <w:ilvl w:val="0"/>
                <w:numId w:val="2"/>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卖方必须保证所提供的货物符合本项目合同规定的质量、规格。</w:t>
            </w:r>
          </w:p>
          <w:p w14:paraId="57B99E5F">
            <w:pPr>
              <w:keepNext w:val="0"/>
              <w:keepLines w:val="0"/>
              <w:pageBreakBefore w:val="0"/>
              <w:widowControl w:val="0"/>
              <w:numPr>
                <w:ilvl w:val="0"/>
                <w:numId w:val="2"/>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卖方所提供的货物必须为原厂原装、全新产品，无污染、表面无划损、无任何缺陷隐患，符合国家有关质量标准的。</w:t>
            </w:r>
          </w:p>
          <w:p w14:paraId="523624E7">
            <w:pPr>
              <w:keepNext w:val="0"/>
              <w:keepLines w:val="0"/>
              <w:pageBreakBefore w:val="0"/>
              <w:widowControl w:val="0"/>
              <w:numPr>
                <w:ilvl w:val="0"/>
                <w:numId w:val="2"/>
              </w:numPr>
              <w:kinsoku/>
              <w:wordWrap w:val="0"/>
              <w:overflowPunct/>
              <w:topLinePunct w:val="0"/>
              <w:autoSpaceDE/>
              <w:autoSpaceDN/>
              <w:bidi w:val="0"/>
              <w:adjustRightInd/>
              <w:snapToGrid/>
              <w:spacing w:line="320" w:lineRule="exact"/>
              <w:ind w:left="105" w:leftChars="50" w:right="105" w:rightChars="50"/>
              <w:jc w:val="left"/>
              <w:textAlignment w:val="auto"/>
              <w:rPr>
                <w:rFonts w:hint="eastAsia" w:ascii="宋体" w:hAnsi="宋体" w:eastAsia="宋体" w:cs="宋体"/>
                <w:sz w:val="21"/>
                <w:szCs w:val="21"/>
                <w:lang w:val="en-US" w:eastAsia="zh-CN"/>
              </w:rPr>
            </w:pPr>
            <w:r>
              <w:rPr>
                <w:rFonts w:hint="eastAsia" w:ascii="宋体" w:hAnsi="宋体" w:eastAsia="宋体" w:cs="宋体"/>
                <w:color w:val="auto"/>
                <w:sz w:val="21"/>
                <w:szCs w:val="21"/>
                <w:lang w:val="en-US" w:eastAsia="zh-CN"/>
              </w:rPr>
              <w:t>卖方应保证买方在使用该货物或其任何一部分时不受第三方提出侵犯专利权、商标权、著作权、工业设计权或其它知识产权起诉的指控。如果任何第三方提出侵权指控或赔偿要求，卖方须与第三方交涉并承担可能发生的一切损失、费用和法律责任。</w:t>
            </w:r>
          </w:p>
        </w:tc>
        <w:tc>
          <w:tcPr>
            <w:tcW w:w="797" w:type="pct"/>
            <w:tcBorders>
              <w:tl2br w:val="nil"/>
              <w:tr2bl w:val="nil"/>
            </w:tcBorders>
            <w:shd w:val="clear" w:color="auto" w:fill="auto"/>
            <w:tcMar>
              <w:top w:w="15" w:type="dxa"/>
              <w:left w:w="15" w:type="dxa"/>
              <w:bottom w:w="15" w:type="dxa"/>
              <w:right w:w="15" w:type="dxa"/>
            </w:tcMar>
            <w:vAlign w:val="center"/>
          </w:tcPr>
          <w:p w14:paraId="5780B182">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不可负偏离</w:t>
            </w:r>
          </w:p>
        </w:tc>
      </w:tr>
      <w:tr w14:paraId="34F7646C">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18"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3E87D70F">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color w:val="auto"/>
                <w:sz w:val="21"/>
                <w:szCs w:val="21"/>
                <w:lang w:val="en-US" w:eastAsia="zh-CN"/>
              </w:rPr>
            </w:pPr>
            <w:r>
              <w:rPr>
                <w:rFonts w:hint="eastAsia" w:ascii="宋体" w:hAnsi="宋体" w:eastAsia="宋体" w:cs="宋体"/>
                <w:b w:val="0"/>
                <w:bCs/>
                <w:color w:val="auto"/>
                <w:sz w:val="21"/>
                <w:szCs w:val="21"/>
                <w:lang w:val="en-US" w:eastAsia="zh-CN"/>
              </w:rPr>
              <w:t>6</w:t>
            </w:r>
          </w:p>
        </w:tc>
        <w:tc>
          <w:tcPr>
            <w:tcW w:w="670" w:type="pct"/>
            <w:tcBorders>
              <w:tl2br w:val="nil"/>
              <w:tr2bl w:val="nil"/>
            </w:tcBorders>
            <w:shd w:val="clear" w:color="auto" w:fill="auto"/>
            <w:tcMar>
              <w:top w:w="15" w:type="dxa"/>
              <w:left w:w="15" w:type="dxa"/>
              <w:bottom w:w="15" w:type="dxa"/>
              <w:right w:w="15" w:type="dxa"/>
            </w:tcMar>
            <w:vAlign w:val="center"/>
          </w:tcPr>
          <w:p w14:paraId="0D65B621">
            <w:pPr>
              <w:pStyle w:val="2"/>
              <w:ind w:left="210" w:leftChars="100" w:firstLine="0" w:firstLineChars="0"/>
              <w:rPr>
                <w:rFonts w:hint="eastAsia" w:ascii="宋体" w:hAnsi="宋体" w:eastAsia="宋体" w:cs="宋体"/>
                <w:sz w:val="21"/>
                <w:szCs w:val="21"/>
              </w:rPr>
            </w:pPr>
            <w:r>
              <w:rPr>
                <w:rFonts w:hint="eastAsia" w:ascii="宋体" w:hAnsi="宋体" w:eastAsia="宋体" w:cs="宋体"/>
                <w:b w:val="0"/>
                <w:bCs/>
                <w:color w:val="auto"/>
                <w:kern w:val="0"/>
                <w:sz w:val="21"/>
                <w:szCs w:val="21"/>
                <w:lang w:eastAsia="zh-CN"/>
              </w:rPr>
              <w:t>运输及保管、保险</w:t>
            </w:r>
          </w:p>
        </w:tc>
        <w:tc>
          <w:tcPr>
            <w:tcW w:w="3102" w:type="pct"/>
            <w:tcBorders>
              <w:tl2br w:val="nil"/>
              <w:tr2bl w:val="nil"/>
            </w:tcBorders>
            <w:shd w:val="clear" w:color="auto" w:fill="auto"/>
            <w:tcMar>
              <w:top w:w="15" w:type="dxa"/>
              <w:left w:w="15" w:type="dxa"/>
              <w:bottom w:w="15" w:type="dxa"/>
              <w:right w:w="15" w:type="dxa"/>
            </w:tcMar>
            <w:vAlign w:val="center"/>
          </w:tcPr>
          <w:p w14:paraId="7FEF8894">
            <w:pPr>
              <w:pStyle w:val="2"/>
              <w:numPr>
                <w:ilvl w:val="0"/>
                <w:numId w:val="3"/>
              </w:numP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中标人负责根据各品目不同的安装地点，将设备材料送到现场过程中的全部运输;包括装卸车、货物现场的搬运、设备的安装、调试等;</w:t>
            </w:r>
          </w:p>
          <w:p w14:paraId="6E164C45">
            <w:pPr>
              <w:pStyle w:val="2"/>
              <w:numPr>
                <w:ilvl w:val="0"/>
                <w:numId w:val="3"/>
              </w:numP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货物在现场的保管由中标人负责，直至项目安装、验收完毕;</w:t>
            </w:r>
          </w:p>
          <w:p w14:paraId="39C60FC9">
            <w:pPr>
              <w:pStyle w:val="2"/>
              <w:numPr>
                <w:ilvl w:val="0"/>
                <w:numId w:val="3"/>
              </w:numP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货物在安装调试验收合格前的保险由中标人负责，中标人负责其派出的现场服务人员人身意外保险。</w:t>
            </w:r>
          </w:p>
          <w:p w14:paraId="70EB161C">
            <w:pPr>
              <w:pStyle w:val="2"/>
              <w:rPr>
                <w:rFonts w:hint="eastAsia" w:ascii="宋体" w:hAnsi="宋体" w:eastAsia="宋体" w:cs="宋体"/>
                <w:sz w:val="21"/>
                <w:szCs w:val="21"/>
                <w:lang w:val="en-US" w:eastAsia="zh-CN"/>
              </w:rPr>
            </w:pPr>
            <w:r>
              <w:rPr>
                <w:rFonts w:hint="eastAsia" w:ascii="宋体" w:hAnsi="宋体" w:eastAsia="宋体" w:cs="宋体"/>
                <w:b w:val="0"/>
                <w:bCs w:val="0"/>
                <w:color w:val="auto"/>
                <w:sz w:val="21"/>
                <w:szCs w:val="21"/>
                <w:highlight w:val="none"/>
                <w:lang w:val="en-US" w:eastAsia="zh-CN"/>
              </w:rPr>
              <w:t>4.设备、材料的拆箱、安装、通电、调试等项工作由中标单位负责，但必须在采购人指定人员的参与下进行。中标单位在施工过程中必须采取足够的安全措施，并自行负责相关安全责任。</w:t>
            </w:r>
          </w:p>
        </w:tc>
        <w:tc>
          <w:tcPr>
            <w:tcW w:w="797" w:type="pct"/>
            <w:tcBorders>
              <w:tl2br w:val="nil"/>
              <w:tr2bl w:val="nil"/>
            </w:tcBorders>
            <w:shd w:val="clear" w:color="auto" w:fill="auto"/>
            <w:tcMar>
              <w:top w:w="15" w:type="dxa"/>
              <w:left w:w="15" w:type="dxa"/>
              <w:bottom w:w="15" w:type="dxa"/>
              <w:right w:w="15" w:type="dxa"/>
            </w:tcMar>
            <w:vAlign w:val="center"/>
          </w:tcPr>
          <w:p w14:paraId="00A7B6D5">
            <w:pPr>
              <w:keepNext w:val="0"/>
              <w:keepLines w:val="0"/>
              <w:pageBreakBefore w:val="0"/>
              <w:widowControl w:val="0"/>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不可负偏离</w:t>
            </w:r>
          </w:p>
        </w:tc>
      </w:tr>
      <w:tr w14:paraId="3C1D8D6B">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420"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6C40799B">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color w:val="auto"/>
                <w:kern w:val="0"/>
                <w:sz w:val="21"/>
                <w:szCs w:val="21"/>
                <w:lang w:val="en-US" w:eastAsia="zh-CN"/>
              </w:rPr>
            </w:pPr>
            <w:r>
              <w:rPr>
                <w:rFonts w:hint="eastAsia" w:ascii="宋体" w:hAnsi="宋体" w:eastAsia="宋体" w:cs="宋体"/>
                <w:b w:val="0"/>
                <w:bCs/>
                <w:color w:val="auto"/>
                <w:kern w:val="0"/>
                <w:sz w:val="21"/>
                <w:szCs w:val="21"/>
                <w:lang w:val="en-US" w:eastAsia="zh-CN"/>
              </w:rPr>
              <w:t>7</w:t>
            </w:r>
          </w:p>
        </w:tc>
        <w:tc>
          <w:tcPr>
            <w:tcW w:w="670" w:type="pct"/>
            <w:tcBorders>
              <w:tl2br w:val="nil"/>
              <w:tr2bl w:val="nil"/>
            </w:tcBorders>
            <w:shd w:val="clear" w:color="auto" w:fill="auto"/>
            <w:tcMar>
              <w:top w:w="15" w:type="dxa"/>
              <w:left w:w="15" w:type="dxa"/>
              <w:bottom w:w="15" w:type="dxa"/>
              <w:right w:w="15" w:type="dxa"/>
            </w:tcMar>
            <w:vAlign w:val="center"/>
          </w:tcPr>
          <w:p w14:paraId="3B5C5748">
            <w:pPr>
              <w:pStyle w:val="2"/>
              <w:ind w:firstLine="210" w:firstLineChars="100"/>
              <w:rPr>
                <w:rFonts w:hint="eastAsia" w:ascii="宋体" w:hAnsi="宋体" w:eastAsia="宋体" w:cs="宋体"/>
                <w:sz w:val="21"/>
                <w:szCs w:val="21"/>
                <w:lang w:eastAsia="zh-CN"/>
              </w:rPr>
            </w:pPr>
            <w:r>
              <w:rPr>
                <w:rFonts w:hint="eastAsia" w:ascii="宋体" w:hAnsi="宋体" w:eastAsia="宋体" w:cs="宋体"/>
                <w:b w:val="0"/>
                <w:bCs/>
                <w:color w:val="auto"/>
                <w:kern w:val="0"/>
                <w:sz w:val="21"/>
                <w:szCs w:val="21"/>
                <w:highlight w:val="none"/>
                <w:lang w:eastAsia="zh-CN"/>
              </w:rPr>
              <w:t>项目验收</w:t>
            </w:r>
          </w:p>
        </w:tc>
        <w:tc>
          <w:tcPr>
            <w:tcW w:w="3102" w:type="pct"/>
            <w:tcBorders>
              <w:tl2br w:val="nil"/>
              <w:tr2bl w:val="nil"/>
            </w:tcBorders>
            <w:shd w:val="clear" w:color="auto" w:fill="auto"/>
            <w:tcMar>
              <w:top w:w="15" w:type="dxa"/>
              <w:left w:w="15" w:type="dxa"/>
              <w:bottom w:w="15" w:type="dxa"/>
              <w:right w:w="15" w:type="dxa"/>
            </w:tcMar>
            <w:vAlign w:val="center"/>
          </w:tcPr>
          <w:p w14:paraId="6C78B41A">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1.验收按国家有关的规定、规范进行。</w:t>
            </w:r>
          </w:p>
          <w:p w14:paraId="5482A70A">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货物全部供货并安装完毕并交付使用后，由中标人提出验收，采购人在7个工作日内组织技术专家对产品依照招标文件及投标文件上的技术规格要求以及国家有关标准进行验收;产品性能达到技术要求，验收时如发现产品的质量、性能不符合招标文件规定标准的，采购人有权在产品验收时予以拒收;因此产生的一切经济损失由中标人自行承担。</w:t>
            </w:r>
          </w:p>
          <w:p w14:paraId="32B75D9F">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3.对于不合格的产品，中标人必须在24小时内及时完成更换，并保证验收合格。24小时内不能更换的或更换的产品验收不合格，按逾期交货处理。</w:t>
            </w:r>
          </w:p>
          <w:p w14:paraId="0592D260">
            <w:pPr>
              <w:pStyle w:val="2"/>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4.验收所产生的一切费用由中标人承担。</w:t>
            </w:r>
          </w:p>
        </w:tc>
        <w:tc>
          <w:tcPr>
            <w:tcW w:w="797" w:type="pct"/>
            <w:tcBorders>
              <w:tl2br w:val="nil"/>
              <w:tr2bl w:val="nil"/>
            </w:tcBorders>
            <w:shd w:val="clear" w:color="auto" w:fill="auto"/>
            <w:tcMar>
              <w:top w:w="15" w:type="dxa"/>
              <w:left w:w="15" w:type="dxa"/>
              <w:bottom w:w="15" w:type="dxa"/>
              <w:right w:w="15" w:type="dxa"/>
            </w:tcMar>
            <w:vAlign w:val="center"/>
          </w:tcPr>
          <w:p w14:paraId="00D2ED17">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不可负偏离</w:t>
            </w:r>
          </w:p>
        </w:tc>
      </w:tr>
      <w:tr w14:paraId="792C2B7E">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470"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3A82A5F7">
            <w:pPr>
              <w:keepNext w:val="0"/>
              <w:keepLines w:val="0"/>
              <w:pageBreakBefore w:val="0"/>
              <w:widowControl w:val="0"/>
              <w:tabs>
                <w:tab w:val="left" w:pos="0"/>
              </w:tabs>
              <w:kinsoku/>
              <w:wordWrap w:val="0"/>
              <w:overflowPunct/>
              <w:topLinePunct w:val="0"/>
              <w:autoSpaceDE/>
              <w:autoSpaceDN/>
              <w:bidi w:val="0"/>
              <w:adjustRightInd/>
              <w:snapToGrid/>
              <w:spacing w:line="320" w:lineRule="exact"/>
              <w:ind w:right="105" w:rightChars="50" w:firstLine="420" w:firstLineChars="200"/>
              <w:jc w:val="both"/>
              <w:textAlignment w:val="auto"/>
              <w:rPr>
                <w:rFonts w:hint="eastAsia" w:ascii="宋体" w:hAnsi="宋体" w:eastAsia="宋体" w:cs="宋体"/>
                <w:b w:val="0"/>
                <w:bCs/>
                <w:color w:val="auto"/>
                <w:kern w:val="0"/>
                <w:sz w:val="21"/>
                <w:szCs w:val="21"/>
                <w:lang w:val="en-US" w:eastAsia="zh-CN"/>
              </w:rPr>
            </w:pPr>
            <w:r>
              <w:rPr>
                <w:rFonts w:hint="eastAsia" w:ascii="宋体" w:hAnsi="宋体" w:eastAsia="宋体" w:cs="宋体"/>
                <w:b w:val="0"/>
                <w:bCs/>
                <w:color w:val="auto"/>
                <w:kern w:val="0"/>
                <w:sz w:val="21"/>
                <w:szCs w:val="21"/>
                <w:lang w:val="en-US" w:eastAsia="zh-CN"/>
              </w:rPr>
              <w:t>8</w:t>
            </w:r>
          </w:p>
        </w:tc>
        <w:tc>
          <w:tcPr>
            <w:tcW w:w="670" w:type="pct"/>
            <w:tcBorders>
              <w:tl2br w:val="nil"/>
              <w:tr2bl w:val="nil"/>
            </w:tcBorders>
            <w:shd w:val="clear" w:color="auto" w:fill="auto"/>
            <w:tcMar>
              <w:top w:w="15" w:type="dxa"/>
              <w:left w:w="15" w:type="dxa"/>
              <w:bottom w:w="15" w:type="dxa"/>
              <w:right w:w="15" w:type="dxa"/>
            </w:tcMar>
            <w:vAlign w:val="center"/>
          </w:tcPr>
          <w:p w14:paraId="4514DEDC">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both"/>
              <w:textAlignment w:val="auto"/>
              <w:rPr>
                <w:rFonts w:hint="eastAsia" w:ascii="宋体" w:hAnsi="宋体" w:eastAsia="宋体" w:cs="宋体"/>
                <w:b w:val="0"/>
                <w:bCs/>
                <w:color w:val="0070C0"/>
                <w:kern w:val="0"/>
                <w:sz w:val="21"/>
                <w:szCs w:val="21"/>
                <w:lang w:eastAsia="zh-CN"/>
              </w:rPr>
            </w:pPr>
            <w:r>
              <w:rPr>
                <w:rFonts w:hint="eastAsia" w:ascii="宋体" w:hAnsi="宋体" w:eastAsia="宋体" w:cs="宋体"/>
                <w:b w:val="0"/>
                <w:bCs/>
                <w:color w:val="auto"/>
                <w:kern w:val="0"/>
                <w:sz w:val="21"/>
                <w:szCs w:val="21"/>
                <w:lang w:eastAsia="zh-CN"/>
              </w:rPr>
              <w:t>质保期及售后服务</w:t>
            </w:r>
          </w:p>
        </w:tc>
        <w:tc>
          <w:tcPr>
            <w:tcW w:w="3102" w:type="pct"/>
            <w:tcBorders>
              <w:tl2br w:val="nil"/>
              <w:tr2bl w:val="nil"/>
            </w:tcBorders>
            <w:shd w:val="clear" w:color="auto" w:fill="auto"/>
            <w:tcMar>
              <w:top w:w="15" w:type="dxa"/>
              <w:left w:w="15" w:type="dxa"/>
              <w:bottom w:w="15" w:type="dxa"/>
              <w:right w:w="15" w:type="dxa"/>
            </w:tcMar>
            <w:vAlign w:val="center"/>
          </w:tcPr>
          <w:p w14:paraId="50938993">
            <w:pPr>
              <w:pStyle w:val="2"/>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1.质保期:所有产品自验收合格之日起两年。</w:t>
            </w:r>
          </w:p>
          <w:p w14:paraId="16FA28A9">
            <w:pPr>
              <w:pStyle w:val="2"/>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2.产品质量保证:</w:t>
            </w:r>
          </w:p>
          <w:p w14:paraId="614EAA69">
            <w:pPr>
              <w:pStyle w:val="2"/>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(1)响应产品属于国家规定“三包”范围的，其产品质量保证期不得低于“三包”规定。</w:t>
            </w:r>
          </w:p>
          <w:p w14:paraId="17689B2D">
            <w:pPr>
              <w:pStyle w:val="2"/>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(2)卖方的质量保证期承诺优于国家“三包”规定的，按卖方实际服务方案执行。</w:t>
            </w:r>
          </w:p>
          <w:p w14:paraId="598BC3BE">
            <w:pPr>
              <w:pStyle w:val="2"/>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3.保修期内，卖方负责对其提供的货物整体进行维修和附件的维护，不再收取任何费用，但人为因素，自然因素(如火灾、地震等)造成的故障除外。</w:t>
            </w:r>
          </w:p>
          <w:p w14:paraId="451FD1A8">
            <w:pPr>
              <w:pStyle w:val="2"/>
              <w:rPr>
                <w:rFonts w:hint="eastAsia" w:ascii="宋体" w:hAnsi="宋体" w:eastAsia="宋体" w:cs="宋体"/>
                <w:sz w:val="21"/>
                <w:szCs w:val="21"/>
                <w:lang w:val="en-US" w:eastAsia="zh-CN"/>
              </w:rPr>
            </w:pPr>
            <w:r>
              <w:rPr>
                <w:rFonts w:hint="eastAsia" w:ascii="宋体" w:hAnsi="宋体" w:eastAsia="宋体" w:cs="宋体"/>
                <w:b w:val="0"/>
                <w:bCs w:val="0"/>
                <w:color w:val="auto"/>
                <w:sz w:val="21"/>
                <w:szCs w:val="21"/>
                <w:lang w:val="en-US" w:eastAsia="zh-CN"/>
              </w:rPr>
              <w:t>4.质保期内所有货物保修服务方式均为上门保修，即卖方派员到采购人使用现场维修，由此产生的一切费用均由卖方承担</w:t>
            </w:r>
          </w:p>
        </w:tc>
        <w:tc>
          <w:tcPr>
            <w:tcW w:w="797" w:type="pct"/>
            <w:tcBorders>
              <w:tl2br w:val="nil"/>
              <w:tr2bl w:val="nil"/>
            </w:tcBorders>
            <w:shd w:val="clear" w:color="auto" w:fill="auto"/>
            <w:tcMar>
              <w:top w:w="15" w:type="dxa"/>
              <w:left w:w="15" w:type="dxa"/>
              <w:bottom w:w="15" w:type="dxa"/>
              <w:right w:w="15" w:type="dxa"/>
            </w:tcMar>
            <w:vAlign w:val="center"/>
          </w:tcPr>
          <w:p w14:paraId="63579DA1">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不可负偏离</w:t>
            </w:r>
          </w:p>
        </w:tc>
      </w:tr>
      <w:tr w14:paraId="35C70BB4">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470" w:hRule="atLeast"/>
          <w:tblCellSpacing w:w="0" w:type="dxa"/>
          <w:jc w:val="center"/>
        </w:trPr>
        <w:tc>
          <w:tcPr>
            <w:tcW w:w="430" w:type="pct"/>
            <w:tcBorders>
              <w:tl2br w:val="nil"/>
              <w:tr2bl w:val="nil"/>
            </w:tcBorders>
            <w:shd w:val="clear" w:color="auto" w:fill="auto"/>
            <w:tcMar>
              <w:top w:w="15" w:type="dxa"/>
              <w:left w:w="15" w:type="dxa"/>
              <w:bottom w:w="15" w:type="dxa"/>
              <w:right w:w="15" w:type="dxa"/>
            </w:tcMar>
            <w:vAlign w:val="center"/>
          </w:tcPr>
          <w:p w14:paraId="54CB4171">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b w:val="0"/>
                <w:bCs/>
                <w:color w:val="auto"/>
                <w:kern w:val="0"/>
                <w:sz w:val="21"/>
                <w:szCs w:val="21"/>
                <w:lang w:val="en-US" w:eastAsia="zh-CN"/>
              </w:rPr>
            </w:pPr>
            <w:r>
              <w:rPr>
                <w:rFonts w:hint="eastAsia" w:ascii="宋体" w:hAnsi="宋体" w:eastAsia="宋体" w:cs="宋体"/>
                <w:b w:val="0"/>
                <w:bCs/>
                <w:color w:val="auto"/>
                <w:kern w:val="0"/>
                <w:sz w:val="21"/>
                <w:szCs w:val="21"/>
                <w:lang w:val="en-US" w:eastAsia="zh-CN"/>
              </w:rPr>
              <w:t>9</w:t>
            </w:r>
          </w:p>
        </w:tc>
        <w:tc>
          <w:tcPr>
            <w:tcW w:w="670" w:type="pct"/>
            <w:tcBorders>
              <w:tl2br w:val="nil"/>
              <w:tr2bl w:val="nil"/>
            </w:tcBorders>
            <w:shd w:val="clear" w:color="auto" w:fill="auto"/>
            <w:tcMar>
              <w:top w:w="15" w:type="dxa"/>
              <w:left w:w="15" w:type="dxa"/>
              <w:bottom w:w="15" w:type="dxa"/>
              <w:right w:w="15" w:type="dxa"/>
            </w:tcMar>
            <w:vAlign w:val="center"/>
          </w:tcPr>
          <w:p w14:paraId="3E2126B3">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both"/>
              <w:textAlignment w:val="auto"/>
              <w:rPr>
                <w:rFonts w:hint="eastAsia" w:ascii="宋体" w:hAnsi="宋体" w:eastAsia="宋体" w:cs="宋体"/>
                <w:b w:val="0"/>
                <w:bCs/>
                <w:color w:val="00B0F0"/>
                <w:kern w:val="0"/>
                <w:sz w:val="21"/>
                <w:szCs w:val="21"/>
                <w:lang w:eastAsia="zh-CN"/>
              </w:rPr>
            </w:pPr>
          </w:p>
          <w:p w14:paraId="221FC23E">
            <w:pPr>
              <w:pStyle w:val="4"/>
              <w:ind w:left="0" w:leftChars="0" w:firstLine="0" w:firstLineChars="0"/>
              <w:rPr>
                <w:rFonts w:hint="eastAsia" w:ascii="宋体" w:hAnsi="宋体" w:eastAsia="宋体" w:cs="宋体"/>
                <w:sz w:val="21"/>
                <w:szCs w:val="21"/>
                <w:lang w:val="en-US" w:eastAsia="zh-CN"/>
              </w:rPr>
            </w:pPr>
            <w:r>
              <w:rPr>
                <w:rFonts w:hint="eastAsia" w:ascii="宋体" w:hAnsi="宋体" w:eastAsia="宋体" w:cs="宋体"/>
                <w:b w:val="0"/>
                <w:bCs/>
                <w:color w:val="auto"/>
                <w:kern w:val="0"/>
                <w:sz w:val="21"/>
                <w:szCs w:val="21"/>
                <w:lang w:val="en-US" w:eastAsia="zh-CN"/>
              </w:rPr>
              <w:t>设备故障的处理及响应时间</w:t>
            </w:r>
          </w:p>
        </w:tc>
        <w:tc>
          <w:tcPr>
            <w:tcW w:w="3102" w:type="pct"/>
            <w:tcBorders>
              <w:tl2br w:val="nil"/>
              <w:tr2bl w:val="nil"/>
            </w:tcBorders>
            <w:shd w:val="clear" w:color="auto" w:fill="auto"/>
            <w:tcMar>
              <w:top w:w="15" w:type="dxa"/>
              <w:left w:w="15" w:type="dxa"/>
              <w:bottom w:w="15" w:type="dxa"/>
              <w:right w:w="15" w:type="dxa"/>
            </w:tcMar>
            <w:vAlign w:val="center"/>
          </w:tcPr>
          <w:p w14:paraId="3B6C35FC">
            <w:pPr>
              <w:pStyle w:val="2"/>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1.故障处理措施:发现故障或接到故障通知，2小时响应，12小时内赶到现场进行处理;</w:t>
            </w:r>
          </w:p>
          <w:p w14:paraId="38245CF0">
            <w:pPr>
              <w:pStyle w:val="2"/>
              <w:rPr>
                <w:rFonts w:hint="eastAsia" w:ascii="宋体" w:hAnsi="宋体" w:eastAsia="宋体" w:cs="宋体"/>
                <w:sz w:val="21"/>
                <w:szCs w:val="21"/>
                <w:lang w:val="en-US" w:eastAsia="zh-CN"/>
              </w:rPr>
            </w:pPr>
            <w:r>
              <w:rPr>
                <w:rFonts w:hint="eastAsia" w:ascii="宋体" w:hAnsi="宋体" w:eastAsia="宋体" w:cs="宋体"/>
                <w:b w:val="0"/>
                <w:bCs w:val="0"/>
                <w:color w:val="auto"/>
                <w:sz w:val="21"/>
                <w:szCs w:val="21"/>
                <w:highlight w:val="none"/>
                <w:lang w:val="en-US" w:eastAsia="zh-CN"/>
              </w:rPr>
              <w:t>2.故障应急措施:现场设备发生重大故障，运营维护人员应在第一时间电话通报项目心负责人，由项目负责人根据情况向相关部门汇报，24小时内排除故障，恢复正常运行。</w:t>
            </w:r>
          </w:p>
        </w:tc>
        <w:tc>
          <w:tcPr>
            <w:tcW w:w="797" w:type="pct"/>
            <w:tcBorders>
              <w:tl2br w:val="nil"/>
              <w:tr2bl w:val="nil"/>
            </w:tcBorders>
            <w:shd w:val="clear" w:color="auto" w:fill="auto"/>
            <w:tcMar>
              <w:top w:w="15" w:type="dxa"/>
              <w:left w:w="15" w:type="dxa"/>
              <w:bottom w:w="15" w:type="dxa"/>
              <w:right w:w="15" w:type="dxa"/>
            </w:tcMar>
            <w:vAlign w:val="center"/>
          </w:tcPr>
          <w:p w14:paraId="04126F8F">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105" w:leftChars="50" w:right="105" w:rightChar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不可负偏离</w:t>
            </w:r>
          </w:p>
        </w:tc>
      </w:tr>
    </w:tbl>
    <w:p w14:paraId="28D076D2">
      <w:pPr>
        <w:pageBreakBefore w:val="0"/>
        <w:widowControl w:val="0"/>
        <w:wordWrap/>
        <w:overflowPunct/>
        <w:topLinePunct w:val="0"/>
        <w:bidi w:val="0"/>
        <w:spacing w:line="249" w:lineRule="auto"/>
        <w:rPr>
          <w:rFonts w:hint="eastAsia" w:ascii="宋体" w:hAnsi="宋体" w:eastAsia="宋体" w:cs="宋体"/>
          <w:color w:val="auto"/>
          <w:sz w:val="21"/>
          <w:szCs w:val="21"/>
          <w:highlight w:val="none"/>
          <w:lang w:eastAsia="zh-CN"/>
        </w:rPr>
      </w:pPr>
    </w:p>
    <w:p w14:paraId="4AD4B6AA">
      <w:pPr>
        <w:pageBreakBefore w:val="0"/>
        <w:widowControl w:val="0"/>
        <w:wordWrap/>
        <w:overflowPunct/>
        <w:topLinePunct w:val="0"/>
        <w:bidi w:val="0"/>
        <w:spacing w:line="249"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注：1、以上商务条款投标人必须完全响应，否则作无效标处理；</w:t>
      </w:r>
    </w:p>
    <w:p w14:paraId="6A9A80F1">
      <w:pPr>
        <w:pageBreakBefore w:val="0"/>
        <w:widowControl w:val="0"/>
        <w:wordWrap/>
        <w:overflowPunct/>
        <w:topLinePunct w:val="0"/>
        <w:bidi w:val="0"/>
        <w:spacing w:line="249" w:lineRule="auto"/>
        <w:rPr>
          <w:rFonts w:hint="eastAsia" w:ascii="宋体" w:hAnsi="宋体" w:eastAsia="宋体" w:cs="宋体"/>
          <w:color w:val="auto"/>
          <w:highlight w:val="none"/>
          <w:lang w:eastAsia="zh-CN"/>
        </w:rPr>
      </w:pPr>
      <w:r>
        <w:rPr>
          <w:rFonts w:hint="eastAsia" w:ascii="宋体" w:hAnsi="宋体" w:eastAsia="宋体" w:cs="宋体"/>
          <w:color w:val="auto"/>
          <w:sz w:val="21"/>
          <w:szCs w:val="21"/>
          <w:highlight w:val="none"/>
          <w:lang w:eastAsia="zh-CN"/>
        </w:rPr>
        <w:t>2、若无特殊说明，本招标文件中所述及的“日”和“天”均指“日历日”。</w:t>
      </w:r>
    </w:p>
    <w:p w14:paraId="6BA998CB">
      <w:pPr>
        <w:pageBreakBefore w:val="0"/>
        <w:widowControl w:val="0"/>
        <w:wordWrap/>
        <w:overflowPunct/>
        <w:topLinePunct w:val="0"/>
        <w:bidi w:val="0"/>
        <w:spacing w:line="249" w:lineRule="auto"/>
        <w:rPr>
          <w:color w:val="auto"/>
          <w:highlight w:val="none"/>
          <w:lang w:eastAsia="zh-CN"/>
        </w:rPr>
      </w:pPr>
    </w:p>
    <w:p w14:paraId="2E898C3C">
      <w:pPr>
        <w:pageBreakBefore w:val="0"/>
        <w:widowControl w:val="0"/>
        <w:wordWrap/>
        <w:overflowPunct/>
        <w:topLinePunct w:val="0"/>
        <w:bidi w:val="0"/>
        <w:spacing w:line="249" w:lineRule="auto"/>
        <w:rPr>
          <w:color w:val="auto"/>
          <w:highlight w:val="none"/>
          <w:lang w:eastAsia="zh-CN"/>
        </w:rPr>
      </w:pPr>
    </w:p>
    <w:p w14:paraId="12E01B75">
      <w:pPr>
        <w:pageBreakBefore w:val="0"/>
        <w:widowControl w:val="0"/>
        <w:wordWrap/>
        <w:overflowPunct/>
        <w:topLinePunct w:val="0"/>
        <w:bidi w:val="0"/>
        <w:spacing w:before="185" w:line="360" w:lineRule="auto"/>
        <w:outlineLvl w:val="0"/>
        <w:rPr>
          <w:color w:val="auto"/>
          <w:highlight w:val="none"/>
          <w:lang w:eastAsia="zh-CN"/>
        </w:rPr>
      </w:pPr>
      <w:bookmarkStart w:id="0" w:name="bookmark82"/>
      <w:bookmarkEnd w:id="0"/>
    </w:p>
    <w:p w14:paraId="7F999D6C"/>
    <w:sectPr>
      <w:footerReference r:id="rId3"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F1535">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DC268B">
                          <w:pPr>
                            <w:pStyle w:val="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9DC268B">
                    <w:pPr>
                      <w:pStyle w:val="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0530E4"/>
    <w:multiLevelType w:val="singleLevel"/>
    <w:tmpl w:val="B30530E4"/>
    <w:lvl w:ilvl="0" w:tentative="0">
      <w:start w:val="1"/>
      <w:numFmt w:val="decimal"/>
      <w:lvlText w:val="%1."/>
      <w:lvlJc w:val="left"/>
      <w:pPr>
        <w:tabs>
          <w:tab w:val="left" w:pos="312"/>
        </w:tabs>
      </w:pPr>
    </w:lvl>
  </w:abstractNum>
  <w:abstractNum w:abstractNumId="1">
    <w:nsid w:val="D3309F4D"/>
    <w:multiLevelType w:val="singleLevel"/>
    <w:tmpl w:val="D3309F4D"/>
    <w:lvl w:ilvl="0" w:tentative="0">
      <w:start w:val="1"/>
      <w:numFmt w:val="decimal"/>
      <w:suff w:val="nothing"/>
      <w:lvlText w:val="%1、"/>
      <w:lvlJc w:val="left"/>
      <w:rPr>
        <w:rFonts w:hint="default" w:ascii="宋体" w:hAnsi="宋体" w:eastAsia="宋体" w:cs="宋体"/>
        <w:sz w:val="20"/>
        <w:szCs w:val="20"/>
      </w:rPr>
    </w:lvl>
  </w:abstractNum>
  <w:abstractNum w:abstractNumId="2">
    <w:nsid w:val="5E7480BE"/>
    <w:multiLevelType w:val="singleLevel"/>
    <w:tmpl w:val="5E7480BE"/>
    <w:lvl w:ilvl="0" w:tentative="0">
      <w:start w:val="1"/>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877487"/>
    <w:rsid w:val="7D8774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2026-05-19T06:05:00Z</dcterms:created>
  <dc:creator>陈憨憨</dc:creator>
  <cp:lastModifiedBy>陈憨憨</cp:lastModifiedBy>
  <dcterms:modified xsi:type="dcterms:W3CDTF">2026-05-19T06:06:27Z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2DFA6DF51CA94CAE80FF501041F39157_11</vt:lpwstr>
  </property>
  <property fmtid="{D5CDD505-2E9C-101B-9397-08002B2CF9AE}" pid="4" name="KSOTemplateDocerSaveRecord">
    <vt:lpwstr>eyJoZGlkIjoiN2VmOGY1NDg5Nzg3YjA3YjJhZjAxNjJmMWZlNjE0MzAiLCJ1c2VySWQiOiI4NDQ0MzU5MDAifQ==</vt:lpwstr>
  </property>
</Properties>
</file>