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E1473F">
      <w:pPr>
        <w:spacing w:line="254" w:lineRule="auto"/>
        <w:rPr>
          <w:rFonts w:ascii="Arial"/>
          <w:color w:val="auto"/>
          <w:sz w:val="21"/>
        </w:rPr>
      </w:pPr>
    </w:p>
    <w:p w14:paraId="67BDE147">
      <w:pPr>
        <w:spacing w:line="254" w:lineRule="auto"/>
        <w:rPr>
          <w:rFonts w:ascii="Arial"/>
          <w:color w:val="auto"/>
          <w:sz w:val="21"/>
        </w:rPr>
      </w:pPr>
    </w:p>
    <w:p w14:paraId="27BF741A">
      <w:pPr>
        <w:spacing w:line="254" w:lineRule="auto"/>
        <w:rPr>
          <w:rFonts w:ascii="Arial"/>
          <w:color w:val="auto"/>
          <w:sz w:val="21"/>
        </w:rPr>
      </w:pPr>
    </w:p>
    <w:p w14:paraId="5F2D94D8">
      <w:pPr>
        <w:spacing w:line="254" w:lineRule="auto"/>
        <w:rPr>
          <w:rFonts w:ascii="Arial"/>
          <w:color w:val="auto"/>
          <w:sz w:val="21"/>
        </w:rPr>
      </w:pPr>
    </w:p>
    <w:p w14:paraId="2E4437C5">
      <w:pPr>
        <w:pStyle w:val="4"/>
        <w:spacing w:before="231" w:line="271" w:lineRule="auto"/>
        <w:ind w:left="2199" w:right="2008" w:hanging="185"/>
        <w:outlineLvl w:val="0"/>
        <w:rPr>
          <w:color w:val="auto"/>
          <w:sz w:val="71"/>
          <w:szCs w:val="71"/>
        </w:rPr>
      </w:pPr>
      <w:r>
        <w:rPr>
          <w:b/>
          <w:bCs/>
          <w:color w:val="auto"/>
          <w:spacing w:val="1"/>
          <w:sz w:val="71"/>
          <w:szCs w:val="71"/>
        </w:rPr>
        <w:t>政府采购项目</w:t>
      </w:r>
      <w:r>
        <w:rPr>
          <w:color w:val="auto"/>
          <w:sz w:val="71"/>
          <w:szCs w:val="71"/>
        </w:rPr>
        <w:t xml:space="preserve"> </w:t>
      </w:r>
      <w:r>
        <w:rPr>
          <w:b/>
          <w:bCs/>
          <w:color w:val="auto"/>
          <w:spacing w:val="-1"/>
          <w:sz w:val="71"/>
          <w:szCs w:val="71"/>
        </w:rPr>
        <w:t>采</w:t>
      </w:r>
      <w:r>
        <w:rPr>
          <w:color w:val="auto"/>
          <w:spacing w:val="-1"/>
          <w:sz w:val="71"/>
          <w:szCs w:val="71"/>
        </w:rPr>
        <w:t xml:space="preserve"> </w:t>
      </w:r>
      <w:r>
        <w:rPr>
          <w:b/>
          <w:bCs/>
          <w:color w:val="auto"/>
          <w:spacing w:val="-1"/>
          <w:sz w:val="71"/>
          <w:szCs w:val="71"/>
        </w:rPr>
        <w:t>购</w:t>
      </w:r>
      <w:r>
        <w:rPr>
          <w:color w:val="auto"/>
          <w:spacing w:val="-1"/>
          <w:sz w:val="71"/>
          <w:szCs w:val="71"/>
        </w:rPr>
        <w:t xml:space="preserve"> </w:t>
      </w:r>
      <w:r>
        <w:rPr>
          <w:b/>
          <w:bCs/>
          <w:color w:val="auto"/>
          <w:spacing w:val="-1"/>
          <w:sz w:val="71"/>
          <w:szCs w:val="71"/>
        </w:rPr>
        <w:t>需</w:t>
      </w:r>
      <w:r>
        <w:rPr>
          <w:color w:val="auto"/>
          <w:spacing w:val="15"/>
          <w:sz w:val="71"/>
          <w:szCs w:val="71"/>
        </w:rPr>
        <w:t xml:space="preserve"> </w:t>
      </w:r>
      <w:r>
        <w:rPr>
          <w:b/>
          <w:bCs/>
          <w:color w:val="auto"/>
          <w:spacing w:val="-1"/>
          <w:sz w:val="71"/>
          <w:szCs w:val="71"/>
        </w:rPr>
        <w:t>求</w:t>
      </w:r>
    </w:p>
    <w:p w14:paraId="49C20548">
      <w:pPr>
        <w:spacing w:line="282" w:lineRule="auto"/>
        <w:rPr>
          <w:rFonts w:ascii="Arial"/>
          <w:color w:val="auto"/>
          <w:sz w:val="21"/>
        </w:rPr>
      </w:pPr>
    </w:p>
    <w:p w14:paraId="2056DBDB">
      <w:pPr>
        <w:spacing w:line="282" w:lineRule="auto"/>
        <w:rPr>
          <w:rFonts w:ascii="Arial"/>
          <w:color w:val="auto"/>
          <w:sz w:val="21"/>
        </w:rPr>
      </w:pPr>
    </w:p>
    <w:p w14:paraId="19F5B2BB">
      <w:pPr>
        <w:spacing w:line="282" w:lineRule="auto"/>
        <w:rPr>
          <w:rFonts w:ascii="Arial"/>
          <w:color w:val="auto"/>
          <w:sz w:val="21"/>
        </w:rPr>
      </w:pPr>
    </w:p>
    <w:p w14:paraId="3B6FD710">
      <w:pPr>
        <w:spacing w:line="282" w:lineRule="auto"/>
        <w:rPr>
          <w:rFonts w:ascii="Arial"/>
          <w:color w:val="auto"/>
          <w:sz w:val="21"/>
        </w:rPr>
      </w:pPr>
    </w:p>
    <w:p w14:paraId="2D865EA9">
      <w:pPr>
        <w:spacing w:line="282" w:lineRule="auto"/>
        <w:rPr>
          <w:rFonts w:ascii="Arial"/>
          <w:color w:val="auto"/>
          <w:sz w:val="21"/>
        </w:rPr>
      </w:pPr>
    </w:p>
    <w:p w14:paraId="09DC0019">
      <w:pPr>
        <w:spacing w:line="282" w:lineRule="auto"/>
        <w:rPr>
          <w:rFonts w:ascii="Arial"/>
          <w:color w:val="auto"/>
          <w:sz w:val="21"/>
        </w:rPr>
      </w:pPr>
    </w:p>
    <w:p w14:paraId="5370BEFF">
      <w:pPr>
        <w:spacing w:line="282" w:lineRule="auto"/>
        <w:rPr>
          <w:rFonts w:ascii="Arial"/>
          <w:color w:val="auto"/>
          <w:sz w:val="21"/>
        </w:rPr>
      </w:pPr>
    </w:p>
    <w:p w14:paraId="4F367575">
      <w:pPr>
        <w:spacing w:line="282" w:lineRule="auto"/>
        <w:rPr>
          <w:rFonts w:ascii="Arial"/>
          <w:color w:val="auto"/>
          <w:sz w:val="21"/>
        </w:rPr>
      </w:pPr>
    </w:p>
    <w:p w14:paraId="4CD1658C">
      <w:pPr>
        <w:spacing w:line="282" w:lineRule="auto"/>
        <w:rPr>
          <w:rFonts w:ascii="Arial"/>
          <w:color w:val="auto"/>
          <w:sz w:val="21"/>
        </w:rPr>
      </w:pPr>
    </w:p>
    <w:p w14:paraId="396EFF0D">
      <w:pPr>
        <w:spacing w:line="282" w:lineRule="auto"/>
        <w:rPr>
          <w:rFonts w:ascii="Arial"/>
          <w:color w:val="auto"/>
          <w:sz w:val="21"/>
        </w:rPr>
      </w:pPr>
    </w:p>
    <w:p w14:paraId="122477EF">
      <w:pPr>
        <w:spacing w:line="282" w:lineRule="auto"/>
        <w:rPr>
          <w:rFonts w:ascii="Arial"/>
          <w:color w:val="auto"/>
          <w:sz w:val="21"/>
        </w:rPr>
      </w:pPr>
    </w:p>
    <w:p w14:paraId="4FD9D5A2">
      <w:pPr>
        <w:spacing w:line="282" w:lineRule="auto"/>
        <w:rPr>
          <w:rFonts w:ascii="Arial"/>
          <w:color w:val="auto"/>
          <w:sz w:val="21"/>
        </w:rPr>
      </w:pPr>
    </w:p>
    <w:p w14:paraId="3F7F50D0">
      <w:pPr>
        <w:spacing w:line="282" w:lineRule="auto"/>
        <w:rPr>
          <w:rFonts w:ascii="Arial"/>
          <w:color w:val="auto"/>
          <w:sz w:val="21"/>
        </w:rPr>
      </w:pPr>
    </w:p>
    <w:p w14:paraId="2DB6C4E8">
      <w:pPr>
        <w:spacing w:line="282" w:lineRule="auto"/>
        <w:rPr>
          <w:rFonts w:ascii="Arial"/>
          <w:color w:val="auto"/>
          <w:sz w:val="21"/>
        </w:rPr>
      </w:pPr>
    </w:p>
    <w:p w14:paraId="54AB00BD">
      <w:pPr>
        <w:spacing w:line="282" w:lineRule="auto"/>
        <w:rPr>
          <w:rFonts w:ascii="Arial"/>
          <w:color w:val="auto"/>
          <w:sz w:val="21"/>
        </w:rPr>
      </w:pPr>
    </w:p>
    <w:p w14:paraId="097EEC88">
      <w:pPr>
        <w:spacing w:line="283" w:lineRule="auto"/>
        <w:rPr>
          <w:rFonts w:ascii="Arial"/>
          <w:color w:val="auto"/>
          <w:sz w:val="21"/>
        </w:rPr>
      </w:pPr>
    </w:p>
    <w:p w14:paraId="4327A55B">
      <w:pPr>
        <w:spacing w:line="283" w:lineRule="auto"/>
        <w:rPr>
          <w:rFonts w:ascii="Arial"/>
          <w:color w:val="auto"/>
          <w:sz w:val="21"/>
        </w:rPr>
      </w:pPr>
    </w:p>
    <w:p w14:paraId="358CD1CB">
      <w:pPr>
        <w:pStyle w:val="4"/>
        <w:tabs>
          <w:tab w:val="left" w:pos="6414"/>
        </w:tabs>
        <w:spacing w:line="360" w:lineRule="auto"/>
        <w:ind w:left="0" w:leftChars="0" w:right="0" w:firstLine="0" w:firstLineChars="0"/>
        <w:jc w:val="left"/>
        <w:rPr>
          <w:rFonts w:hint="default" w:asciiTheme="minorEastAsia" w:hAnsiTheme="minorEastAsia" w:eastAsiaTheme="minorEastAsia" w:cstheme="minorEastAsia"/>
          <w:b w:val="0"/>
          <w:bCs/>
          <w:color w:val="auto"/>
          <w:sz w:val="32"/>
          <w:szCs w:val="32"/>
          <w:u w:val="single"/>
          <w:lang w:val="en-US" w:eastAsia="zh-CN"/>
        </w:rPr>
      </w:pPr>
      <w:r>
        <w:rPr>
          <w:b/>
          <w:bCs/>
          <w:color w:val="auto"/>
          <w:spacing w:val="5"/>
        </w:rPr>
        <w:t>项目名称：</w:t>
      </w:r>
      <w:r>
        <w:rPr>
          <w:rFonts w:hint="eastAsia"/>
          <w:b/>
          <w:bCs/>
          <w:color w:val="auto"/>
          <w:spacing w:val="5"/>
          <w:u w:val="single"/>
          <w:lang w:val="en-US" w:eastAsia="zh-CN"/>
        </w:rPr>
        <w:t xml:space="preserve">  和顺廉租房小区智慧安防项目</w:t>
      </w:r>
      <w:r>
        <w:rPr>
          <w:rFonts w:hint="eastAsia" w:asciiTheme="minorEastAsia" w:hAnsiTheme="minorEastAsia" w:eastAsiaTheme="minorEastAsia" w:cstheme="minorEastAsia"/>
          <w:b w:val="0"/>
          <w:bCs/>
          <w:color w:val="auto"/>
          <w:sz w:val="32"/>
          <w:szCs w:val="32"/>
          <w:u w:val="single"/>
          <w:lang w:val="en-US" w:eastAsia="zh-CN"/>
        </w:rPr>
        <w:t xml:space="preserve"> </w:t>
      </w:r>
    </w:p>
    <w:p w14:paraId="3DE02600">
      <w:pPr>
        <w:pStyle w:val="4"/>
        <w:tabs>
          <w:tab w:val="left" w:pos="6414"/>
        </w:tabs>
        <w:spacing w:line="360" w:lineRule="auto"/>
        <w:ind w:left="0" w:leftChars="0" w:right="0" w:firstLine="0" w:firstLineChars="0"/>
        <w:jc w:val="left"/>
        <w:rPr>
          <w:rFonts w:hint="eastAsia"/>
          <w:color w:val="auto"/>
          <w:lang w:val="en-US" w:eastAsia="zh-CN"/>
        </w:rPr>
      </w:pPr>
      <w:r>
        <w:rPr>
          <w:b/>
          <w:bCs/>
          <w:color w:val="auto"/>
          <w:spacing w:val="5"/>
        </w:rPr>
        <w:t>采购单位：</w:t>
      </w:r>
      <w:r>
        <w:rPr>
          <w:rFonts w:hint="eastAsia"/>
          <w:b/>
          <w:bCs/>
          <w:color w:val="auto"/>
          <w:spacing w:val="5"/>
          <w:u w:val="single"/>
          <w:lang w:val="en-US" w:eastAsia="zh-CN"/>
        </w:rPr>
        <w:t xml:space="preserve">        定南县住房城乡建设局         </w:t>
      </w:r>
      <w:r>
        <w:rPr>
          <w:rFonts w:hint="eastAsia"/>
          <w:color w:val="auto"/>
          <w:lang w:val="en-US" w:eastAsia="zh-CN"/>
        </w:rPr>
        <w:t xml:space="preserve"> </w:t>
      </w:r>
    </w:p>
    <w:p w14:paraId="2E67DC69">
      <w:pPr>
        <w:pStyle w:val="4"/>
        <w:tabs>
          <w:tab w:val="left" w:pos="6414"/>
        </w:tabs>
        <w:spacing w:line="360" w:lineRule="auto"/>
        <w:ind w:left="0" w:leftChars="0" w:right="0" w:firstLine="0" w:firstLineChars="0"/>
        <w:jc w:val="left"/>
        <w:rPr>
          <w:rFonts w:hint="eastAsia" w:asciiTheme="minorEastAsia" w:hAnsiTheme="minorEastAsia" w:eastAsiaTheme="minorEastAsia" w:cstheme="minorEastAsia"/>
          <w:b w:val="0"/>
          <w:bCs/>
          <w:color w:val="auto"/>
          <w:sz w:val="32"/>
          <w:szCs w:val="32"/>
          <w:u w:val="single"/>
          <w:lang w:val="en-US" w:eastAsia="zh-CN"/>
        </w:rPr>
      </w:pPr>
      <w:r>
        <w:rPr>
          <w:b/>
          <w:bCs/>
          <w:color w:val="auto"/>
          <w:spacing w:val="5"/>
        </w:rPr>
        <w:t>编制单位：</w:t>
      </w:r>
      <w:r>
        <w:rPr>
          <w:rFonts w:hint="eastAsia"/>
          <w:b/>
          <w:bCs/>
          <w:color w:val="auto"/>
          <w:spacing w:val="5"/>
          <w:u w:val="single"/>
          <w:lang w:val="en-US" w:eastAsia="zh-CN"/>
        </w:rPr>
        <w:t xml:space="preserve">       定南县住房城乡建设局  </w:t>
      </w:r>
      <w:r>
        <w:rPr>
          <w:rFonts w:hint="eastAsia" w:asciiTheme="minorEastAsia" w:hAnsiTheme="minorEastAsia" w:eastAsiaTheme="minorEastAsia" w:cstheme="minorEastAsia"/>
          <w:b w:val="0"/>
          <w:bCs/>
          <w:color w:val="auto"/>
          <w:sz w:val="32"/>
          <w:szCs w:val="32"/>
          <w:u w:val="single"/>
          <w:lang w:val="en-US" w:eastAsia="zh-CN"/>
        </w:rPr>
        <w:t xml:space="preserve">          </w:t>
      </w:r>
    </w:p>
    <w:p w14:paraId="5EB855DF">
      <w:pPr>
        <w:pStyle w:val="4"/>
        <w:tabs>
          <w:tab w:val="left" w:pos="6414"/>
        </w:tabs>
        <w:spacing w:line="360" w:lineRule="auto"/>
        <w:ind w:left="0" w:leftChars="0" w:right="0" w:firstLine="0" w:firstLineChars="0"/>
        <w:jc w:val="left"/>
        <w:rPr>
          <w:color w:val="auto"/>
        </w:rPr>
        <w:sectPr>
          <w:footerReference r:id="rId5" w:type="default"/>
          <w:pgSz w:w="11906" w:h="16839"/>
          <w:pgMar w:top="1431" w:right="1446" w:bottom="1271" w:left="1502" w:header="0" w:footer="992" w:gutter="0"/>
          <w:pgNumType w:fmt="decimal"/>
          <w:cols w:space="720" w:num="1"/>
        </w:sectPr>
      </w:pPr>
      <w:r>
        <w:rPr>
          <w:b/>
          <w:bCs/>
          <w:color w:val="auto"/>
          <w:spacing w:val="5"/>
        </w:rPr>
        <w:t>编制时间：</w:t>
      </w:r>
      <w:r>
        <w:rPr>
          <w:rFonts w:hint="eastAsia"/>
          <w:b/>
          <w:bCs/>
          <w:color w:val="auto"/>
          <w:spacing w:val="5"/>
          <w:u w:val="single"/>
          <w:lang w:val="en-US" w:eastAsia="zh-CN"/>
        </w:rPr>
        <w:t xml:space="preserve">             </w:t>
      </w:r>
      <w:r>
        <w:rPr>
          <w:rFonts w:hint="eastAsia" w:asciiTheme="minorEastAsia" w:hAnsiTheme="minorEastAsia" w:eastAsiaTheme="minorEastAsia" w:cstheme="minorEastAsia"/>
          <w:b w:val="0"/>
          <w:bCs/>
          <w:color w:val="auto"/>
          <w:sz w:val="32"/>
          <w:szCs w:val="32"/>
          <w:u w:val="single"/>
        </w:rPr>
        <w:t>202</w:t>
      </w:r>
      <w:r>
        <w:rPr>
          <w:rFonts w:hint="eastAsia" w:asciiTheme="minorEastAsia" w:hAnsiTheme="minorEastAsia" w:eastAsiaTheme="minorEastAsia" w:cstheme="minorEastAsia"/>
          <w:b w:val="0"/>
          <w:bCs/>
          <w:color w:val="auto"/>
          <w:sz w:val="32"/>
          <w:szCs w:val="32"/>
          <w:u w:val="single"/>
          <w:lang w:val="en-US" w:eastAsia="zh-CN"/>
        </w:rPr>
        <w:t>6</w:t>
      </w:r>
      <w:r>
        <w:rPr>
          <w:rFonts w:hint="eastAsia" w:asciiTheme="minorEastAsia" w:hAnsiTheme="minorEastAsia" w:eastAsiaTheme="minorEastAsia" w:cstheme="minorEastAsia"/>
          <w:b w:val="0"/>
          <w:bCs/>
          <w:color w:val="auto"/>
          <w:sz w:val="32"/>
          <w:szCs w:val="32"/>
          <w:u w:val="single"/>
        </w:rPr>
        <w:t>年</w:t>
      </w:r>
      <w:r>
        <w:rPr>
          <w:rFonts w:hint="eastAsia" w:asciiTheme="minorEastAsia" w:hAnsiTheme="minorEastAsia" w:eastAsiaTheme="minorEastAsia" w:cstheme="minorEastAsia"/>
          <w:b w:val="0"/>
          <w:bCs/>
          <w:color w:val="auto"/>
          <w:sz w:val="32"/>
          <w:szCs w:val="32"/>
          <w:u w:val="single"/>
          <w:lang w:val="en-US" w:eastAsia="zh-CN"/>
        </w:rPr>
        <w:t>5</w:t>
      </w:r>
      <w:r>
        <w:rPr>
          <w:rFonts w:hint="eastAsia" w:asciiTheme="minorEastAsia" w:hAnsiTheme="minorEastAsia" w:eastAsiaTheme="minorEastAsia" w:cstheme="minorEastAsia"/>
          <w:b w:val="0"/>
          <w:bCs/>
          <w:color w:val="auto"/>
          <w:sz w:val="32"/>
          <w:szCs w:val="32"/>
          <w:u w:val="single"/>
        </w:rPr>
        <w:t>月</w:t>
      </w:r>
      <w:r>
        <w:rPr>
          <w:rFonts w:hint="eastAsia" w:asciiTheme="minorEastAsia" w:hAnsiTheme="minorEastAsia" w:eastAsiaTheme="minorEastAsia" w:cstheme="minorEastAsia"/>
          <w:b w:val="0"/>
          <w:bCs/>
          <w:color w:val="auto"/>
          <w:sz w:val="32"/>
          <w:szCs w:val="32"/>
          <w:u w:val="single"/>
          <w:lang w:val="en-US" w:eastAsia="zh-CN"/>
        </w:rPr>
        <w:t xml:space="preserve">     </w:t>
      </w:r>
    </w:p>
    <w:p w14:paraId="784D441F">
      <w:pPr>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560" w:firstLineChars="200"/>
        <w:textAlignment w:val="baseline"/>
        <w:rPr>
          <w:rFonts w:hint="eastAsia" w:ascii="仿宋" w:hAnsi="仿宋" w:eastAsia="仿宋" w:cs="仿宋"/>
          <w:color w:val="auto"/>
          <w:spacing w:val="5"/>
          <w:sz w:val="27"/>
          <w:szCs w:val="27"/>
        </w:rPr>
      </w:pPr>
    </w:p>
    <w:p w14:paraId="4B69B6B6">
      <w:pPr>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560" w:firstLineChars="200"/>
        <w:textAlignment w:val="baseline"/>
        <w:rPr>
          <w:rFonts w:hint="eastAsia" w:ascii="仿宋" w:hAnsi="仿宋" w:eastAsia="仿宋" w:cs="仿宋"/>
          <w:color w:val="auto"/>
          <w:spacing w:val="5"/>
          <w:sz w:val="27"/>
          <w:szCs w:val="27"/>
        </w:rPr>
      </w:pPr>
    </w:p>
    <w:p w14:paraId="71EAFAAF">
      <w:pPr>
        <w:keepNext w:val="0"/>
        <w:keepLines w:val="0"/>
        <w:pageBreakBefore w:val="0"/>
        <w:widowControl/>
        <w:numPr>
          <w:ilvl w:val="0"/>
          <w:numId w:val="1"/>
        </w:numPr>
        <w:kinsoku w:val="0"/>
        <w:wordWrap/>
        <w:overflowPunct/>
        <w:topLinePunct w:val="0"/>
        <w:autoSpaceDE w:val="0"/>
        <w:autoSpaceDN w:val="0"/>
        <w:bidi w:val="0"/>
        <w:adjustRightInd w:val="0"/>
        <w:snapToGrid w:val="0"/>
        <w:spacing w:line="400" w:lineRule="exact"/>
        <w:ind w:left="0" w:right="0" w:firstLine="663" w:firstLineChars="200"/>
        <w:textAlignment w:val="baseline"/>
        <w:rPr>
          <w:rFonts w:hint="eastAsia" w:asciiTheme="majorEastAsia" w:hAnsiTheme="majorEastAsia" w:eastAsiaTheme="majorEastAsia" w:cstheme="majorEastAsia"/>
          <w:b/>
          <w:bCs/>
          <w:sz w:val="32"/>
          <w:szCs w:val="32"/>
        </w:rPr>
      </w:pPr>
      <w:r>
        <w:rPr>
          <w:rFonts w:hint="eastAsia" w:asciiTheme="majorEastAsia" w:hAnsiTheme="majorEastAsia" w:eastAsiaTheme="majorEastAsia" w:cstheme="majorEastAsia"/>
          <w:b/>
          <w:bCs/>
          <w:color w:val="auto"/>
          <w:spacing w:val="5"/>
          <w:sz w:val="32"/>
          <w:szCs w:val="32"/>
        </w:rPr>
        <w:t>项目概况</w:t>
      </w:r>
    </w:p>
    <w:p w14:paraId="40D76901">
      <w:pPr>
        <w:keepNext w:val="0"/>
        <w:keepLines w:val="0"/>
        <w:pageBreakBefore w:val="0"/>
        <w:widowControl/>
        <w:kinsoku/>
        <w:wordWrap/>
        <w:overflowPunct/>
        <w:topLinePunct w:val="0"/>
        <w:autoSpaceDE/>
        <w:autoSpaceDN/>
        <w:bidi w:val="0"/>
        <w:adjustRightInd/>
        <w:snapToGrid w:val="0"/>
        <w:spacing w:line="400" w:lineRule="exact"/>
        <w:ind w:left="0" w:right="0" w:firstLine="600" w:firstLineChars="200"/>
        <w:jc w:val="both"/>
        <w:textAlignment w:val="auto"/>
        <w:rPr>
          <w:rFonts w:hint="eastAsia" w:ascii="仿宋" w:hAnsi="仿宋" w:eastAsia="仿宋" w:cs="仿宋"/>
          <w:color w:val="auto"/>
          <w:sz w:val="30"/>
          <w:szCs w:val="30"/>
          <w:lang w:eastAsia="zh-CN"/>
        </w:rPr>
      </w:pPr>
    </w:p>
    <w:p w14:paraId="148543EA">
      <w:pPr>
        <w:keepNext w:val="0"/>
        <w:keepLines w:val="0"/>
        <w:pageBreakBefore w:val="0"/>
        <w:widowControl/>
        <w:kinsoku/>
        <w:wordWrap/>
        <w:overflowPunct/>
        <w:topLinePunct w:val="0"/>
        <w:autoSpaceDE/>
        <w:autoSpaceDN/>
        <w:bidi w:val="0"/>
        <w:adjustRightInd/>
        <w:snapToGrid w:val="0"/>
        <w:spacing w:line="400" w:lineRule="exact"/>
        <w:ind w:left="0" w:right="0" w:firstLine="600" w:firstLineChars="200"/>
        <w:jc w:val="both"/>
        <w:textAlignment w:val="auto"/>
        <w:rPr>
          <w:rFonts w:hint="eastAsia" w:ascii="仿宋" w:hAnsi="仿宋" w:eastAsia="仿宋" w:cs="仿宋"/>
          <w:color w:val="auto"/>
          <w:sz w:val="30"/>
          <w:szCs w:val="30"/>
          <w:lang w:eastAsia="zh-CN"/>
        </w:rPr>
      </w:pPr>
      <w:r>
        <w:rPr>
          <w:rFonts w:hint="eastAsia" w:ascii="仿宋" w:hAnsi="仿宋" w:eastAsia="仿宋" w:cs="仿宋"/>
          <w:color w:val="auto"/>
          <w:sz w:val="30"/>
          <w:szCs w:val="30"/>
          <w:lang w:eastAsia="zh-CN"/>
        </w:rPr>
        <w:t>1、本招标文件提出的是最低限度的要求，投标人的方案应达到或优于本招标文件要求，且符合国家有关标准和规范要求。本部分“第五章 采购需求”均属于不允许负偏离的实质性要求和条件。</w:t>
      </w:r>
    </w:p>
    <w:p w14:paraId="24EC031D">
      <w:pPr>
        <w:keepNext w:val="0"/>
        <w:keepLines w:val="0"/>
        <w:pageBreakBefore w:val="0"/>
        <w:widowControl/>
        <w:kinsoku/>
        <w:wordWrap/>
        <w:overflowPunct/>
        <w:topLinePunct w:val="0"/>
        <w:autoSpaceDE/>
        <w:autoSpaceDN/>
        <w:bidi w:val="0"/>
        <w:adjustRightInd/>
        <w:snapToGrid w:val="0"/>
        <w:spacing w:line="400" w:lineRule="exact"/>
        <w:ind w:left="0" w:right="0" w:firstLine="600" w:firstLineChars="200"/>
        <w:jc w:val="both"/>
        <w:textAlignment w:val="auto"/>
        <w:rPr>
          <w:rFonts w:hint="eastAsia" w:ascii="仿宋" w:hAnsi="仿宋" w:eastAsia="仿宋" w:cs="仿宋"/>
          <w:color w:val="auto"/>
          <w:sz w:val="30"/>
          <w:szCs w:val="30"/>
          <w:lang w:eastAsia="zh-CN"/>
        </w:rPr>
      </w:pPr>
    </w:p>
    <w:p w14:paraId="40FAC0A2">
      <w:pPr>
        <w:keepNext w:val="0"/>
        <w:keepLines w:val="0"/>
        <w:pageBreakBefore w:val="0"/>
        <w:widowControl/>
        <w:kinsoku/>
        <w:wordWrap/>
        <w:overflowPunct/>
        <w:topLinePunct w:val="0"/>
        <w:autoSpaceDE/>
        <w:autoSpaceDN/>
        <w:bidi w:val="0"/>
        <w:adjustRightInd/>
        <w:snapToGrid w:val="0"/>
        <w:spacing w:line="400" w:lineRule="exact"/>
        <w:ind w:left="0" w:right="0" w:firstLine="600" w:firstLineChars="200"/>
        <w:jc w:val="both"/>
        <w:textAlignment w:val="auto"/>
        <w:rPr>
          <w:rFonts w:hint="eastAsia" w:ascii="仿宋" w:hAnsi="仿宋" w:eastAsia="仿宋" w:cs="仿宋"/>
          <w:color w:val="auto"/>
          <w:sz w:val="30"/>
          <w:szCs w:val="30"/>
          <w:lang w:eastAsia="zh-CN"/>
        </w:rPr>
      </w:pPr>
      <w:r>
        <w:rPr>
          <w:rFonts w:hint="eastAsia" w:ascii="仿宋" w:hAnsi="仿宋" w:eastAsia="仿宋" w:cs="仿宋"/>
          <w:color w:val="auto"/>
          <w:sz w:val="30"/>
          <w:szCs w:val="30"/>
          <w:lang w:eastAsia="zh-CN"/>
        </w:rPr>
        <w:t>2、投标人须提供符合质量标准的服务。</w:t>
      </w:r>
    </w:p>
    <w:p w14:paraId="22C53772">
      <w:pPr>
        <w:keepNext w:val="0"/>
        <w:keepLines w:val="0"/>
        <w:pageBreakBefore w:val="0"/>
        <w:widowControl/>
        <w:kinsoku/>
        <w:wordWrap/>
        <w:overflowPunct/>
        <w:topLinePunct w:val="0"/>
        <w:autoSpaceDE/>
        <w:autoSpaceDN/>
        <w:bidi w:val="0"/>
        <w:adjustRightInd/>
        <w:snapToGrid w:val="0"/>
        <w:spacing w:line="400" w:lineRule="exact"/>
        <w:ind w:left="0" w:right="0" w:firstLine="600" w:firstLineChars="200"/>
        <w:jc w:val="both"/>
        <w:textAlignment w:val="auto"/>
        <w:rPr>
          <w:rFonts w:hint="eastAsia" w:ascii="仿宋" w:hAnsi="仿宋" w:eastAsia="仿宋" w:cs="仿宋"/>
          <w:color w:val="auto"/>
          <w:sz w:val="30"/>
          <w:szCs w:val="30"/>
          <w:lang w:eastAsia="zh-CN"/>
        </w:rPr>
      </w:pPr>
    </w:p>
    <w:p w14:paraId="387759B6">
      <w:pPr>
        <w:keepNext w:val="0"/>
        <w:keepLines w:val="0"/>
        <w:pageBreakBefore w:val="0"/>
        <w:widowControl/>
        <w:kinsoku/>
        <w:wordWrap/>
        <w:overflowPunct/>
        <w:topLinePunct w:val="0"/>
        <w:autoSpaceDE/>
        <w:autoSpaceDN/>
        <w:bidi w:val="0"/>
        <w:adjustRightInd/>
        <w:snapToGrid w:val="0"/>
        <w:spacing w:line="400" w:lineRule="exact"/>
        <w:ind w:left="0" w:right="0" w:firstLine="600" w:firstLineChars="200"/>
        <w:jc w:val="both"/>
        <w:textAlignment w:val="auto"/>
        <w:rPr>
          <w:rFonts w:hint="eastAsia" w:ascii="仿宋" w:hAnsi="仿宋" w:eastAsia="仿宋" w:cs="仿宋"/>
          <w:color w:val="auto"/>
          <w:spacing w:val="5"/>
          <w:sz w:val="30"/>
          <w:szCs w:val="30"/>
          <w:lang w:eastAsia="zh-CN"/>
        </w:rPr>
      </w:pPr>
      <w:r>
        <w:rPr>
          <w:rFonts w:hint="eastAsia" w:ascii="仿宋" w:hAnsi="仿宋" w:eastAsia="仿宋" w:cs="仿宋"/>
          <w:color w:val="auto"/>
          <w:sz w:val="30"/>
          <w:szCs w:val="30"/>
          <w:lang w:eastAsia="zh-CN"/>
        </w:rPr>
        <w:t>3、服务如为某单位的专利，请投标人在答疑期内告知政府采购代理机构。所有服务的知识产权问题，由各投标人自行负责。投标人须保障采购人在使用该服务或其任何一部分时不受到第三方关于侵犯专利权、商标权或设计权等知识产权的指控。如有任何第三方提出侵权指控均与采购人无关，投标人须与第三方交涉并承担可能发生的责任与一切费用。如采购人因此而遭致损失的，投标人应赔偿该损失。</w:t>
      </w:r>
    </w:p>
    <w:p w14:paraId="770D6912">
      <w:pPr>
        <w:keepNext w:val="0"/>
        <w:keepLines w:val="0"/>
        <w:pageBreakBefore w:val="0"/>
        <w:widowControl/>
        <w:numPr>
          <w:numId w:val="0"/>
        </w:numPr>
        <w:kinsoku w:val="0"/>
        <w:wordWrap/>
        <w:overflowPunct/>
        <w:topLinePunct w:val="0"/>
        <w:autoSpaceDE w:val="0"/>
        <w:autoSpaceDN w:val="0"/>
        <w:bidi w:val="0"/>
        <w:adjustRightInd w:val="0"/>
        <w:snapToGrid w:val="0"/>
        <w:spacing w:line="400" w:lineRule="exact"/>
        <w:ind w:leftChars="200" w:right="0" w:rightChars="0"/>
        <w:textAlignment w:val="baseline"/>
        <w:rPr>
          <w:rFonts w:hint="eastAsia" w:asciiTheme="majorEastAsia" w:hAnsiTheme="majorEastAsia" w:eastAsiaTheme="majorEastAsia" w:cstheme="majorEastAsia"/>
          <w:b/>
          <w:bCs/>
          <w:color w:val="auto"/>
          <w:spacing w:val="5"/>
          <w:sz w:val="32"/>
          <w:szCs w:val="32"/>
          <w:lang w:val="en-US" w:eastAsia="zh-CN"/>
        </w:rPr>
      </w:pPr>
    </w:p>
    <w:p w14:paraId="290FEB1D">
      <w:pPr>
        <w:keepNext w:val="0"/>
        <w:keepLines w:val="0"/>
        <w:pageBreakBefore w:val="0"/>
        <w:widowControl/>
        <w:numPr>
          <w:numId w:val="0"/>
        </w:numPr>
        <w:kinsoku w:val="0"/>
        <w:wordWrap/>
        <w:overflowPunct/>
        <w:topLinePunct w:val="0"/>
        <w:autoSpaceDE w:val="0"/>
        <w:autoSpaceDN w:val="0"/>
        <w:bidi w:val="0"/>
        <w:adjustRightInd w:val="0"/>
        <w:snapToGrid w:val="0"/>
        <w:spacing w:line="400" w:lineRule="exact"/>
        <w:ind w:leftChars="200" w:right="0" w:rightChars="0"/>
        <w:textAlignment w:val="baseline"/>
        <w:rPr>
          <w:rFonts w:hint="eastAsia" w:asciiTheme="majorEastAsia" w:hAnsiTheme="majorEastAsia" w:eastAsiaTheme="majorEastAsia" w:cstheme="majorEastAsia"/>
          <w:b/>
          <w:bCs/>
          <w:color w:val="auto"/>
          <w:spacing w:val="5"/>
          <w:sz w:val="32"/>
          <w:szCs w:val="32"/>
          <w:lang w:val="en-US" w:eastAsia="zh-CN"/>
        </w:rPr>
      </w:pPr>
      <w:r>
        <w:rPr>
          <w:rFonts w:hint="eastAsia" w:asciiTheme="majorEastAsia" w:hAnsiTheme="majorEastAsia" w:eastAsiaTheme="majorEastAsia" w:cstheme="majorEastAsia"/>
          <w:b/>
          <w:bCs/>
          <w:color w:val="auto"/>
          <w:spacing w:val="5"/>
          <w:sz w:val="32"/>
          <w:szCs w:val="32"/>
          <w:lang w:val="en-US" w:eastAsia="zh-CN"/>
        </w:rPr>
        <w:t>（二）采购项目预算</w:t>
      </w:r>
    </w:p>
    <w:p w14:paraId="60E685B2">
      <w:pPr>
        <w:widowControl w:val="0"/>
        <w:spacing w:before="1" w:line="560" w:lineRule="exact"/>
        <w:ind w:firstLine="542" w:firstLineChars="200"/>
        <w:rPr>
          <w:rFonts w:hint="default" w:ascii="仿宋" w:hAnsi="仿宋" w:eastAsia="仿宋" w:cs="Times New Roman"/>
          <w:b/>
          <w:bCs/>
          <w:snapToGrid/>
          <w:color w:val="auto"/>
          <w:sz w:val="27"/>
          <w:szCs w:val="27"/>
          <w:lang w:val="en-US" w:eastAsia="zh-CN"/>
        </w:rPr>
      </w:pPr>
      <w:r>
        <w:rPr>
          <w:rFonts w:hint="eastAsia" w:ascii="仿宋" w:hAnsi="仿宋" w:eastAsia="仿宋" w:cs="Times New Roman"/>
          <w:b/>
          <w:bCs/>
          <w:snapToGrid/>
          <w:color w:val="auto"/>
          <w:sz w:val="27"/>
          <w:szCs w:val="27"/>
          <w:lang w:eastAsia="zh-CN"/>
        </w:rPr>
        <w:t>预算金额：</w:t>
      </w:r>
      <w:r>
        <w:rPr>
          <w:rFonts w:hint="eastAsia" w:ascii="仿宋" w:hAnsi="仿宋" w:eastAsia="仿宋" w:cs="Times New Roman"/>
          <w:b/>
          <w:bCs/>
          <w:snapToGrid/>
          <w:color w:val="auto"/>
          <w:sz w:val="27"/>
          <w:szCs w:val="27"/>
          <w:lang w:val="en-US" w:eastAsia="zh-CN"/>
        </w:rPr>
        <w:t>2737078.01元</w:t>
      </w:r>
    </w:p>
    <w:p w14:paraId="58D09178">
      <w:pPr>
        <w:widowControl w:val="0"/>
        <w:spacing w:before="1" w:line="560" w:lineRule="exact"/>
        <w:ind w:firstLine="542" w:firstLineChars="200"/>
        <w:rPr>
          <w:rFonts w:hint="eastAsia" w:ascii="仿宋" w:hAnsi="仿宋" w:eastAsia="仿宋" w:cs="Times New Roman"/>
          <w:b/>
          <w:bCs/>
          <w:snapToGrid/>
          <w:color w:val="auto"/>
          <w:sz w:val="27"/>
          <w:szCs w:val="27"/>
          <w:lang w:val="en-US" w:eastAsia="zh-CN"/>
        </w:rPr>
      </w:pPr>
      <w:r>
        <w:rPr>
          <w:rFonts w:hint="eastAsia" w:ascii="仿宋" w:hAnsi="仿宋" w:eastAsia="仿宋" w:cs="Times New Roman"/>
          <w:b/>
          <w:bCs/>
          <w:snapToGrid/>
          <w:color w:val="auto"/>
          <w:sz w:val="27"/>
          <w:szCs w:val="27"/>
          <w:lang w:val="en-US" w:eastAsia="zh-CN"/>
        </w:rPr>
        <w:t>最高限价：2600224.11元</w:t>
      </w:r>
    </w:p>
    <w:p w14:paraId="7FF73FFF">
      <w:pPr>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textAlignment w:val="baseline"/>
        <w:rPr>
          <w:rFonts w:hint="eastAsia" w:ascii="仿宋" w:hAnsi="仿宋" w:eastAsia="仿宋" w:cs="仿宋"/>
          <w:b/>
          <w:bCs/>
          <w:color w:val="auto"/>
          <w:sz w:val="27"/>
          <w:szCs w:val="27"/>
          <w:lang w:val="en-US" w:eastAsia="zh-CN"/>
        </w:rPr>
      </w:pPr>
    </w:p>
    <w:p w14:paraId="2208EABB">
      <w:pPr>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textAlignment w:val="baseline"/>
        <w:rPr>
          <w:rFonts w:hint="eastAsia"/>
          <w:lang w:val="en-US" w:eastAsia="zh-CN"/>
        </w:rPr>
      </w:pPr>
      <w:r>
        <w:rPr>
          <w:rFonts w:hint="eastAsia" w:ascii="仿宋" w:hAnsi="仿宋" w:eastAsia="仿宋" w:cs="仿宋"/>
          <w:b/>
          <w:bCs/>
          <w:color w:val="auto"/>
          <w:sz w:val="27"/>
          <w:szCs w:val="27"/>
          <w:lang w:val="en-US" w:eastAsia="zh-CN"/>
        </w:rPr>
        <w:t>报价时需注意</w:t>
      </w:r>
      <w:r>
        <w:rPr>
          <w:rFonts w:hint="eastAsia" w:ascii="仿宋" w:hAnsi="仿宋" w:eastAsia="仿宋" w:cs="仿宋"/>
          <w:b/>
          <w:bCs/>
          <w:color w:val="auto"/>
          <w:sz w:val="27"/>
          <w:szCs w:val="27"/>
          <w:lang w:val="en-US" w:eastAsia="zh-CN"/>
        </w:rPr>
        <w:t>：1、报价不可超过最高限价。</w:t>
      </w:r>
    </w:p>
    <w:p w14:paraId="4112CE53">
      <w:pPr>
        <w:pStyle w:val="2"/>
        <w:bidi w:val="0"/>
        <w:ind w:left="0" w:leftChars="0" w:firstLine="0" w:firstLineChars="0"/>
        <w:jc w:val="both"/>
        <w:rPr>
          <w:rFonts w:hint="eastAsia"/>
          <w:b/>
          <w:bCs/>
          <w:sz w:val="24"/>
          <w:szCs w:val="36"/>
          <w:lang w:val="en-US" w:eastAsia="zh-CN"/>
        </w:rPr>
      </w:pPr>
    </w:p>
    <w:p w14:paraId="50A54F0B">
      <w:pPr>
        <w:pStyle w:val="2"/>
        <w:bidi w:val="0"/>
        <w:rPr>
          <w:rFonts w:hint="eastAsia"/>
          <w:b/>
          <w:bCs/>
          <w:sz w:val="24"/>
          <w:szCs w:val="36"/>
          <w:lang w:val="en-US" w:eastAsia="zh-CN"/>
        </w:rPr>
      </w:pPr>
      <w:r>
        <w:rPr>
          <w:rFonts w:hint="eastAsia"/>
          <w:b/>
          <w:bCs/>
          <w:sz w:val="24"/>
          <w:szCs w:val="36"/>
          <w:lang w:val="en-US" w:eastAsia="zh-CN"/>
        </w:rPr>
        <w:t>采购项目品目类别及采购标的对应的中小企业划分标准所属行业</w:t>
      </w:r>
    </w:p>
    <w:tbl>
      <w:tblPr>
        <w:tblStyle w:val="11"/>
        <w:tblW w:w="10263" w:type="dxa"/>
        <w:tblInd w:w="-2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8"/>
        <w:gridCol w:w="2366"/>
        <w:gridCol w:w="961"/>
        <w:gridCol w:w="1928"/>
        <w:gridCol w:w="4350"/>
      </w:tblGrid>
      <w:tr w14:paraId="4E25D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trPr>
        <w:tc>
          <w:tcPr>
            <w:tcW w:w="658" w:type="dxa"/>
            <w:noWrap w:val="0"/>
            <w:vAlign w:val="center"/>
          </w:tcPr>
          <w:p w14:paraId="669BE3DB">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b w:val="0"/>
                <w:bCs/>
                <w:sz w:val="28"/>
                <w:szCs w:val="28"/>
                <w:u w:val="none"/>
                <w:vertAlign w:val="baseline"/>
                <w:lang w:val="en-US" w:eastAsia="zh-CN"/>
              </w:rPr>
            </w:pPr>
            <w:r>
              <w:rPr>
                <w:rFonts w:hint="eastAsia"/>
                <w:b w:val="0"/>
                <w:bCs/>
                <w:sz w:val="28"/>
                <w:szCs w:val="28"/>
                <w:u w:val="none"/>
                <w:vertAlign w:val="baseline"/>
                <w:lang w:val="en-US" w:eastAsia="zh-CN"/>
              </w:rPr>
              <w:t>序号</w:t>
            </w:r>
          </w:p>
        </w:tc>
        <w:tc>
          <w:tcPr>
            <w:tcW w:w="2366" w:type="dxa"/>
            <w:noWrap w:val="0"/>
            <w:vAlign w:val="center"/>
          </w:tcPr>
          <w:p w14:paraId="6E0572DE">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b w:val="0"/>
                <w:bCs/>
                <w:sz w:val="28"/>
                <w:szCs w:val="28"/>
                <w:u w:val="none"/>
                <w:vertAlign w:val="baseline"/>
                <w:lang w:val="en-US" w:eastAsia="zh-CN"/>
              </w:rPr>
            </w:pPr>
            <w:r>
              <w:rPr>
                <w:rFonts w:hint="eastAsia"/>
                <w:b w:val="0"/>
                <w:bCs/>
                <w:sz w:val="28"/>
                <w:szCs w:val="28"/>
                <w:u w:val="none"/>
                <w:vertAlign w:val="baseline"/>
                <w:lang w:val="en-US" w:eastAsia="zh-CN"/>
              </w:rPr>
              <w:t>项目名称</w:t>
            </w:r>
          </w:p>
        </w:tc>
        <w:tc>
          <w:tcPr>
            <w:tcW w:w="961" w:type="dxa"/>
            <w:noWrap w:val="0"/>
            <w:vAlign w:val="center"/>
          </w:tcPr>
          <w:p w14:paraId="318A1EA0">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b w:val="0"/>
                <w:bCs/>
                <w:sz w:val="28"/>
                <w:szCs w:val="28"/>
                <w:u w:val="none"/>
                <w:vertAlign w:val="baseline"/>
                <w:lang w:val="en-US" w:eastAsia="zh-CN"/>
              </w:rPr>
            </w:pPr>
            <w:r>
              <w:rPr>
                <w:rFonts w:hint="eastAsia"/>
                <w:b w:val="0"/>
                <w:bCs/>
                <w:sz w:val="28"/>
                <w:szCs w:val="28"/>
                <w:u w:val="none"/>
                <w:vertAlign w:val="baseline"/>
                <w:lang w:val="en-US" w:eastAsia="zh-CN"/>
              </w:rPr>
              <w:t>数量</w:t>
            </w:r>
          </w:p>
        </w:tc>
        <w:tc>
          <w:tcPr>
            <w:tcW w:w="1928" w:type="dxa"/>
            <w:noWrap w:val="0"/>
            <w:vAlign w:val="center"/>
          </w:tcPr>
          <w:p w14:paraId="7EB6ECCA">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b w:val="0"/>
                <w:bCs/>
                <w:sz w:val="28"/>
                <w:szCs w:val="28"/>
                <w:u w:val="none"/>
                <w:vertAlign w:val="baseline"/>
                <w:lang w:val="en-US" w:eastAsia="zh-CN"/>
              </w:rPr>
            </w:pPr>
            <w:r>
              <w:rPr>
                <w:rFonts w:hint="eastAsia"/>
                <w:b w:val="0"/>
                <w:bCs/>
                <w:sz w:val="28"/>
                <w:szCs w:val="28"/>
                <w:u w:val="none"/>
                <w:vertAlign w:val="baseline"/>
                <w:lang w:val="en-US" w:eastAsia="zh-CN"/>
              </w:rPr>
              <w:t>品目类别</w:t>
            </w:r>
          </w:p>
        </w:tc>
        <w:tc>
          <w:tcPr>
            <w:tcW w:w="4350" w:type="dxa"/>
            <w:noWrap w:val="0"/>
            <w:vAlign w:val="center"/>
          </w:tcPr>
          <w:p w14:paraId="1A0FA2D2">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b w:val="0"/>
                <w:bCs/>
                <w:sz w:val="28"/>
                <w:szCs w:val="28"/>
                <w:u w:val="none"/>
                <w:vertAlign w:val="baseline"/>
                <w:lang w:val="en-US" w:eastAsia="zh-CN"/>
              </w:rPr>
            </w:pPr>
            <w:r>
              <w:rPr>
                <w:rFonts w:hint="eastAsia"/>
                <w:b w:val="0"/>
                <w:bCs/>
                <w:sz w:val="28"/>
                <w:szCs w:val="28"/>
                <w:u w:val="none"/>
                <w:vertAlign w:val="baseline"/>
                <w:lang w:val="en-US" w:eastAsia="zh-CN"/>
              </w:rPr>
              <w:t>采购标的对应的中小企业划分标准所属行业</w:t>
            </w:r>
          </w:p>
        </w:tc>
      </w:tr>
      <w:tr w14:paraId="3114D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6" w:hRule="atLeast"/>
        </w:trPr>
        <w:tc>
          <w:tcPr>
            <w:tcW w:w="658" w:type="dxa"/>
            <w:noWrap w:val="0"/>
            <w:vAlign w:val="center"/>
          </w:tcPr>
          <w:p w14:paraId="2ADCCA85">
            <w:pPr>
              <w:keepNext w:val="0"/>
              <w:keepLines w:val="0"/>
              <w:pageBreakBefore w:val="0"/>
              <w:widowControl/>
              <w:suppressLineNumbers w:val="0"/>
              <w:kinsoku/>
              <w:wordWrap/>
              <w:overflowPunct/>
              <w:topLinePunct w:val="0"/>
              <w:autoSpaceDE/>
              <w:autoSpaceDN/>
              <w:bidi w:val="0"/>
              <w:adjustRightInd w:val="0"/>
              <w:snapToGrid w:val="0"/>
              <w:jc w:val="center"/>
              <w:textAlignment w:val="auto"/>
              <w:rPr>
                <w:rFonts w:hint="default" w:ascii="仿宋" w:hAnsi="仿宋" w:eastAsia="仿宋" w:cs="仿宋"/>
                <w:b w:val="0"/>
                <w:bCs/>
                <w:color w:val="000000"/>
                <w:kern w:val="0"/>
                <w:sz w:val="28"/>
                <w:szCs w:val="28"/>
                <w:lang w:val="en-US" w:eastAsia="zh-CN" w:bidi="ar"/>
              </w:rPr>
            </w:pPr>
            <w:r>
              <w:rPr>
                <w:rFonts w:hint="eastAsia" w:ascii="仿宋" w:hAnsi="仿宋" w:eastAsia="仿宋" w:cs="仿宋"/>
                <w:b w:val="0"/>
                <w:bCs/>
                <w:color w:val="000000"/>
                <w:kern w:val="0"/>
                <w:sz w:val="28"/>
                <w:szCs w:val="28"/>
                <w:lang w:val="en-US" w:eastAsia="zh-CN" w:bidi="ar"/>
              </w:rPr>
              <w:t>1</w:t>
            </w:r>
          </w:p>
        </w:tc>
        <w:tc>
          <w:tcPr>
            <w:tcW w:w="2366" w:type="dxa"/>
            <w:noWrap w:val="0"/>
            <w:vAlign w:val="center"/>
          </w:tcPr>
          <w:p w14:paraId="71BAB4A1">
            <w:pPr>
              <w:keepNext w:val="0"/>
              <w:keepLines w:val="0"/>
              <w:pageBreakBefore w:val="0"/>
              <w:widowControl/>
              <w:suppressLineNumbers w:val="0"/>
              <w:kinsoku/>
              <w:wordWrap/>
              <w:overflowPunct/>
              <w:topLinePunct w:val="0"/>
              <w:autoSpaceDE/>
              <w:autoSpaceDN/>
              <w:bidi w:val="0"/>
              <w:adjustRightInd w:val="0"/>
              <w:snapToGrid w:val="0"/>
              <w:jc w:val="left"/>
              <w:textAlignment w:val="auto"/>
              <w:rPr>
                <w:rFonts w:hint="default" w:ascii="仿宋" w:hAnsi="仿宋" w:eastAsia="仿宋" w:cs="仿宋"/>
                <w:b w:val="0"/>
                <w:bCs/>
                <w:color w:val="000000"/>
                <w:kern w:val="0"/>
                <w:sz w:val="28"/>
                <w:szCs w:val="28"/>
                <w:lang w:val="en-US" w:eastAsia="zh-CN" w:bidi="ar"/>
              </w:rPr>
            </w:pPr>
            <w:r>
              <w:rPr>
                <w:rFonts w:hint="default" w:ascii="仿宋" w:hAnsi="仿宋" w:eastAsia="仿宋" w:cs="仿宋"/>
                <w:b w:val="0"/>
                <w:bCs/>
                <w:color w:val="000000"/>
                <w:kern w:val="0"/>
                <w:sz w:val="28"/>
                <w:szCs w:val="28"/>
                <w:lang w:val="en-US" w:eastAsia="zh-CN" w:bidi="ar"/>
              </w:rPr>
              <w:t xml:space="preserve">和顺廉租房小区智慧安防项目 </w:t>
            </w:r>
          </w:p>
        </w:tc>
        <w:tc>
          <w:tcPr>
            <w:tcW w:w="961" w:type="dxa"/>
            <w:noWrap w:val="0"/>
            <w:vAlign w:val="center"/>
          </w:tcPr>
          <w:p w14:paraId="268520A0">
            <w:pPr>
              <w:keepNext w:val="0"/>
              <w:keepLines w:val="0"/>
              <w:pageBreakBefore w:val="0"/>
              <w:widowControl/>
              <w:suppressLineNumbers w:val="0"/>
              <w:kinsoku/>
              <w:wordWrap/>
              <w:overflowPunct/>
              <w:topLinePunct w:val="0"/>
              <w:autoSpaceDE/>
              <w:autoSpaceDN/>
              <w:bidi w:val="0"/>
              <w:adjustRightInd w:val="0"/>
              <w:snapToGrid w:val="0"/>
              <w:jc w:val="center"/>
              <w:textAlignment w:val="auto"/>
              <w:rPr>
                <w:rFonts w:hint="default" w:ascii="仿宋" w:hAnsi="仿宋" w:eastAsia="仿宋" w:cs="仿宋"/>
                <w:b w:val="0"/>
                <w:bCs/>
                <w:color w:val="000000"/>
                <w:kern w:val="0"/>
                <w:sz w:val="28"/>
                <w:szCs w:val="28"/>
                <w:lang w:val="en-US" w:eastAsia="zh-CN" w:bidi="ar"/>
              </w:rPr>
            </w:pPr>
            <w:r>
              <w:rPr>
                <w:rFonts w:hint="eastAsia" w:ascii="仿宋" w:hAnsi="仿宋" w:eastAsia="仿宋" w:cs="仿宋"/>
                <w:b w:val="0"/>
                <w:bCs/>
                <w:color w:val="000000"/>
                <w:kern w:val="0"/>
                <w:sz w:val="28"/>
                <w:szCs w:val="28"/>
                <w:lang w:val="en-US" w:eastAsia="zh-CN" w:bidi="ar"/>
              </w:rPr>
              <w:t>1</w:t>
            </w:r>
          </w:p>
        </w:tc>
        <w:tc>
          <w:tcPr>
            <w:tcW w:w="1928" w:type="dxa"/>
            <w:noWrap w:val="0"/>
            <w:vAlign w:val="center"/>
          </w:tcPr>
          <w:p w14:paraId="05E13701">
            <w:pPr>
              <w:keepNext w:val="0"/>
              <w:keepLines w:val="0"/>
              <w:pageBreakBefore w:val="0"/>
              <w:widowControl/>
              <w:suppressLineNumbers w:val="0"/>
              <w:kinsoku/>
              <w:wordWrap/>
              <w:overflowPunct/>
              <w:topLinePunct w:val="0"/>
              <w:autoSpaceDE/>
              <w:autoSpaceDN/>
              <w:bidi w:val="0"/>
              <w:adjustRightInd w:val="0"/>
              <w:snapToGrid w:val="0"/>
              <w:jc w:val="center"/>
              <w:textAlignment w:val="auto"/>
              <w:rPr>
                <w:rFonts w:hint="default" w:ascii="仿宋" w:hAnsi="仿宋" w:eastAsia="仿宋" w:cs="仿宋"/>
                <w:b w:val="0"/>
                <w:bCs/>
                <w:color w:val="000000"/>
                <w:kern w:val="0"/>
                <w:sz w:val="28"/>
                <w:szCs w:val="28"/>
                <w:lang w:val="en-US" w:eastAsia="zh-CN" w:bidi="ar"/>
              </w:rPr>
            </w:pPr>
            <w:r>
              <w:rPr>
                <w:rFonts w:hint="eastAsia" w:ascii="仿宋" w:hAnsi="仿宋" w:eastAsia="仿宋" w:cs="仿宋"/>
                <w:color w:val="auto"/>
                <w:sz w:val="24"/>
                <w:szCs w:val="24"/>
                <w:lang w:val="en-US" w:eastAsia="zh-CN"/>
              </w:rPr>
              <w:t>其它信息化设备</w:t>
            </w:r>
            <w:r>
              <w:rPr>
                <w:rFonts w:hint="eastAsia" w:ascii="仿宋" w:hAnsi="仿宋" w:eastAsia="仿宋" w:cs="仿宋"/>
                <w:color w:val="auto"/>
                <w:sz w:val="27"/>
                <w:szCs w:val="27"/>
                <w:lang w:val="en-US" w:eastAsia="zh-CN"/>
              </w:rPr>
              <w:t>A02019900</w:t>
            </w:r>
          </w:p>
        </w:tc>
        <w:tc>
          <w:tcPr>
            <w:tcW w:w="4350" w:type="dxa"/>
            <w:noWrap w:val="0"/>
            <w:vAlign w:val="center"/>
          </w:tcPr>
          <w:p w14:paraId="2B2525EA">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b w:val="0"/>
                <w:bCs/>
                <w:sz w:val="28"/>
                <w:szCs w:val="28"/>
                <w:u w:val="none"/>
                <w:vertAlign w:val="baseline"/>
                <w:lang w:val="en-US" w:eastAsia="zh-CN"/>
              </w:rPr>
            </w:pPr>
            <w:r>
              <w:rPr>
                <w:rFonts w:hint="eastAsia"/>
                <w:b w:val="0"/>
                <w:bCs/>
                <w:sz w:val="28"/>
                <w:szCs w:val="28"/>
                <w:u w:val="none"/>
                <w:vertAlign w:val="baseline"/>
                <w:lang w:val="en-US" w:eastAsia="zh-CN"/>
              </w:rPr>
              <w:t>工业</w:t>
            </w:r>
          </w:p>
        </w:tc>
      </w:tr>
    </w:tbl>
    <w:p w14:paraId="6AADB576">
      <w:pPr>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textAlignment w:val="baseline"/>
        <w:rPr>
          <w:rFonts w:hint="eastAsia" w:ascii="仿宋" w:hAnsi="仿宋" w:eastAsia="仿宋" w:cs="仿宋"/>
          <w:color w:val="auto"/>
          <w:sz w:val="27"/>
          <w:szCs w:val="27"/>
          <w:lang w:val="en-US" w:eastAsia="zh-CN"/>
        </w:rPr>
      </w:pPr>
    </w:p>
    <w:p w14:paraId="58D915F2">
      <w:pPr>
        <w:keepNext w:val="0"/>
        <w:keepLines w:val="0"/>
        <w:pageBreakBefore w:val="0"/>
        <w:widowControl/>
        <w:kinsoku w:val="0"/>
        <w:wordWrap/>
        <w:overflowPunct/>
        <w:topLinePunct w:val="0"/>
        <w:autoSpaceDE w:val="0"/>
        <w:autoSpaceDN w:val="0"/>
        <w:bidi w:val="0"/>
        <w:adjustRightInd w:val="0"/>
        <w:snapToGrid w:val="0"/>
        <w:spacing w:line="400" w:lineRule="exact"/>
        <w:ind w:right="0"/>
        <w:textAlignment w:val="baseline"/>
        <w:rPr>
          <w:rFonts w:hint="eastAsia" w:ascii="仿宋" w:hAnsi="仿宋" w:eastAsia="仿宋" w:cs="仿宋"/>
          <w:b/>
          <w:bCs/>
          <w:color w:val="auto"/>
          <w:spacing w:val="5"/>
          <w:sz w:val="27"/>
          <w:szCs w:val="27"/>
          <w:lang w:eastAsia="zh-CN"/>
        </w:rPr>
      </w:pPr>
    </w:p>
    <w:p w14:paraId="3127589D">
      <w:pPr>
        <w:keepNext w:val="0"/>
        <w:keepLines w:val="0"/>
        <w:pageBreakBefore w:val="0"/>
        <w:widowControl/>
        <w:kinsoku w:val="0"/>
        <w:wordWrap/>
        <w:overflowPunct/>
        <w:topLinePunct w:val="0"/>
        <w:autoSpaceDE w:val="0"/>
        <w:autoSpaceDN w:val="0"/>
        <w:bidi w:val="0"/>
        <w:adjustRightInd w:val="0"/>
        <w:snapToGrid w:val="0"/>
        <w:spacing w:line="400" w:lineRule="exact"/>
        <w:ind w:right="0"/>
        <w:textAlignment w:val="baseline"/>
        <w:rPr>
          <w:rFonts w:hint="eastAsia" w:ascii="仿宋" w:hAnsi="仿宋" w:eastAsia="仿宋" w:cs="仿宋"/>
          <w:b/>
          <w:bCs/>
          <w:color w:val="auto"/>
          <w:spacing w:val="5"/>
          <w:sz w:val="27"/>
          <w:szCs w:val="27"/>
          <w:lang w:eastAsia="zh-CN"/>
        </w:rPr>
      </w:pPr>
    </w:p>
    <w:p w14:paraId="5EC14518">
      <w:pPr>
        <w:pStyle w:val="2"/>
        <w:rPr>
          <w:rFonts w:hint="eastAsia"/>
          <w:lang w:eastAsia="zh-CN"/>
        </w:rPr>
      </w:pPr>
    </w:p>
    <w:p w14:paraId="180D14B5">
      <w:pPr>
        <w:keepNext w:val="0"/>
        <w:keepLines w:val="0"/>
        <w:pageBreakBefore w:val="0"/>
        <w:widowControl/>
        <w:kinsoku w:val="0"/>
        <w:wordWrap/>
        <w:overflowPunct/>
        <w:topLinePunct w:val="0"/>
        <w:autoSpaceDE w:val="0"/>
        <w:autoSpaceDN w:val="0"/>
        <w:bidi w:val="0"/>
        <w:adjustRightInd w:val="0"/>
        <w:snapToGrid w:val="0"/>
        <w:spacing w:line="400" w:lineRule="exact"/>
        <w:ind w:right="0"/>
        <w:textAlignment w:val="baseline"/>
        <w:rPr>
          <w:rFonts w:hint="eastAsia" w:ascii="仿宋" w:hAnsi="仿宋" w:eastAsia="仿宋" w:cs="仿宋"/>
          <w:b/>
          <w:bCs/>
          <w:color w:val="auto"/>
          <w:spacing w:val="5"/>
          <w:sz w:val="27"/>
          <w:szCs w:val="27"/>
          <w:lang w:eastAsia="zh-CN"/>
        </w:rPr>
      </w:pPr>
      <w:r>
        <w:rPr>
          <w:rFonts w:hint="eastAsia" w:ascii="仿宋" w:hAnsi="仿宋" w:eastAsia="仿宋" w:cs="仿宋"/>
          <w:b/>
          <w:bCs/>
          <w:color w:val="auto"/>
          <w:spacing w:val="5"/>
          <w:sz w:val="27"/>
          <w:szCs w:val="27"/>
          <w:lang w:eastAsia="zh-CN"/>
        </w:rPr>
        <w:t>（三）采购标的</w:t>
      </w:r>
      <w:r>
        <w:rPr>
          <w:rFonts w:hint="eastAsia" w:ascii="仿宋" w:hAnsi="仿宋" w:eastAsia="仿宋" w:cs="仿宋"/>
          <w:b/>
          <w:bCs/>
          <w:color w:val="auto"/>
          <w:spacing w:val="5"/>
          <w:sz w:val="27"/>
          <w:szCs w:val="27"/>
          <w:lang w:val="en-US" w:eastAsia="zh-CN"/>
        </w:rPr>
        <w:t>明细</w:t>
      </w:r>
      <w:r>
        <w:rPr>
          <w:rFonts w:hint="eastAsia" w:ascii="仿宋" w:hAnsi="仿宋" w:eastAsia="仿宋" w:cs="仿宋"/>
          <w:b/>
          <w:bCs/>
          <w:color w:val="auto"/>
          <w:spacing w:val="5"/>
          <w:sz w:val="27"/>
          <w:szCs w:val="27"/>
          <w:lang w:eastAsia="zh-CN"/>
        </w:rPr>
        <w:t>表</w:t>
      </w:r>
    </w:p>
    <w:tbl>
      <w:tblPr>
        <w:tblStyle w:val="13"/>
        <w:tblpPr w:leftFromText="180" w:rightFromText="180" w:vertAnchor="text" w:horzAnchor="page" w:tblpX="915" w:tblpY="200"/>
        <w:tblOverlap w:val="never"/>
        <w:tblW w:w="10276"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2"/>
        <w:gridCol w:w="1406"/>
        <w:gridCol w:w="1738"/>
        <w:gridCol w:w="1800"/>
        <w:gridCol w:w="1562"/>
        <w:gridCol w:w="488"/>
        <w:gridCol w:w="1387"/>
        <w:gridCol w:w="1393"/>
      </w:tblGrid>
      <w:tr w14:paraId="7E8E23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6" w:hRule="atLeast"/>
        </w:trPr>
        <w:tc>
          <w:tcPr>
            <w:tcW w:w="502" w:type="dxa"/>
            <w:vAlign w:val="center"/>
          </w:tcPr>
          <w:p w14:paraId="264E9103">
            <w:pPr>
              <w:pStyle w:val="14"/>
              <w:keepNext w:val="0"/>
              <w:keepLines w:val="0"/>
              <w:pageBreakBefore w:val="0"/>
              <w:widowControl/>
              <w:suppressLineNumbers w:val="0"/>
              <w:kinsoku/>
              <w:wordWrap/>
              <w:overflowPunct/>
              <w:topLinePunct w:val="0"/>
              <w:autoSpaceDE/>
              <w:autoSpaceDN/>
              <w:bidi w:val="0"/>
              <w:adjustRightInd/>
              <w:snapToGrid/>
              <w:spacing w:before="91" w:line="400" w:lineRule="exact"/>
              <w:jc w:val="center"/>
              <w:textAlignment w:val="center"/>
              <w:rPr>
                <w:rFonts w:hint="eastAsia" w:ascii="仿宋" w:hAnsi="仿宋" w:eastAsia="仿宋" w:cs="仿宋"/>
                <w:b/>
                <w:bCs/>
                <w:i w:val="0"/>
                <w:iCs w:val="0"/>
                <w:color w:val="auto"/>
                <w:kern w:val="0"/>
                <w:sz w:val="27"/>
                <w:szCs w:val="27"/>
                <w:highlight w:val="none"/>
                <w:u w:val="none"/>
                <w:lang w:val="en-US" w:eastAsia="zh-CN" w:bidi="ar"/>
              </w:rPr>
            </w:pPr>
            <w:r>
              <w:rPr>
                <w:rFonts w:hint="eastAsia" w:ascii="仿宋" w:hAnsi="仿宋" w:eastAsia="仿宋" w:cs="仿宋"/>
                <w:b/>
                <w:bCs/>
                <w:i w:val="0"/>
                <w:iCs w:val="0"/>
                <w:color w:val="auto"/>
                <w:kern w:val="0"/>
                <w:sz w:val="27"/>
                <w:szCs w:val="27"/>
                <w:highlight w:val="none"/>
                <w:u w:val="none"/>
                <w:lang w:val="en-US" w:eastAsia="zh-CN" w:bidi="ar"/>
              </w:rPr>
              <w:t>序号</w:t>
            </w:r>
          </w:p>
        </w:tc>
        <w:tc>
          <w:tcPr>
            <w:tcW w:w="1406" w:type="dxa"/>
            <w:vAlign w:val="center"/>
          </w:tcPr>
          <w:p w14:paraId="3736F90C">
            <w:pPr>
              <w:pStyle w:val="14"/>
              <w:keepNext w:val="0"/>
              <w:keepLines w:val="0"/>
              <w:pageBreakBefore w:val="0"/>
              <w:widowControl/>
              <w:suppressLineNumbers w:val="0"/>
              <w:kinsoku/>
              <w:wordWrap/>
              <w:overflowPunct/>
              <w:topLinePunct w:val="0"/>
              <w:autoSpaceDE/>
              <w:autoSpaceDN/>
              <w:bidi w:val="0"/>
              <w:adjustRightInd/>
              <w:snapToGrid/>
              <w:spacing w:before="91" w:line="400" w:lineRule="exact"/>
              <w:jc w:val="center"/>
              <w:textAlignment w:val="center"/>
              <w:rPr>
                <w:rFonts w:hint="eastAsia" w:ascii="仿宋" w:hAnsi="仿宋" w:eastAsia="仿宋" w:cs="仿宋"/>
                <w:b/>
                <w:bCs/>
                <w:i w:val="0"/>
                <w:iCs w:val="0"/>
                <w:color w:val="auto"/>
                <w:kern w:val="0"/>
                <w:sz w:val="27"/>
                <w:szCs w:val="27"/>
                <w:highlight w:val="none"/>
                <w:u w:val="none"/>
                <w:lang w:val="en-US" w:eastAsia="zh-CN" w:bidi="ar"/>
              </w:rPr>
            </w:pPr>
            <w:r>
              <w:rPr>
                <w:rFonts w:ascii="Segoe UI" w:hAnsi="Segoe UI" w:eastAsia="Segoe UI" w:cs="Segoe UI"/>
                <w:color w:val="4E5463"/>
                <w:sz w:val="21"/>
                <w:szCs w:val="21"/>
              </w:rPr>
              <w:t>采购计划编号</w:t>
            </w:r>
          </w:p>
        </w:tc>
        <w:tc>
          <w:tcPr>
            <w:tcW w:w="1738" w:type="dxa"/>
            <w:vAlign w:val="center"/>
          </w:tcPr>
          <w:p w14:paraId="36A61528">
            <w:pPr>
              <w:pStyle w:val="14"/>
              <w:keepNext w:val="0"/>
              <w:keepLines w:val="0"/>
              <w:pageBreakBefore w:val="0"/>
              <w:widowControl/>
              <w:suppressLineNumbers w:val="0"/>
              <w:kinsoku/>
              <w:wordWrap/>
              <w:overflowPunct/>
              <w:topLinePunct w:val="0"/>
              <w:autoSpaceDE/>
              <w:autoSpaceDN/>
              <w:bidi w:val="0"/>
              <w:adjustRightInd/>
              <w:snapToGrid/>
              <w:spacing w:before="91" w:line="400" w:lineRule="exact"/>
              <w:jc w:val="center"/>
              <w:textAlignment w:val="center"/>
              <w:rPr>
                <w:rFonts w:hint="eastAsia" w:ascii="仿宋" w:hAnsi="仿宋" w:eastAsia="仿宋" w:cs="仿宋"/>
                <w:b/>
                <w:bCs/>
                <w:i w:val="0"/>
                <w:iCs w:val="0"/>
                <w:color w:val="auto"/>
                <w:kern w:val="0"/>
                <w:sz w:val="27"/>
                <w:szCs w:val="27"/>
                <w:highlight w:val="none"/>
                <w:u w:val="none"/>
                <w:lang w:val="en-US" w:eastAsia="zh-CN" w:bidi="ar"/>
              </w:rPr>
            </w:pPr>
            <w:r>
              <w:rPr>
                <w:rFonts w:ascii="Segoe UI" w:hAnsi="Segoe UI" w:eastAsia="Segoe UI" w:cs="Segoe UI"/>
                <w:color w:val="4E5463"/>
                <w:sz w:val="21"/>
                <w:szCs w:val="21"/>
              </w:rPr>
              <w:t>采购计划名称</w:t>
            </w:r>
          </w:p>
        </w:tc>
        <w:tc>
          <w:tcPr>
            <w:tcW w:w="1800" w:type="dxa"/>
            <w:vAlign w:val="center"/>
          </w:tcPr>
          <w:p w14:paraId="14116FAC">
            <w:pPr>
              <w:pStyle w:val="14"/>
              <w:keepNext w:val="0"/>
              <w:keepLines w:val="0"/>
              <w:pageBreakBefore w:val="0"/>
              <w:widowControl/>
              <w:suppressLineNumbers w:val="0"/>
              <w:kinsoku/>
              <w:wordWrap/>
              <w:overflowPunct/>
              <w:topLinePunct w:val="0"/>
              <w:autoSpaceDE/>
              <w:autoSpaceDN/>
              <w:bidi w:val="0"/>
              <w:adjustRightInd/>
              <w:snapToGrid/>
              <w:spacing w:before="91" w:line="400" w:lineRule="exact"/>
              <w:jc w:val="center"/>
              <w:textAlignment w:val="center"/>
              <w:rPr>
                <w:rFonts w:hint="eastAsia" w:ascii="仿宋" w:hAnsi="仿宋" w:eastAsia="仿宋" w:cs="仿宋"/>
                <w:b/>
                <w:bCs/>
                <w:i w:val="0"/>
                <w:iCs w:val="0"/>
                <w:color w:val="auto"/>
                <w:kern w:val="0"/>
                <w:sz w:val="27"/>
                <w:szCs w:val="27"/>
                <w:highlight w:val="none"/>
                <w:u w:val="none"/>
                <w:lang w:val="en-US" w:eastAsia="zh-CN" w:bidi="ar"/>
              </w:rPr>
            </w:pPr>
            <w:r>
              <w:rPr>
                <w:rFonts w:ascii="Segoe UI" w:hAnsi="Segoe UI" w:eastAsia="Segoe UI" w:cs="Segoe UI"/>
                <w:color w:val="4E5463"/>
                <w:sz w:val="21"/>
                <w:szCs w:val="21"/>
              </w:rPr>
              <w:t>采购条目编号</w:t>
            </w:r>
          </w:p>
        </w:tc>
        <w:tc>
          <w:tcPr>
            <w:tcW w:w="1562" w:type="dxa"/>
            <w:vAlign w:val="center"/>
          </w:tcPr>
          <w:p w14:paraId="4FA3B126">
            <w:pPr>
              <w:pStyle w:val="14"/>
              <w:keepNext w:val="0"/>
              <w:keepLines w:val="0"/>
              <w:pageBreakBefore w:val="0"/>
              <w:widowControl/>
              <w:suppressLineNumbers w:val="0"/>
              <w:kinsoku/>
              <w:wordWrap/>
              <w:overflowPunct/>
              <w:topLinePunct w:val="0"/>
              <w:autoSpaceDE/>
              <w:autoSpaceDN/>
              <w:bidi w:val="0"/>
              <w:adjustRightInd/>
              <w:snapToGrid/>
              <w:spacing w:before="91" w:line="400" w:lineRule="exact"/>
              <w:jc w:val="center"/>
              <w:textAlignment w:val="center"/>
              <w:rPr>
                <w:rFonts w:hint="eastAsia" w:ascii="仿宋" w:hAnsi="仿宋" w:eastAsia="仿宋" w:cs="仿宋"/>
                <w:b/>
                <w:bCs/>
                <w:i w:val="0"/>
                <w:iCs w:val="0"/>
                <w:color w:val="auto"/>
                <w:kern w:val="0"/>
                <w:sz w:val="27"/>
                <w:szCs w:val="27"/>
                <w:highlight w:val="none"/>
                <w:u w:val="none"/>
                <w:lang w:val="en-US" w:eastAsia="zh-CN" w:bidi="ar"/>
              </w:rPr>
            </w:pPr>
            <w:r>
              <w:rPr>
                <w:rFonts w:ascii="Segoe UI" w:hAnsi="Segoe UI" w:eastAsia="Segoe UI" w:cs="Segoe UI"/>
                <w:color w:val="4E5463"/>
                <w:sz w:val="21"/>
                <w:szCs w:val="21"/>
              </w:rPr>
              <w:t>采购条目名称</w:t>
            </w:r>
          </w:p>
        </w:tc>
        <w:tc>
          <w:tcPr>
            <w:tcW w:w="488" w:type="dxa"/>
            <w:vAlign w:val="center"/>
          </w:tcPr>
          <w:p w14:paraId="5CFBB6FA">
            <w:pPr>
              <w:pStyle w:val="14"/>
              <w:keepNext w:val="0"/>
              <w:keepLines w:val="0"/>
              <w:pageBreakBefore w:val="0"/>
              <w:widowControl/>
              <w:suppressLineNumbers w:val="0"/>
              <w:kinsoku/>
              <w:wordWrap/>
              <w:overflowPunct/>
              <w:topLinePunct w:val="0"/>
              <w:autoSpaceDE/>
              <w:autoSpaceDN/>
              <w:bidi w:val="0"/>
              <w:adjustRightInd/>
              <w:snapToGrid/>
              <w:spacing w:before="91" w:line="400" w:lineRule="exact"/>
              <w:jc w:val="center"/>
              <w:textAlignment w:val="center"/>
              <w:rPr>
                <w:rFonts w:hint="eastAsia" w:ascii="仿宋" w:hAnsi="仿宋" w:eastAsia="仿宋" w:cs="仿宋"/>
                <w:b/>
                <w:bCs/>
                <w:i w:val="0"/>
                <w:iCs w:val="0"/>
                <w:color w:val="auto"/>
                <w:kern w:val="0"/>
                <w:sz w:val="27"/>
                <w:szCs w:val="27"/>
                <w:highlight w:val="none"/>
                <w:u w:val="none"/>
                <w:lang w:val="en-US" w:eastAsia="zh-CN" w:bidi="ar"/>
              </w:rPr>
            </w:pPr>
            <w:r>
              <w:rPr>
                <w:rFonts w:hint="eastAsia" w:ascii="仿宋" w:hAnsi="仿宋" w:eastAsia="仿宋" w:cs="仿宋"/>
                <w:b/>
                <w:bCs/>
                <w:i w:val="0"/>
                <w:iCs w:val="0"/>
                <w:color w:val="auto"/>
                <w:kern w:val="0"/>
                <w:sz w:val="27"/>
                <w:szCs w:val="27"/>
                <w:highlight w:val="none"/>
                <w:u w:val="none"/>
                <w:lang w:val="en-US" w:eastAsia="zh-CN" w:bidi="ar"/>
              </w:rPr>
              <w:t>数量</w:t>
            </w:r>
          </w:p>
        </w:tc>
        <w:tc>
          <w:tcPr>
            <w:tcW w:w="1387" w:type="dxa"/>
            <w:vAlign w:val="center"/>
          </w:tcPr>
          <w:p w14:paraId="08B1D564">
            <w:pPr>
              <w:pStyle w:val="14"/>
              <w:keepNext w:val="0"/>
              <w:keepLines w:val="0"/>
              <w:pageBreakBefore w:val="0"/>
              <w:widowControl/>
              <w:suppressLineNumbers w:val="0"/>
              <w:kinsoku/>
              <w:wordWrap/>
              <w:overflowPunct/>
              <w:topLinePunct w:val="0"/>
              <w:autoSpaceDE/>
              <w:autoSpaceDN/>
              <w:bidi w:val="0"/>
              <w:adjustRightInd/>
              <w:snapToGrid/>
              <w:spacing w:before="91" w:line="400" w:lineRule="exact"/>
              <w:jc w:val="center"/>
              <w:textAlignment w:val="center"/>
              <w:rPr>
                <w:rFonts w:hint="default" w:ascii="仿宋" w:hAnsi="仿宋" w:eastAsia="仿宋" w:cs="仿宋"/>
                <w:b/>
                <w:bCs/>
                <w:i w:val="0"/>
                <w:iCs w:val="0"/>
                <w:color w:val="auto"/>
                <w:kern w:val="0"/>
                <w:sz w:val="27"/>
                <w:szCs w:val="27"/>
                <w:highlight w:val="none"/>
                <w:u w:val="none"/>
                <w:lang w:val="en-US" w:eastAsia="zh-CN" w:bidi="ar"/>
              </w:rPr>
            </w:pPr>
            <w:r>
              <w:rPr>
                <w:rFonts w:hint="eastAsia" w:cs="仿宋"/>
                <w:b/>
                <w:bCs/>
                <w:i w:val="0"/>
                <w:iCs w:val="0"/>
                <w:color w:val="auto"/>
                <w:kern w:val="0"/>
                <w:sz w:val="27"/>
                <w:szCs w:val="27"/>
                <w:highlight w:val="none"/>
                <w:u w:val="none"/>
                <w:lang w:val="en-US" w:eastAsia="zh-CN" w:bidi="ar"/>
              </w:rPr>
              <w:t>预算单价</w:t>
            </w:r>
          </w:p>
        </w:tc>
        <w:tc>
          <w:tcPr>
            <w:tcW w:w="1393" w:type="dxa"/>
            <w:vAlign w:val="center"/>
          </w:tcPr>
          <w:p w14:paraId="49E965E2">
            <w:pPr>
              <w:pStyle w:val="14"/>
              <w:keepNext w:val="0"/>
              <w:keepLines w:val="0"/>
              <w:pageBreakBefore w:val="0"/>
              <w:widowControl/>
              <w:suppressLineNumbers w:val="0"/>
              <w:kinsoku/>
              <w:wordWrap/>
              <w:overflowPunct/>
              <w:topLinePunct w:val="0"/>
              <w:autoSpaceDE/>
              <w:autoSpaceDN/>
              <w:bidi w:val="0"/>
              <w:adjustRightInd/>
              <w:snapToGrid/>
              <w:spacing w:before="91" w:line="400" w:lineRule="exact"/>
              <w:jc w:val="center"/>
              <w:textAlignment w:val="center"/>
              <w:rPr>
                <w:rFonts w:hint="default" w:ascii="仿宋" w:hAnsi="仿宋" w:eastAsia="仿宋" w:cs="仿宋"/>
                <w:b/>
                <w:bCs/>
                <w:i w:val="0"/>
                <w:iCs w:val="0"/>
                <w:color w:val="auto"/>
                <w:kern w:val="0"/>
                <w:sz w:val="27"/>
                <w:szCs w:val="27"/>
                <w:highlight w:val="none"/>
                <w:u w:val="none"/>
                <w:lang w:val="en-US" w:eastAsia="zh-CN" w:bidi="ar"/>
              </w:rPr>
            </w:pPr>
            <w:r>
              <w:rPr>
                <w:rFonts w:hint="eastAsia" w:cs="仿宋"/>
                <w:b/>
                <w:bCs/>
                <w:i w:val="0"/>
                <w:iCs w:val="0"/>
                <w:color w:val="auto"/>
                <w:kern w:val="0"/>
                <w:sz w:val="27"/>
                <w:szCs w:val="27"/>
                <w:highlight w:val="none"/>
                <w:u w:val="none"/>
                <w:lang w:val="en-US" w:eastAsia="zh-CN" w:bidi="ar"/>
              </w:rPr>
              <w:t>预算总价</w:t>
            </w:r>
          </w:p>
        </w:tc>
      </w:tr>
      <w:tr w14:paraId="2DA095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7" w:hRule="atLeast"/>
        </w:trPr>
        <w:tc>
          <w:tcPr>
            <w:tcW w:w="502" w:type="dxa"/>
            <w:vAlign w:val="center"/>
          </w:tcPr>
          <w:p w14:paraId="0D1CB4C3">
            <w:pPr>
              <w:keepNext w:val="0"/>
              <w:keepLines w:val="0"/>
              <w:pageBreakBefore w:val="0"/>
              <w:widowControl/>
              <w:wordWrap/>
              <w:overflowPunct/>
              <w:topLinePunct w:val="0"/>
              <w:bidi w:val="0"/>
              <w:spacing w:line="400" w:lineRule="exact"/>
              <w:jc w:val="center"/>
              <w:rPr>
                <w:rFonts w:hint="eastAsia" w:ascii="仿宋" w:hAnsi="仿宋" w:eastAsia="仿宋" w:cs="仿宋"/>
                <w:color w:val="auto"/>
                <w:sz w:val="27"/>
                <w:szCs w:val="27"/>
              </w:rPr>
            </w:pPr>
            <w:r>
              <w:rPr>
                <w:rFonts w:hint="eastAsia" w:ascii="仿宋" w:hAnsi="仿宋" w:eastAsia="仿宋" w:cs="仿宋"/>
                <w:bCs/>
                <w:color w:val="auto"/>
                <w:sz w:val="27"/>
                <w:szCs w:val="27"/>
              </w:rPr>
              <w:t>1</w:t>
            </w:r>
          </w:p>
        </w:tc>
        <w:tc>
          <w:tcPr>
            <w:tcW w:w="1406" w:type="dxa"/>
            <w:vAlign w:val="center"/>
          </w:tcPr>
          <w:p w14:paraId="3B928724">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rPr>
            </w:pPr>
            <w:r>
              <w:rPr>
                <w:rFonts w:ascii="Segoe UI" w:hAnsi="Segoe UI" w:eastAsia="Segoe UI" w:cs="Segoe UI"/>
                <w:color w:val="4E5463"/>
                <w:sz w:val="18"/>
                <w:szCs w:val="18"/>
              </w:rPr>
              <w:t>定财购[2026]F10100141</w:t>
            </w:r>
          </w:p>
        </w:tc>
        <w:tc>
          <w:tcPr>
            <w:tcW w:w="1738" w:type="dxa"/>
            <w:vAlign w:val="center"/>
          </w:tcPr>
          <w:p w14:paraId="437EC4BE">
            <w:pPr>
              <w:pStyle w:val="14"/>
              <w:keepNext w:val="0"/>
              <w:keepLines w:val="0"/>
              <w:pageBreakBefore w:val="0"/>
              <w:widowControl/>
              <w:wordWrap/>
              <w:overflowPunct/>
              <w:topLinePunct w:val="0"/>
              <w:bidi w:val="0"/>
              <w:spacing w:before="207" w:line="400" w:lineRule="exact"/>
              <w:ind w:left="112" w:leftChars="0" w:right="29" w:rightChars="0" w:firstLine="109" w:firstLineChars="0"/>
              <w:jc w:val="both"/>
              <w:rPr>
                <w:rFonts w:hint="eastAsia" w:ascii="仿宋" w:hAnsi="仿宋" w:eastAsia="仿宋" w:cs="仿宋"/>
                <w:color w:val="auto"/>
                <w:sz w:val="27"/>
                <w:szCs w:val="27"/>
              </w:rPr>
            </w:pPr>
            <w:r>
              <w:rPr>
                <w:rFonts w:ascii="Segoe UI" w:hAnsi="Segoe UI" w:eastAsia="Segoe UI" w:cs="Segoe UI"/>
                <w:color w:val="4E5463"/>
                <w:sz w:val="21"/>
                <w:szCs w:val="21"/>
              </w:rPr>
              <w:t>和顺廉租房小区智慧安防项目</w:t>
            </w:r>
          </w:p>
        </w:tc>
        <w:tc>
          <w:tcPr>
            <w:tcW w:w="1800" w:type="dxa"/>
            <w:vAlign w:val="center"/>
          </w:tcPr>
          <w:p w14:paraId="499C5A8C">
            <w:pPr>
              <w:keepNext w:val="0"/>
              <w:keepLines w:val="0"/>
              <w:pageBreakBefore w:val="0"/>
              <w:widowControl/>
              <w:wordWrap/>
              <w:overflowPunct/>
              <w:topLinePunct w:val="0"/>
              <w:bidi w:val="0"/>
              <w:spacing w:line="400" w:lineRule="exact"/>
              <w:jc w:val="center"/>
              <w:rPr>
                <w:rFonts w:hint="eastAsia" w:ascii="仿宋" w:hAnsi="仿宋" w:eastAsia="仿宋" w:cs="仿宋"/>
                <w:color w:val="auto"/>
                <w:sz w:val="27"/>
                <w:szCs w:val="27"/>
              </w:rPr>
            </w:pPr>
            <w:r>
              <w:rPr>
                <w:rFonts w:ascii="Segoe UI" w:hAnsi="Segoe UI" w:eastAsia="Segoe UI" w:cs="Segoe UI"/>
                <w:color w:val="4E5463"/>
                <w:sz w:val="21"/>
                <w:szCs w:val="21"/>
              </w:rPr>
              <w:t>定财购2026F000210296</w:t>
            </w:r>
          </w:p>
        </w:tc>
        <w:tc>
          <w:tcPr>
            <w:tcW w:w="1562" w:type="dxa"/>
            <w:vAlign w:val="center"/>
          </w:tcPr>
          <w:p w14:paraId="4D8A81B8">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eastAsia="zh-CN"/>
              </w:rPr>
            </w:pPr>
            <w:r>
              <w:rPr>
                <w:rFonts w:ascii="Segoe UI" w:hAnsi="Segoe UI" w:eastAsia="Segoe UI" w:cs="Segoe UI"/>
                <w:color w:val="4E5463"/>
                <w:sz w:val="21"/>
                <w:szCs w:val="21"/>
              </w:rPr>
              <w:t>人脸信息采集系统</w:t>
            </w:r>
          </w:p>
        </w:tc>
        <w:tc>
          <w:tcPr>
            <w:tcW w:w="488" w:type="dxa"/>
            <w:vAlign w:val="center"/>
          </w:tcPr>
          <w:p w14:paraId="0D480416">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eastAsia="zh-CN"/>
              </w:rPr>
            </w:pPr>
            <w:r>
              <w:rPr>
                <w:rFonts w:hint="eastAsia" w:ascii="仿宋" w:hAnsi="仿宋" w:eastAsia="仿宋" w:cs="仿宋"/>
                <w:bCs/>
                <w:color w:val="auto"/>
                <w:sz w:val="27"/>
                <w:szCs w:val="27"/>
                <w:lang w:val="en-US" w:eastAsia="zh-CN"/>
              </w:rPr>
              <w:t>1</w:t>
            </w:r>
          </w:p>
        </w:tc>
        <w:tc>
          <w:tcPr>
            <w:tcW w:w="1387" w:type="dxa"/>
            <w:vAlign w:val="center"/>
          </w:tcPr>
          <w:p w14:paraId="7F9A69E0">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r>
              <w:rPr>
                <w:rFonts w:ascii="Segoe UI" w:hAnsi="Segoe UI" w:eastAsia="Segoe UI" w:cs="Segoe UI"/>
                <w:color w:val="4E5463"/>
                <w:sz w:val="21"/>
                <w:szCs w:val="21"/>
              </w:rPr>
              <w:t>9300.00</w:t>
            </w:r>
          </w:p>
        </w:tc>
        <w:tc>
          <w:tcPr>
            <w:tcW w:w="1393" w:type="dxa"/>
            <w:vAlign w:val="center"/>
          </w:tcPr>
          <w:p w14:paraId="38AB1ABE">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eastAsia="zh-CN"/>
              </w:rPr>
            </w:pPr>
            <w:r>
              <w:rPr>
                <w:rFonts w:ascii="Segoe UI" w:hAnsi="Segoe UI" w:eastAsia="Segoe UI" w:cs="Segoe UI"/>
                <w:color w:val="4E5463"/>
                <w:sz w:val="21"/>
                <w:szCs w:val="21"/>
              </w:rPr>
              <w:t>9300.00</w:t>
            </w:r>
          </w:p>
        </w:tc>
      </w:tr>
      <w:tr w14:paraId="46AC83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4" w:hRule="atLeast"/>
        </w:trPr>
        <w:tc>
          <w:tcPr>
            <w:tcW w:w="502" w:type="dxa"/>
            <w:vAlign w:val="center"/>
          </w:tcPr>
          <w:p w14:paraId="6D4D6052">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bookmarkStart w:id="0" w:name="_Toc17017"/>
            <w:r>
              <w:rPr>
                <w:rFonts w:hint="eastAsia" w:ascii="仿宋" w:hAnsi="仿宋" w:eastAsia="仿宋" w:cs="仿宋"/>
                <w:bCs/>
                <w:color w:val="auto"/>
                <w:sz w:val="27"/>
                <w:szCs w:val="27"/>
                <w:lang w:val="en-US" w:eastAsia="zh-CN"/>
              </w:rPr>
              <w:t>2</w:t>
            </w:r>
          </w:p>
        </w:tc>
        <w:tc>
          <w:tcPr>
            <w:tcW w:w="1406" w:type="dxa"/>
            <w:vAlign w:val="center"/>
          </w:tcPr>
          <w:p w14:paraId="3A4AA1B3">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rPr>
            </w:pPr>
            <w:r>
              <w:rPr>
                <w:rFonts w:ascii="Segoe UI" w:hAnsi="Segoe UI" w:eastAsia="Segoe UI" w:cs="Segoe UI"/>
                <w:color w:val="4E5463"/>
                <w:sz w:val="18"/>
                <w:szCs w:val="18"/>
              </w:rPr>
              <w:t>定财购[2026]F10100141</w:t>
            </w:r>
          </w:p>
        </w:tc>
        <w:tc>
          <w:tcPr>
            <w:tcW w:w="1738" w:type="dxa"/>
            <w:vAlign w:val="center"/>
          </w:tcPr>
          <w:p w14:paraId="414C2268">
            <w:pPr>
              <w:keepNext w:val="0"/>
              <w:keepLines w:val="0"/>
              <w:pageBreakBefore w:val="0"/>
              <w:widowControl/>
              <w:wordWrap/>
              <w:overflowPunct/>
              <w:topLinePunct w:val="0"/>
              <w:bidi w:val="0"/>
              <w:spacing w:before="207" w:line="400" w:lineRule="exact"/>
              <w:ind w:left="112" w:leftChars="0" w:right="29" w:rightChars="0" w:firstLine="109" w:firstLineChars="0"/>
              <w:jc w:val="center"/>
              <w:rPr>
                <w:rFonts w:hint="eastAsia" w:ascii="仿宋" w:hAnsi="仿宋" w:eastAsia="仿宋" w:cs="Times New Roman"/>
                <w:snapToGrid/>
                <w:color w:val="auto"/>
                <w:sz w:val="27"/>
                <w:szCs w:val="27"/>
                <w:lang w:eastAsia="zh-CN"/>
              </w:rPr>
            </w:pPr>
            <w:r>
              <w:rPr>
                <w:rFonts w:ascii="Segoe UI" w:hAnsi="Segoe UI" w:eastAsia="Segoe UI" w:cs="Segoe UI"/>
                <w:color w:val="4E5463"/>
                <w:sz w:val="21"/>
                <w:szCs w:val="21"/>
              </w:rPr>
              <w:t>和顺廉租房小区智慧安防项目</w:t>
            </w:r>
          </w:p>
        </w:tc>
        <w:tc>
          <w:tcPr>
            <w:tcW w:w="1800" w:type="dxa"/>
            <w:vAlign w:val="center"/>
          </w:tcPr>
          <w:p w14:paraId="5788E408">
            <w:pPr>
              <w:keepNext w:val="0"/>
              <w:keepLines w:val="0"/>
              <w:pageBreakBefore w:val="0"/>
              <w:widowControl/>
              <w:wordWrap/>
              <w:overflowPunct/>
              <w:topLinePunct w:val="0"/>
              <w:bidi w:val="0"/>
              <w:spacing w:line="400" w:lineRule="exact"/>
              <w:jc w:val="center"/>
              <w:rPr>
                <w:rFonts w:hint="eastAsia" w:ascii="仿宋" w:hAnsi="仿宋" w:eastAsia="仿宋" w:cs="仿宋"/>
                <w:color w:val="auto"/>
                <w:sz w:val="24"/>
                <w:szCs w:val="24"/>
                <w:lang w:val="en-US" w:eastAsia="zh-CN"/>
              </w:rPr>
            </w:pPr>
            <w:r>
              <w:rPr>
                <w:rFonts w:ascii="Segoe UI" w:hAnsi="Segoe UI" w:eastAsia="Segoe UI" w:cs="Segoe UI"/>
                <w:color w:val="4E5463"/>
                <w:sz w:val="21"/>
                <w:szCs w:val="21"/>
              </w:rPr>
              <w:t>定财购2026F000210295</w:t>
            </w:r>
          </w:p>
        </w:tc>
        <w:tc>
          <w:tcPr>
            <w:tcW w:w="1562" w:type="dxa"/>
            <w:vAlign w:val="center"/>
          </w:tcPr>
          <w:p w14:paraId="2981E886">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r>
              <w:rPr>
                <w:rFonts w:ascii="Segoe UI" w:hAnsi="Segoe UI" w:eastAsia="Segoe UI" w:cs="Segoe UI"/>
                <w:color w:val="4E5463"/>
                <w:sz w:val="21"/>
                <w:szCs w:val="21"/>
              </w:rPr>
              <w:t>视频监控系统</w:t>
            </w:r>
          </w:p>
        </w:tc>
        <w:tc>
          <w:tcPr>
            <w:tcW w:w="488" w:type="dxa"/>
            <w:vAlign w:val="center"/>
          </w:tcPr>
          <w:p w14:paraId="27B851F0">
            <w:pPr>
              <w:keepNext w:val="0"/>
              <w:keepLines w:val="0"/>
              <w:pageBreakBefore w:val="0"/>
              <w:widowControl/>
              <w:wordWrap/>
              <w:overflowPunct/>
              <w:topLinePunct w:val="0"/>
              <w:bidi w:val="0"/>
              <w:spacing w:line="400" w:lineRule="exact"/>
              <w:jc w:val="center"/>
              <w:rPr>
                <w:rFonts w:hint="default" w:ascii="仿宋" w:hAnsi="仿宋" w:eastAsia="仿宋" w:cs="仿宋"/>
                <w:bCs/>
                <w:color w:val="auto"/>
                <w:sz w:val="27"/>
                <w:szCs w:val="27"/>
                <w:lang w:val="en-US" w:eastAsia="zh-CN"/>
              </w:rPr>
            </w:pPr>
            <w:r>
              <w:rPr>
                <w:rFonts w:hint="eastAsia" w:ascii="仿宋" w:hAnsi="仿宋" w:eastAsia="仿宋" w:cs="仿宋"/>
                <w:bCs/>
                <w:color w:val="auto"/>
                <w:sz w:val="27"/>
                <w:szCs w:val="27"/>
                <w:lang w:val="en-US" w:eastAsia="zh-CN"/>
              </w:rPr>
              <w:t>1</w:t>
            </w:r>
          </w:p>
        </w:tc>
        <w:tc>
          <w:tcPr>
            <w:tcW w:w="1387" w:type="dxa"/>
            <w:vAlign w:val="center"/>
          </w:tcPr>
          <w:p w14:paraId="36300900">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r>
              <w:rPr>
                <w:rFonts w:ascii="Segoe UI" w:hAnsi="Segoe UI" w:eastAsia="Segoe UI" w:cs="Segoe UI"/>
                <w:color w:val="4E5463"/>
                <w:sz w:val="21"/>
                <w:szCs w:val="21"/>
              </w:rPr>
              <w:t>67807.00</w:t>
            </w:r>
          </w:p>
        </w:tc>
        <w:tc>
          <w:tcPr>
            <w:tcW w:w="1393" w:type="dxa"/>
            <w:vAlign w:val="center"/>
          </w:tcPr>
          <w:p w14:paraId="4DF95AA0">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r>
              <w:rPr>
                <w:rFonts w:ascii="Segoe UI" w:hAnsi="Segoe UI" w:eastAsia="Segoe UI" w:cs="Segoe UI"/>
                <w:color w:val="4E5463"/>
                <w:sz w:val="21"/>
                <w:szCs w:val="21"/>
              </w:rPr>
              <w:t>67807.00</w:t>
            </w:r>
          </w:p>
        </w:tc>
      </w:tr>
      <w:tr w14:paraId="338889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4" w:hRule="atLeast"/>
        </w:trPr>
        <w:tc>
          <w:tcPr>
            <w:tcW w:w="502" w:type="dxa"/>
            <w:vAlign w:val="center"/>
          </w:tcPr>
          <w:p w14:paraId="10085EFB">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r>
              <w:rPr>
                <w:rFonts w:hint="eastAsia" w:ascii="仿宋" w:hAnsi="仿宋" w:eastAsia="仿宋" w:cs="仿宋"/>
                <w:bCs/>
                <w:color w:val="auto"/>
                <w:sz w:val="27"/>
                <w:szCs w:val="27"/>
                <w:lang w:val="en-US" w:eastAsia="zh-CN"/>
              </w:rPr>
              <w:t>3</w:t>
            </w:r>
          </w:p>
        </w:tc>
        <w:tc>
          <w:tcPr>
            <w:tcW w:w="1406" w:type="dxa"/>
            <w:vAlign w:val="center"/>
          </w:tcPr>
          <w:p w14:paraId="0B7313CA">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rPr>
            </w:pPr>
            <w:r>
              <w:rPr>
                <w:rFonts w:ascii="Segoe UI" w:hAnsi="Segoe UI" w:eastAsia="Segoe UI" w:cs="Segoe UI"/>
                <w:color w:val="4E5463"/>
                <w:sz w:val="18"/>
                <w:szCs w:val="18"/>
              </w:rPr>
              <w:t>定财购[2026]F10100141</w:t>
            </w:r>
          </w:p>
        </w:tc>
        <w:tc>
          <w:tcPr>
            <w:tcW w:w="1738" w:type="dxa"/>
            <w:vAlign w:val="center"/>
          </w:tcPr>
          <w:p w14:paraId="0825A762">
            <w:pPr>
              <w:keepNext w:val="0"/>
              <w:keepLines w:val="0"/>
              <w:pageBreakBefore w:val="0"/>
              <w:widowControl/>
              <w:wordWrap/>
              <w:overflowPunct/>
              <w:topLinePunct w:val="0"/>
              <w:bidi w:val="0"/>
              <w:spacing w:before="207" w:line="400" w:lineRule="exact"/>
              <w:ind w:left="112" w:leftChars="0" w:right="29" w:rightChars="0" w:firstLine="109" w:firstLineChars="0"/>
              <w:jc w:val="center"/>
              <w:rPr>
                <w:rFonts w:hint="eastAsia" w:ascii="仿宋" w:hAnsi="仿宋" w:eastAsia="仿宋" w:cs="Times New Roman"/>
                <w:snapToGrid/>
                <w:color w:val="auto"/>
                <w:sz w:val="27"/>
                <w:szCs w:val="27"/>
                <w:lang w:eastAsia="zh-CN"/>
              </w:rPr>
            </w:pPr>
            <w:r>
              <w:rPr>
                <w:rFonts w:ascii="Segoe UI" w:hAnsi="Segoe UI" w:eastAsia="Segoe UI" w:cs="Segoe UI"/>
                <w:color w:val="4E5463"/>
                <w:sz w:val="21"/>
                <w:szCs w:val="21"/>
              </w:rPr>
              <w:t>和顺廉租房小区智慧安防项目</w:t>
            </w:r>
          </w:p>
        </w:tc>
        <w:tc>
          <w:tcPr>
            <w:tcW w:w="1800" w:type="dxa"/>
            <w:vAlign w:val="center"/>
          </w:tcPr>
          <w:p w14:paraId="7C61B7B8">
            <w:pPr>
              <w:keepNext w:val="0"/>
              <w:keepLines w:val="0"/>
              <w:pageBreakBefore w:val="0"/>
              <w:widowControl/>
              <w:wordWrap/>
              <w:overflowPunct/>
              <w:topLinePunct w:val="0"/>
              <w:bidi w:val="0"/>
              <w:spacing w:line="400" w:lineRule="exact"/>
              <w:jc w:val="center"/>
              <w:rPr>
                <w:rFonts w:hint="eastAsia" w:ascii="仿宋" w:hAnsi="仿宋" w:eastAsia="仿宋" w:cs="仿宋"/>
                <w:color w:val="auto"/>
                <w:sz w:val="24"/>
                <w:szCs w:val="24"/>
                <w:lang w:val="en-US" w:eastAsia="zh-CN"/>
              </w:rPr>
            </w:pPr>
            <w:r>
              <w:rPr>
                <w:rFonts w:ascii="Segoe UI" w:hAnsi="Segoe UI" w:eastAsia="Segoe UI" w:cs="Segoe UI"/>
                <w:color w:val="4E5463"/>
                <w:sz w:val="21"/>
                <w:szCs w:val="21"/>
              </w:rPr>
              <w:t>定财购2026F000210294</w:t>
            </w:r>
          </w:p>
        </w:tc>
        <w:tc>
          <w:tcPr>
            <w:tcW w:w="1562" w:type="dxa"/>
            <w:vAlign w:val="center"/>
          </w:tcPr>
          <w:p w14:paraId="3B5955B3">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r>
              <w:rPr>
                <w:rFonts w:ascii="Segoe UI" w:hAnsi="Segoe UI" w:eastAsia="Segoe UI" w:cs="Segoe UI"/>
                <w:color w:val="4E5463"/>
                <w:sz w:val="21"/>
                <w:szCs w:val="21"/>
              </w:rPr>
              <w:t>入户门拆除和换新</w:t>
            </w:r>
          </w:p>
        </w:tc>
        <w:tc>
          <w:tcPr>
            <w:tcW w:w="488" w:type="dxa"/>
            <w:vAlign w:val="center"/>
          </w:tcPr>
          <w:p w14:paraId="5D88AE5A">
            <w:pPr>
              <w:keepNext w:val="0"/>
              <w:keepLines w:val="0"/>
              <w:pageBreakBefore w:val="0"/>
              <w:widowControl/>
              <w:wordWrap/>
              <w:overflowPunct/>
              <w:topLinePunct w:val="0"/>
              <w:bidi w:val="0"/>
              <w:spacing w:line="400" w:lineRule="exact"/>
              <w:jc w:val="center"/>
              <w:rPr>
                <w:rFonts w:hint="default" w:ascii="仿宋" w:hAnsi="仿宋" w:eastAsia="仿宋" w:cs="仿宋"/>
                <w:bCs/>
                <w:color w:val="auto"/>
                <w:sz w:val="27"/>
                <w:szCs w:val="27"/>
                <w:lang w:val="en-US" w:eastAsia="zh-CN"/>
              </w:rPr>
            </w:pPr>
            <w:r>
              <w:rPr>
                <w:rFonts w:hint="eastAsia" w:ascii="仿宋" w:hAnsi="仿宋" w:eastAsia="仿宋" w:cs="仿宋"/>
                <w:bCs/>
                <w:color w:val="auto"/>
                <w:sz w:val="27"/>
                <w:szCs w:val="27"/>
                <w:lang w:val="en-US" w:eastAsia="zh-CN"/>
              </w:rPr>
              <w:t>1</w:t>
            </w:r>
          </w:p>
        </w:tc>
        <w:tc>
          <w:tcPr>
            <w:tcW w:w="1387" w:type="dxa"/>
            <w:vAlign w:val="center"/>
          </w:tcPr>
          <w:p w14:paraId="467D8A09">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r>
              <w:rPr>
                <w:rFonts w:ascii="Segoe UI" w:hAnsi="Segoe UI" w:eastAsia="Segoe UI" w:cs="Segoe UI"/>
                <w:color w:val="4E5463"/>
                <w:sz w:val="21"/>
                <w:szCs w:val="21"/>
              </w:rPr>
              <w:t>49800.00</w:t>
            </w:r>
          </w:p>
        </w:tc>
        <w:tc>
          <w:tcPr>
            <w:tcW w:w="1393" w:type="dxa"/>
            <w:vAlign w:val="center"/>
          </w:tcPr>
          <w:p w14:paraId="55302CD7">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r>
              <w:rPr>
                <w:rFonts w:ascii="Segoe UI" w:hAnsi="Segoe UI" w:eastAsia="Segoe UI" w:cs="Segoe UI"/>
                <w:color w:val="4E5463"/>
                <w:sz w:val="21"/>
                <w:szCs w:val="21"/>
              </w:rPr>
              <w:t>49800.00</w:t>
            </w:r>
          </w:p>
        </w:tc>
      </w:tr>
      <w:tr w14:paraId="4D62EA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9" w:hRule="atLeast"/>
        </w:trPr>
        <w:tc>
          <w:tcPr>
            <w:tcW w:w="502" w:type="dxa"/>
            <w:vAlign w:val="center"/>
          </w:tcPr>
          <w:p w14:paraId="5D7AE479">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r>
              <w:rPr>
                <w:rFonts w:hint="eastAsia" w:ascii="仿宋" w:hAnsi="仿宋" w:eastAsia="仿宋" w:cs="仿宋"/>
                <w:bCs/>
                <w:color w:val="auto"/>
                <w:sz w:val="27"/>
                <w:szCs w:val="27"/>
                <w:lang w:val="en-US" w:eastAsia="zh-CN"/>
              </w:rPr>
              <w:t>4</w:t>
            </w:r>
          </w:p>
        </w:tc>
        <w:tc>
          <w:tcPr>
            <w:tcW w:w="1406" w:type="dxa"/>
            <w:vAlign w:val="center"/>
          </w:tcPr>
          <w:p w14:paraId="13627F63">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rPr>
            </w:pPr>
            <w:r>
              <w:rPr>
                <w:rFonts w:ascii="Segoe UI" w:hAnsi="Segoe UI" w:eastAsia="Segoe UI" w:cs="Segoe UI"/>
                <w:color w:val="4E5463"/>
                <w:sz w:val="18"/>
                <w:szCs w:val="18"/>
              </w:rPr>
              <w:t>定财购[2026]F10100141</w:t>
            </w:r>
          </w:p>
        </w:tc>
        <w:tc>
          <w:tcPr>
            <w:tcW w:w="1738" w:type="dxa"/>
            <w:vAlign w:val="center"/>
          </w:tcPr>
          <w:p w14:paraId="02405C5E">
            <w:pPr>
              <w:keepNext w:val="0"/>
              <w:keepLines w:val="0"/>
              <w:pageBreakBefore w:val="0"/>
              <w:widowControl/>
              <w:wordWrap/>
              <w:overflowPunct/>
              <w:topLinePunct w:val="0"/>
              <w:bidi w:val="0"/>
              <w:spacing w:before="207" w:line="400" w:lineRule="exact"/>
              <w:ind w:left="112" w:leftChars="0" w:right="29" w:rightChars="0" w:firstLine="109" w:firstLineChars="0"/>
              <w:jc w:val="center"/>
              <w:rPr>
                <w:rFonts w:hint="eastAsia" w:ascii="仿宋" w:hAnsi="仿宋" w:eastAsia="仿宋" w:cs="Times New Roman"/>
                <w:snapToGrid/>
                <w:color w:val="auto"/>
                <w:sz w:val="27"/>
                <w:szCs w:val="27"/>
                <w:lang w:eastAsia="zh-CN"/>
              </w:rPr>
            </w:pPr>
            <w:r>
              <w:rPr>
                <w:rFonts w:ascii="Segoe UI" w:hAnsi="Segoe UI" w:eastAsia="Segoe UI" w:cs="Segoe UI"/>
                <w:color w:val="4E5463"/>
                <w:sz w:val="21"/>
                <w:szCs w:val="21"/>
              </w:rPr>
              <w:t>和顺廉租房小区智慧安防项目</w:t>
            </w:r>
          </w:p>
        </w:tc>
        <w:tc>
          <w:tcPr>
            <w:tcW w:w="1800" w:type="dxa"/>
            <w:vAlign w:val="center"/>
          </w:tcPr>
          <w:p w14:paraId="4BCDFB3C">
            <w:pPr>
              <w:keepNext w:val="0"/>
              <w:keepLines w:val="0"/>
              <w:pageBreakBefore w:val="0"/>
              <w:widowControl/>
              <w:wordWrap/>
              <w:overflowPunct/>
              <w:topLinePunct w:val="0"/>
              <w:bidi w:val="0"/>
              <w:spacing w:line="400" w:lineRule="exact"/>
              <w:jc w:val="center"/>
              <w:rPr>
                <w:rFonts w:hint="eastAsia" w:ascii="仿宋" w:hAnsi="仿宋" w:eastAsia="仿宋" w:cs="仿宋"/>
                <w:color w:val="auto"/>
                <w:sz w:val="24"/>
                <w:szCs w:val="24"/>
                <w:lang w:val="en-US" w:eastAsia="zh-CN"/>
              </w:rPr>
            </w:pPr>
            <w:r>
              <w:rPr>
                <w:rFonts w:ascii="Segoe UI" w:hAnsi="Segoe UI" w:eastAsia="Segoe UI" w:cs="Segoe UI"/>
                <w:color w:val="4E5463"/>
                <w:sz w:val="21"/>
                <w:szCs w:val="21"/>
              </w:rPr>
              <w:t>定财购2026F000210293</w:t>
            </w:r>
          </w:p>
        </w:tc>
        <w:tc>
          <w:tcPr>
            <w:tcW w:w="1562" w:type="dxa"/>
            <w:vAlign w:val="center"/>
          </w:tcPr>
          <w:p w14:paraId="5F2B113D">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r>
              <w:rPr>
                <w:rFonts w:ascii="Segoe UI" w:hAnsi="Segoe UI" w:eastAsia="Segoe UI" w:cs="Segoe UI"/>
                <w:color w:val="4E5463"/>
                <w:sz w:val="21"/>
                <w:szCs w:val="21"/>
              </w:rPr>
              <w:t>智能门锁管理</w:t>
            </w:r>
          </w:p>
        </w:tc>
        <w:tc>
          <w:tcPr>
            <w:tcW w:w="488" w:type="dxa"/>
            <w:vAlign w:val="center"/>
          </w:tcPr>
          <w:p w14:paraId="13396294">
            <w:pPr>
              <w:keepNext w:val="0"/>
              <w:keepLines w:val="0"/>
              <w:pageBreakBefore w:val="0"/>
              <w:widowControl/>
              <w:wordWrap/>
              <w:overflowPunct/>
              <w:topLinePunct w:val="0"/>
              <w:bidi w:val="0"/>
              <w:spacing w:line="400" w:lineRule="exact"/>
              <w:jc w:val="center"/>
              <w:rPr>
                <w:rFonts w:hint="default" w:ascii="仿宋" w:hAnsi="仿宋" w:eastAsia="仿宋" w:cs="仿宋"/>
                <w:bCs/>
                <w:color w:val="auto"/>
                <w:sz w:val="27"/>
                <w:szCs w:val="27"/>
                <w:lang w:val="en-US" w:eastAsia="zh-CN"/>
              </w:rPr>
            </w:pPr>
            <w:r>
              <w:rPr>
                <w:rFonts w:hint="eastAsia" w:ascii="仿宋" w:hAnsi="仿宋" w:eastAsia="仿宋" w:cs="仿宋"/>
                <w:bCs/>
                <w:color w:val="auto"/>
                <w:sz w:val="27"/>
                <w:szCs w:val="27"/>
                <w:lang w:val="en-US" w:eastAsia="zh-CN"/>
              </w:rPr>
              <w:t>1</w:t>
            </w:r>
          </w:p>
        </w:tc>
        <w:tc>
          <w:tcPr>
            <w:tcW w:w="1387" w:type="dxa"/>
            <w:vAlign w:val="center"/>
          </w:tcPr>
          <w:p w14:paraId="1156FD65">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r>
              <w:rPr>
                <w:rFonts w:ascii="Segoe UI" w:hAnsi="Segoe UI" w:eastAsia="Segoe UI" w:cs="Segoe UI"/>
                <w:color w:val="4E5463"/>
                <w:sz w:val="21"/>
                <w:szCs w:val="21"/>
              </w:rPr>
              <w:t>1922760.00</w:t>
            </w:r>
          </w:p>
        </w:tc>
        <w:tc>
          <w:tcPr>
            <w:tcW w:w="1393" w:type="dxa"/>
            <w:vAlign w:val="center"/>
          </w:tcPr>
          <w:p w14:paraId="1FB9E1F1">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r>
              <w:rPr>
                <w:rFonts w:ascii="Segoe UI" w:hAnsi="Segoe UI" w:eastAsia="Segoe UI" w:cs="Segoe UI"/>
                <w:color w:val="4E5463"/>
                <w:sz w:val="21"/>
                <w:szCs w:val="21"/>
              </w:rPr>
              <w:t>1922760.00</w:t>
            </w:r>
          </w:p>
        </w:tc>
      </w:tr>
      <w:tr w14:paraId="7A1D34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502" w:type="dxa"/>
            <w:vAlign w:val="center"/>
          </w:tcPr>
          <w:p w14:paraId="269440AF">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r>
              <w:rPr>
                <w:rFonts w:hint="eastAsia" w:ascii="仿宋" w:hAnsi="仿宋" w:eastAsia="仿宋" w:cs="仿宋"/>
                <w:bCs/>
                <w:color w:val="auto"/>
                <w:sz w:val="27"/>
                <w:szCs w:val="27"/>
                <w:lang w:val="en-US" w:eastAsia="zh-CN"/>
              </w:rPr>
              <w:t>5</w:t>
            </w:r>
          </w:p>
        </w:tc>
        <w:tc>
          <w:tcPr>
            <w:tcW w:w="1406" w:type="dxa"/>
            <w:vAlign w:val="center"/>
          </w:tcPr>
          <w:p w14:paraId="787B7360">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rPr>
            </w:pPr>
            <w:r>
              <w:rPr>
                <w:rFonts w:ascii="Segoe UI" w:hAnsi="Segoe UI" w:eastAsia="Segoe UI" w:cs="Segoe UI"/>
                <w:color w:val="4E5463"/>
                <w:sz w:val="18"/>
                <w:szCs w:val="18"/>
              </w:rPr>
              <w:t>定财购[2026]F10100141</w:t>
            </w:r>
          </w:p>
        </w:tc>
        <w:tc>
          <w:tcPr>
            <w:tcW w:w="1738" w:type="dxa"/>
            <w:vAlign w:val="center"/>
          </w:tcPr>
          <w:p w14:paraId="4E4712FB">
            <w:pPr>
              <w:keepNext w:val="0"/>
              <w:keepLines w:val="0"/>
              <w:pageBreakBefore w:val="0"/>
              <w:widowControl/>
              <w:wordWrap/>
              <w:overflowPunct/>
              <w:topLinePunct w:val="0"/>
              <w:bidi w:val="0"/>
              <w:spacing w:before="207" w:line="400" w:lineRule="exact"/>
              <w:ind w:left="112" w:leftChars="0" w:right="29" w:rightChars="0" w:firstLine="109" w:firstLineChars="0"/>
              <w:jc w:val="center"/>
              <w:rPr>
                <w:rFonts w:hint="eastAsia" w:ascii="仿宋" w:hAnsi="仿宋" w:eastAsia="仿宋" w:cs="Times New Roman"/>
                <w:snapToGrid/>
                <w:color w:val="auto"/>
                <w:sz w:val="27"/>
                <w:szCs w:val="27"/>
                <w:lang w:eastAsia="zh-CN"/>
              </w:rPr>
            </w:pPr>
            <w:r>
              <w:rPr>
                <w:rFonts w:ascii="Segoe UI" w:hAnsi="Segoe UI" w:eastAsia="Segoe UI" w:cs="Segoe UI"/>
                <w:color w:val="4E5463"/>
                <w:sz w:val="21"/>
                <w:szCs w:val="21"/>
              </w:rPr>
              <w:t>和顺廉租房小区智慧安防项目</w:t>
            </w:r>
          </w:p>
        </w:tc>
        <w:tc>
          <w:tcPr>
            <w:tcW w:w="1800" w:type="dxa"/>
            <w:vAlign w:val="center"/>
          </w:tcPr>
          <w:p w14:paraId="30D7037B">
            <w:pPr>
              <w:keepNext w:val="0"/>
              <w:keepLines w:val="0"/>
              <w:pageBreakBefore w:val="0"/>
              <w:widowControl/>
              <w:wordWrap/>
              <w:overflowPunct/>
              <w:topLinePunct w:val="0"/>
              <w:bidi w:val="0"/>
              <w:spacing w:line="400" w:lineRule="exact"/>
              <w:jc w:val="center"/>
              <w:rPr>
                <w:rFonts w:hint="eastAsia" w:ascii="仿宋" w:hAnsi="仿宋" w:eastAsia="仿宋" w:cs="仿宋"/>
                <w:color w:val="auto"/>
                <w:sz w:val="24"/>
                <w:szCs w:val="24"/>
                <w:lang w:val="en-US" w:eastAsia="zh-CN"/>
              </w:rPr>
            </w:pPr>
            <w:r>
              <w:rPr>
                <w:rFonts w:ascii="Segoe UI" w:hAnsi="Segoe UI" w:eastAsia="Segoe UI" w:cs="Segoe UI"/>
                <w:color w:val="4E5463"/>
                <w:sz w:val="21"/>
                <w:szCs w:val="21"/>
              </w:rPr>
              <w:t>定财购2026F000210292</w:t>
            </w:r>
          </w:p>
        </w:tc>
        <w:tc>
          <w:tcPr>
            <w:tcW w:w="1562" w:type="dxa"/>
            <w:vAlign w:val="center"/>
          </w:tcPr>
          <w:p w14:paraId="6F2437DA">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r>
              <w:rPr>
                <w:rFonts w:hint="eastAsia" w:ascii="Segoe UI" w:hAnsi="Segoe UI" w:eastAsia="Segoe UI" w:cs="Segoe UI"/>
                <w:color w:val="4E5463"/>
                <w:sz w:val="21"/>
                <w:szCs w:val="21"/>
                <w:lang w:val="en-US" w:eastAsia="zh-CN"/>
              </w:rPr>
              <w:t>网络部分、公网固定IP部分</w:t>
            </w:r>
          </w:p>
        </w:tc>
        <w:tc>
          <w:tcPr>
            <w:tcW w:w="488" w:type="dxa"/>
            <w:vAlign w:val="center"/>
          </w:tcPr>
          <w:p w14:paraId="6A26478B">
            <w:pPr>
              <w:keepNext w:val="0"/>
              <w:keepLines w:val="0"/>
              <w:pageBreakBefore w:val="0"/>
              <w:widowControl/>
              <w:wordWrap/>
              <w:overflowPunct/>
              <w:topLinePunct w:val="0"/>
              <w:bidi w:val="0"/>
              <w:spacing w:line="400" w:lineRule="exact"/>
              <w:jc w:val="center"/>
              <w:rPr>
                <w:rFonts w:hint="default" w:ascii="仿宋" w:hAnsi="仿宋" w:eastAsia="仿宋" w:cs="仿宋"/>
                <w:bCs/>
                <w:color w:val="auto"/>
                <w:sz w:val="27"/>
                <w:szCs w:val="27"/>
                <w:lang w:val="en-US" w:eastAsia="zh-CN"/>
              </w:rPr>
            </w:pPr>
            <w:r>
              <w:rPr>
                <w:rFonts w:hint="eastAsia" w:ascii="仿宋" w:hAnsi="仿宋" w:eastAsia="仿宋" w:cs="仿宋"/>
                <w:bCs/>
                <w:color w:val="auto"/>
                <w:sz w:val="27"/>
                <w:szCs w:val="27"/>
                <w:lang w:val="en-US" w:eastAsia="zh-CN"/>
              </w:rPr>
              <w:t>1</w:t>
            </w:r>
          </w:p>
        </w:tc>
        <w:tc>
          <w:tcPr>
            <w:tcW w:w="1387" w:type="dxa"/>
            <w:vAlign w:val="center"/>
          </w:tcPr>
          <w:p w14:paraId="2ED69917">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r>
              <w:rPr>
                <w:rFonts w:ascii="Segoe UI" w:hAnsi="Segoe UI" w:eastAsia="Segoe UI" w:cs="Segoe UI"/>
                <w:color w:val="4E5463"/>
                <w:sz w:val="21"/>
                <w:szCs w:val="21"/>
              </w:rPr>
              <w:t>164400.00</w:t>
            </w:r>
          </w:p>
        </w:tc>
        <w:tc>
          <w:tcPr>
            <w:tcW w:w="1393" w:type="dxa"/>
            <w:vAlign w:val="center"/>
          </w:tcPr>
          <w:p w14:paraId="1DF3109A">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r>
              <w:rPr>
                <w:rFonts w:ascii="Segoe UI" w:hAnsi="Segoe UI" w:eastAsia="Segoe UI" w:cs="Segoe UI"/>
                <w:color w:val="4E5463"/>
                <w:sz w:val="21"/>
                <w:szCs w:val="21"/>
              </w:rPr>
              <w:t>164400.00</w:t>
            </w:r>
          </w:p>
        </w:tc>
      </w:tr>
      <w:tr w14:paraId="1E003A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502" w:type="dxa"/>
            <w:vAlign w:val="center"/>
          </w:tcPr>
          <w:p w14:paraId="43B985DE">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r>
              <w:rPr>
                <w:rFonts w:hint="eastAsia" w:ascii="仿宋" w:hAnsi="仿宋" w:eastAsia="仿宋" w:cs="仿宋"/>
                <w:bCs/>
                <w:color w:val="auto"/>
                <w:sz w:val="27"/>
                <w:szCs w:val="27"/>
                <w:lang w:val="en-US" w:eastAsia="zh-CN"/>
              </w:rPr>
              <w:t>6</w:t>
            </w:r>
          </w:p>
        </w:tc>
        <w:tc>
          <w:tcPr>
            <w:tcW w:w="1406" w:type="dxa"/>
            <w:vAlign w:val="center"/>
          </w:tcPr>
          <w:p w14:paraId="3948C9D8">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rPr>
            </w:pPr>
            <w:r>
              <w:rPr>
                <w:rFonts w:ascii="Segoe UI" w:hAnsi="Segoe UI" w:eastAsia="Segoe UI" w:cs="Segoe UI"/>
                <w:color w:val="4E5463"/>
                <w:sz w:val="18"/>
                <w:szCs w:val="18"/>
              </w:rPr>
              <w:t>定财购[2026]F10100141</w:t>
            </w:r>
          </w:p>
        </w:tc>
        <w:tc>
          <w:tcPr>
            <w:tcW w:w="1738" w:type="dxa"/>
            <w:vAlign w:val="center"/>
          </w:tcPr>
          <w:p w14:paraId="3FBB7133">
            <w:pPr>
              <w:keepNext w:val="0"/>
              <w:keepLines w:val="0"/>
              <w:pageBreakBefore w:val="0"/>
              <w:widowControl/>
              <w:wordWrap/>
              <w:overflowPunct/>
              <w:topLinePunct w:val="0"/>
              <w:bidi w:val="0"/>
              <w:spacing w:before="207" w:line="400" w:lineRule="exact"/>
              <w:ind w:left="112" w:leftChars="0" w:right="29" w:rightChars="0" w:firstLine="109" w:firstLineChars="0"/>
              <w:jc w:val="center"/>
              <w:rPr>
                <w:rFonts w:hint="eastAsia" w:ascii="仿宋" w:hAnsi="仿宋" w:eastAsia="仿宋" w:cs="Times New Roman"/>
                <w:snapToGrid/>
                <w:color w:val="auto"/>
                <w:sz w:val="27"/>
                <w:szCs w:val="27"/>
                <w:lang w:eastAsia="zh-CN"/>
              </w:rPr>
            </w:pPr>
            <w:r>
              <w:rPr>
                <w:rFonts w:ascii="Segoe UI" w:hAnsi="Segoe UI" w:eastAsia="Segoe UI" w:cs="Segoe UI"/>
                <w:color w:val="4E5463"/>
                <w:sz w:val="21"/>
                <w:szCs w:val="21"/>
              </w:rPr>
              <w:t>和顺廉租房小区智慧安防项目</w:t>
            </w:r>
          </w:p>
        </w:tc>
        <w:tc>
          <w:tcPr>
            <w:tcW w:w="1800" w:type="dxa"/>
            <w:vAlign w:val="center"/>
          </w:tcPr>
          <w:p w14:paraId="42AAD98A">
            <w:pPr>
              <w:keepNext w:val="0"/>
              <w:keepLines w:val="0"/>
              <w:pageBreakBefore w:val="0"/>
              <w:widowControl/>
              <w:wordWrap/>
              <w:overflowPunct/>
              <w:topLinePunct w:val="0"/>
              <w:bidi w:val="0"/>
              <w:spacing w:line="400" w:lineRule="exact"/>
              <w:jc w:val="center"/>
              <w:rPr>
                <w:rFonts w:hint="eastAsia" w:ascii="仿宋" w:hAnsi="仿宋" w:eastAsia="宋体" w:cs="仿宋"/>
                <w:color w:val="auto"/>
                <w:sz w:val="24"/>
                <w:szCs w:val="24"/>
                <w:lang w:val="en-US" w:eastAsia="zh-CN"/>
              </w:rPr>
            </w:pPr>
            <w:r>
              <w:rPr>
                <w:rFonts w:ascii="Segoe UI" w:hAnsi="Segoe UI" w:eastAsia="Segoe UI" w:cs="Segoe UI"/>
                <w:color w:val="4E5463"/>
                <w:sz w:val="21"/>
                <w:szCs w:val="21"/>
              </w:rPr>
              <w:t>定财购2026F00021029</w:t>
            </w:r>
            <w:r>
              <w:rPr>
                <w:rFonts w:hint="eastAsia" w:ascii="Segoe UI" w:hAnsi="Segoe UI" w:eastAsia="宋体" w:cs="Segoe UI"/>
                <w:color w:val="4E5463"/>
                <w:sz w:val="21"/>
                <w:szCs w:val="21"/>
                <w:lang w:val="en-US" w:eastAsia="zh-CN"/>
              </w:rPr>
              <w:t>1</w:t>
            </w:r>
          </w:p>
        </w:tc>
        <w:tc>
          <w:tcPr>
            <w:tcW w:w="1562" w:type="dxa"/>
            <w:vAlign w:val="center"/>
          </w:tcPr>
          <w:p w14:paraId="1B74887C">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r>
              <w:rPr>
                <w:rFonts w:ascii="Segoe UI" w:hAnsi="Segoe UI" w:eastAsia="Segoe UI" w:cs="Segoe UI"/>
                <w:color w:val="4E5463"/>
                <w:sz w:val="21"/>
                <w:szCs w:val="21"/>
              </w:rPr>
              <w:t>LED大屏显示及扩声系统</w:t>
            </w:r>
          </w:p>
        </w:tc>
        <w:tc>
          <w:tcPr>
            <w:tcW w:w="488" w:type="dxa"/>
            <w:vAlign w:val="center"/>
          </w:tcPr>
          <w:p w14:paraId="0325A17A">
            <w:pPr>
              <w:keepNext w:val="0"/>
              <w:keepLines w:val="0"/>
              <w:pageBreakBefore w:val="0"/>
              <w:widowControl/>
              <w:wordWrap/>
              <w:overflowPunct/>
              <w:topLinePunct w:val="0"/>
              <w:bidi w:val="0"/>
              <w:spacing w:line="400" w:lineRule="exact"/>
              <w:jc w:val="center"/>
              <w:rPr>
                <w:rFonts w:hint="default" w:ascii="仿宋" w:hAnsi="仿宋" w:eastAsia="仿宋" w:cs="仿宋"/>
                <w:bCs/>
                <w:color w:val="auto"/>
                <w:sz w:val="27"/>
                <w:szCs w:val="27"/>
                <w:lang w:val="en-US" w:eastAsia="zh-CN"/>
              </w:rPr>
            </w:pPr>
            <w:r>
              <w:rPr>
                <w:rFonts w:hint="eastAsia" w:ascii="仿宋" w:hAnsi="仿宋" w:eastAsia="仿宋" w:cs="仿宋"/>
                <w:bCs/>
                <w:color w:val="auto"/>
                <w:sz w:val="27"/>
                <w:szCs w:val="27"/>
                <w:lang w:val="en-US" w:eastAsia="zh-CN"/>
              </w:rPr>
              <w:t>1</w:t>
            </w:r>
          </w:p>
        </w:tc>
        <w:tc>
          <w:tcPr>
            <w:tcW w:w="1387" w:type="dxa"/>
            <w:vAlign w:val="center"/>
          </w:tcPr>
          <w:p w14:paraId="676C24CB">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r>
              <w:rPr>
                <w:rFonts w:ascii="Segoe UI" w:hAnsi="Segoe UI" w:eastAsia="Segoe UI" w:cs="Segoe UI"/>
                <w:color w:val="4E5463"/>
                <w:sz w:val="21"/>
                <w:szCs w:val="21"/>
              </w:rPr>
              <w:t>83011.01</w:t>
            </w:r>
          </w:p>
        </w:tc>
        <w:tc>
          <w:tcPr>
            <w:tcW w:w="1393" w:type="dxa"/>
            <w:vAlign w:val="center"/>
          </w:tcPr>
          <w:p w14:paraId="283DC4CA">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r>
              <w:rPr>
                <w:rFonts w:ascii="Segoe UI" w:hAnsi="Segoe UI" w:eastAsia="Segoe UI" w:cs="Segoe UI"/>
                <w:color w:val="4E5463"/>
                <w:sz w:val="21"/>
                <w:szCs w:val="21"/>
              </w:rPr>
              <w:t>83011.01</w:t>
            </w:r>
          </w:p>
        </w:tc>
      </w:tr>
      <w:tr w14:paraId="562EC7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9" w:hRule="atLeast"/>
        </w:trPr>
        <w:tc>
          <w:tcPr>
            <w:tcW w:w="502" w:type="dxa"/>
            <w:vAlign w:val="center"/>
          </w:tcPr>
          <w:p w14:paraId="119D03B6">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r>
              <w:rPr>
                <w:rFonts w:hint="eastAsia" w:ascii="仿宋" w:hAnsi="仿宋" w:eastAsia="仿宋" w:cs="仿宋"/>
                <w:bCs/>
                <w:color w:val="auto"/>
                <w:sz w:val="27"/>
                <w:szCs w:val="27"/>
                <w:lang w:val="en-US" w:eastAsia="zh-CN"/>
              </w:rPr>
              <w:t>7</w:t>
            </w:r>
          </w:p>
        </w:tc>
        <w:tc>
          <w:tcPr>
            <w:tcW w:w="1406" w:type="dxa"/>
            <w:vAlign w:val="center"/>
          </w:tcPr>
          <w:p w14:paraId="08E3B6D6">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rPr>
            </w:pPr>
            <w:r>
              <w:rPr>
                <w:rFonts w:ascii="Segoe UI" w:hAnsi="Segoe UI" w:eastAsia="Segoe UI" w:cs="Segoe UI"/>
                <w:color w:val="4E5463"/>
                <w:sz w:val="18"/>
                <w:szCs w:val="18"/>
              </w:rPr>
              <w:t>定财购[2026]F10100141</w:t>
            </w:r>
          </w:p>
        </w:tc>
        <w:tc>
          <w:tcPr>
            <w:tcW w:w="1738" w:type="dxa"/>
            <w:vAlign w:val="center"/>
          </w:tcPr>
          <w:p w14:paraId="12BB4220">
            <w:pPr>
              <w:keepNext w:val="0"/>
              <w:keepLines w:val="0"/>
              <w:pageBreakBefore w:val="0"/>
              <w:widowControl/>
              <w:wordWrap/>
              <w:overflowPunct/>
              <w:topLinePunct w:val="0"/>
              <w:bidi w:val="0"/>
              <w:spacing w:before="207" w:line="400" w:lineRule="exact"/>
              <w:ind w:left="112" w:leftChars="0" w:right="29" w:rightChars="0" w:firstLine="109" w:firstLineChars="0"/>
              <w:jc w:val="center"/>
              <w:rPr>
                <w:rFonts w:hint="eastAsia" w:ascii="仿宋" w:hAnsi="仿宋" w:eastAsia="仿宋" w:cs="Times New Roman"/>
                <w:snapToGrid/>
                <w:color w:val="auto"/>
                <w:sz w:val="27"/>
                <w:szCs w:val="27"/>
                <w:lang w:eastAsia="zh-CN"/>
              </w:rPr>
            </w:pPr>
            <w:r>
              <w:rPr>
                <w:rFonts w:ascii="Segoe UI" w:hAnsi="Segoe UI" w:eastAsia="Segoe UI" w:cs="Segoe UI"/>
                <w:color w:val="4E5463"/>
                <w:sz w:val="21"/>
                <w:szCs w:val="21"/>
              </w:rPr>
              <w:t>和顺廉租房小区智慧安防项目</w:t>
            </w:r>
          </w:p>
        </w:tc>
        <w:tc>
          <w:tcPr>
            <w:tcW w:w="1800" w:type="dxa"/>
            <w:vAlign w:val="center"/>
          </w:tcPr>
          <w:p w14:paraId="56309D4E">
            <w:pPr>
              <w:keepNext w:val="0"/>
              <w:keepLines w:val="0"/>
              <w:pageBreakBefore w:val="0"/>
              <w:widowControl/>
              <w:wordWrap/>
              <w:overflowPunct/>
              <w:topLinePunct w:val="0"/>
              <w:bidi w:val="0"/>
              <w:spacing w:line="400" w:lineRule="exact"/>
              <w:jc w:val="center"/>
              <w:rPr>
                <w:rFonts w:hint="eastAsia" w:ascii="仿宋" w:hAnsi="仿宋" w:eastAsia="宋体" w:cs="仿宋"/>
                <w:color w:val="auto"/>
                <w:sz w:val="24"/>
                <w:szCs w:val="24"/>
                <w:lang w:val="en-US" w:eastAsia="zh-CN"/>
              </w:rPr>
            </w:pPr>
            <w:r>
              <w:rPr>
                <w:rFonts w:ascii="Segoe UI" w:hAnsi="Segoe UI" w:eastAsia="Segoe UI" w:cs="Segoe UI"/>
                <w:color w:val="4E5463"/>
                <w:sz w:val="21"/>
                <w:szCs w:val="21"/>
              </w:rPr>
              <w:t>定财购2026F00021029</w:t>
            </w:r>
            <w:r>
              <w:rPr>
                <w:rFonts w:hint="eastAsia" w:ascii="Segoe UI" w:hAnsi="Segoe UI" w:eastAsia="宋体" w:cs="Segoe UI"/>
                <w:color w:val="4E5463"/>
                <w:sz w:val="21"/>
                <w:szCs w:val="21"/>
                <w:lang w:val="en-US" w:eastAsia="zh-CN"/>
              </w:rPr>
              <w:t>0</w:t>
            </w:r>
          </w:p>
        </w:tc>
        <w:tc>
          <w:tcPr>
            <w:tcW w:w="1562" w:type="dxa"/>
            <w:vAlign w:val="center"/>
          </w:tcPr>
          <w:p w14:paraId="787B186B">
            <w:pPr>
              <w:keepNext w:val="0"/>
              <w:keepLines w:val="0"/>
              <w:widowControl/>
              <w:suppressLineNumbers w:val="0"/>
              <w:spacing w:line="450" w:lineRule="atLeast"/>
              <w:jc w:val="left"/>
              <w:rPr>
                <w:rFonts w:hint="eastAsia" w:ascii="仿宋" w:hAnsi="仿宋" w:eastAsia="仿宋" w:cs="仿宋"/>
                <w:bCs/>
                <w:color w:val="auto"/>
                <w:sz w:val="27"/>
                <w:szCs w:val="27"/>
                <w:lang w:val="en-US" w:eastAsia="zh-CN"/>
              </w:rPr>
            </w:pPr>
            <w:r>
              <w:rPr>
                <w:rFonts w:hint="default" w:ascii="Segoe UI" w:hAnsi="Segoe UI" w:eastAsia="Segoe UI" w:cs="Segoe UI"/>
                <w:snapToGrid w:val="0"/>
                <w:color w:val="000000"/>
                <w:kern w:val="0"/>
                <w:sz w:val="21"/>
                <w:szCs w:val="21"/>
                <w:lang w:val="en-US" w:eastAsia="zh-CN" w:bidi="ar"/>
              </w:rPr>
              <w:t>全周期智能化信息管理平台</w:t>
            </w:r>
          </w:p>
        </w:tc>
        <w:tc>
          <w:tcPr>
            <w:tcW w:w="488" w:type="dxa"/>
            <w:vAlign w:val="center"/>
          </w:tcPr>
          <w:p w14:paraId="56F9850D">
            <w:pPr>
              <w:keepNext w:val="0"/>
              <w:keepLines w:val="0"/>
              <w:pageBreakBefore w:val="0"/>
              <w:widowControl/>
              <w:wordWrap/>
              <w:overflowPunct/>
              <w:topLinePunct w:val="0"/>
              <w:bidi w:val="0"/>
              <w:spacing w:line="400" w:lineRule="exact"/>
              <w:jc w:val="center"/>
              <w:rPr>
                <w:rFonts w:hint="default" w:ascii="仿宋" w:hAnsi="仿宋" w:eastAsia="仿宋" w:cs="仿宋"/>
                <w:bCs/>
                <w:color w:val="auto"/>
                <w:sz w:val="27"/>
                <w:szCs w:val="27"/>
                <w:lang w:val="en-US" w:eastAsia="zh-CN"/>
              </w:rPr>
            </w:pPr>
            <w:r>
              <w:rPr>
                <w:rFonts w:hint="eastAsia" w:ascii="仿宋" w:hAnsi="仿宋" w:eastAsia="仿宋" w:cs="仿宋"/>
                <w:bCs/>
                <w:color w:val="auto"/>
                <w:sz w:val="27"/>
                <w:szCs w:val="27"/>
                <w:lang w:val="en-US" w:eastAsia="zh-CN"/>
              </w:rPr>
              <w:t>1</w:t>
            </w:r>
          </w:p>
        </w:tc>
        <w:tc>
          <w:tcPr>
            <w:tcW w:w="1387" w:type="dxa"/>
            <w:vAlign w:val="center"/>
          </w:tcPr>
          <w:p w14:paraId="19B7480E">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r>
              <w:rPr>
                <w:rFonts w:ascii="Segoe UI" w:hAnsi="Segoe UI" w:eastAsia="Segoe UI" w:cs="Segoe UI"/>
                <w:color w:val="4E5463"/>
                <w:sz w:val="21"/>
                <w:szCs w:val="21"/>
              </w:rPr>
              <w:t>440000.00</w:t>
            </w:r>
          </w:p>
        </w:tc>
        <w:tc>
          <w:tcPr>
            <w:tcW w:w="1393" w:type="dxa"/>
            <w:vAlign w:val="center"/>
          </w:tcPr>
          <w:p w14:paraId="59F87707">
            <w:pPr>
              <w:keepNext w:val="0"/>
              <w:keepLines w:val="0"/>
              <w:pageBreakBefore w:val="0"/>
              <w:widowControl/>
              <w:wordWrap/>
              <w:overflowPunct/>
              <w:topLinePunct w:val="0"/>
              <w:bidi w:val="0"/>
              <w:spacing w:line="400" w:lineRule="exact"/>
              <w:jc w:val="center"/>
              <w:rPr>
                <w:rFonts w:hint="eastAsia" w:ascii="仿宋" w:hAnsi="仿宋" w:eastAsia="仿宋" w:cs="仿宋"/>
                <w:bCs/>
                <w:color w:val="auto"/>
                <w:sz w:val="27"/>
                <w:szCs w:val="27"/>
                <w:lang w:val="en-US" w:eastAsia="zh-CN"/>
              </w:rPr>
            </w:pPr>
            <w:r>
              <w:rPr>
                <w:rFonts w:ascii="Segoe UI" w:hAnsi="Segoe UI" w:eastAsia="Segoe UI" w:cs="Segoe UI"/>
                <w:color w:val="4E5463"/>
                <w:sz w:val="21"/>
                <w:szCs w:val="21"/>
              </w:rPr>
              <w:t>440000.00</w:t>
            </w:r>
          </w:p>
        </w:tc>
      </w:tr>
    </w:tbl>
    <w:p w14:paraId="4718BA5E">
      <w:pPr>
        <w:spacing w:before="94" w:line="228" w:lineRule="exact"/>
        <w:ind w:left="3847" w:leftChars="0"/>
        <w:outlineLvl w:val="0"/>
        <w:rPr>
          <w:rFonts w:ascii="微软雅黑" w:hAnsi="微软雅黑" w:eastAsia="微软雅黑" w:cs="微软雅黑"/>
          <w:color w:val="auto"/>
          <w:spacing w:val="12"/>
          <w:position w:val="-1"/>
          <w:sz w:val="30"/>
          <w:szCs w:val="30"/>
        </w:rPr>
      </w:pPr>
    </w:p>
    <w:p w14:paraId="63C0A775">
      <w:pPr>
        <w:spacing w:before="94" w:line="228" w:lineRule="exact"/>
        <w:ind w:left="3847" w:leftChars="0"/>
        <w:outlineLvl w:val="0"/>
        <w:rPr>
          <w:rFonts w:ascii="微软雅黑" w:hAnsi="微软雅黑" w:eastAsia="微软雅黑" w:cs="微软雅黑"/>
          <w:color w:val="auto"/>
          <w:spacing w:val="12"/>
          <w:position w:val="-1"/>
          <w:sz w:val="30"/>
          <w:szCs w:val="30"/>
        </w:rPr>
      </w:pPr>
    </w:p>
    <w:p w14:paraId="51D14434">
      <w:pPr>
        <w:spacing w:before="94" w:line="228" w:lineRule="exact"/>
        <w:ind w:left="3847" w:leftChars="0"/>
        <w:outlineLvl w:val="0"/>
        <w:rPr>
          <w:rFonts w:ascii="微软雅黑" w:hAnsi="微软雅黑" w:eastAsia="微软雅黑" w:cs="微软雅黑"/>
          <w:color w:val="auto"/>
          <w:spacing w:val="12"/>
          <w:position w:val="-1"/>
          <w:sz w:val="30"/>
          <w:szCs w:val="30"/>
        </w:rPr>
      </w:pPr>
    </w:p>
    <w:p w14:paraId="1857BCF5">
      <w:pPr>
        <w:spacing w:before="94" w:line="228" w:lineRule="exact"/>
        <w:ind w:left="3847" w:leftChars="0"/>
        <w:outlineLvl w:val="0"/>
        <w:rPr>
          <w:rFonts w:ascii="微软雅黑" w:hAnsi="微软雅黑" w:eastAsia="微软雅黑" w:cs="微软雅黑"/>
          <w:color w:val="auto"/>
          <w:spacing w:val="12"/>
          <w:position w:val="-1"/>
          <w:sz w:val="30"/>
          <w:szCs w:val="30"/>
        </w:rPr>
      </w:pPr>
    </w:p>
    <w:p w14:paraId="6825A1CC">
      <w:pPr>
        <w:spacing w:before="94" w:line="228" w:lineRule="exact"/>
        <w:ind w:left="3847" w:leftChars="0"/>
        <w:outlineLvl w:val="0"/>
        <w:rPr>
          <w:rFonts w:ascii="微软雅黑" w:hAnsi="微软雅黑" w:eastAsia="微软雅黑" w:cs="微软雅黑"/>
          <w:color w:val="auto"/>
          <w:spacing w:val="12"/>
          <w:position w:val="-1"/>
          <w:sz w:val="30"/>
          <w:szCs w:val="30"/>
        </w:rPr>
      </w:pPr>
    </w:p>
    <w:p w14:paraId="01D4C0DC">
      <w:pPr>
        <w:spacing w:before="94" w:line="228" w:lineRule="exact"/>
        <w:ind w:left="3847" w:leftChars="0"/>
        <w:outlineLvl w:val="0"/>
        <w:rPr>
          <w:rFonts w:ascii="微软雅黑" w:hAnsi="微软雅黑" w:eastAsia="微软雅黑" w:cs="微软雅黑"/>
          <w:color w:val="auto"/>
          <w:spacing w:val="12"/>
          <w:position w:val="-1"/>
          <w:sz w:val="30"/>
          <w:szCs w:val="30"/>
        </w:rPr>
      </w:pPr>
    </w:p>
    <w:p w14:paraId="4EB06AA1">
      <w:pPr>
        <w:spacing w:before="94" w:line="228" w:lineRule="exact"/>
        <w:ind w:left="3847" w:leftChars="0"/>
        <w:outlineLvl w:val="0"/>
        <w:rPr>
          <w:rFonts w:ascii="微软雅黑" w:hAnsi="微软雅黑" w:eastAsia="微软雅黑" w:cs="微软雅黑"/>
          <w:color w:val="auto"/>
          <w:spacing w:val="12"/>
          <w:position w:val="-1"/>
          <w:sz w:val="30"/>
          <w:szCs w:val="30"/>
        </w:rPr>
      </w:pPr>
    </w:p>
    <w:p w14:paraId="1EF9848B">
      <w:pPr>
        <w:spacing w:before="94" w:line="228" w:lineRule="exact"/>
        <w:ind w:left="3847" w:leftChars="0"/>
        <w:outlineLvl w:val="0"/>
        <w:rPr>
          <w:rFonts w:ascii="微软雅黑" w:hAnsi="微软雅黑" w:eastAsia="微软雅黑" w:cs="微软雅黑"/>
          <w:color w:val="auto"/>
          <w:spacing w:val="12"/>
          <w:position w:val="-1"/>
          <w:sz w:val="30"/>
          <w:szCs w:val="30"/>
        </w:rPr>
      </w:pPr>
    </w:p>
    <w:p w14:paraId="231E4594">
      <w:pPr>
        <w:pStyle w:val="2"/>
        <w:rPr>
          <w:rFonts w:ascii="微软雅黑" w:hAnsi="微软雅黑" w:eastAsia="微软雅黑" w:cs="微软雅黑"/>
          <w:color w:val="auto"/>
          <w:spacing w:val="12"/>
          <w:position w:val="-1"/>
          <w:sz w:val="30"/>
          <w:szCs w:val="30"/>
        </w:rPr>
      </w:pPr>
    </w:p>
    <w:p w14:paraId="017B4FAB">
      <w:pPr>
        <w:rPr>
          <w:rFonts w:ascii="微软雅黑" w:hAnsi="微软雅黑" w:eastAsia="微软雅黑" w:cs="微软雅黑"/>
          <w:color w:val="auto"/>
          <w:spacing w:val="12"/>
          <w:position w:val="-1"/>
          <w:sz w:val="30"/>
          <w:szCs w:val="30"/>
        </w:rPr>
      </w:pPr>
    </w:p>
    <w:p w14:paraId="5894974E">
      <w:pPr>
        <w:pStyle w:val="2"/>
        <w:rPr>
          <w:rFonts w:ascii="微软雅黑" w:hAnsi="微软雅黑" w:eastAsia="微软雅黑" w:cs="微软雅黑"/>
          <w:color w:val="auto"/>
          <w:spacing w:val="12"/>
          <w:position w:val="-1"/>
          <w:sz w:val="30"/>
          <w:szCs w:val="30"/>
        </w:rPr>
      </w:pPr>
    </w:p>
    <w:p w14:paraId="55666068">
      <w:bookmarkStart w:id="4" w:name="_GoBack"/>
      <w:bookmarkEnd w:id="4"/>
    </w:p>
    <w:p w14:paraId="6A6D28C5">
      <w:pPr>
        <w:spacing w:before="94" w:line="228" w:lineRule="exact"/>
        <w:ind w:left="3847" w:leftChars="0"/>
        <w:outlineLvl w:val="0"/>
        <w:rPr>
          <w:rFonts w:ascii="微软雅黑" w:hAnsi="微软雅黑" w:eastAsia="微软雅黑" w:cs="微软雅黑"/>
          <w:color w:val="auto"/>
          <w:sz w:val="30"/>
          <w:szCs w:val="30"/>
        </w:rPr>
      </w:pPr>
      <w:r>
        <w:rPr>
          <w:rFonts w:ascii="微软雅黑" w:hAnsi="微软雅黑" w:eastAsia="微软雅黑" w:cs="微软雅黑"/>
          <w:color w:val="auto"/>
          <w:spacing w:val="12"/>
          <w:position w:val="-1"/>
          <w:sz w:val="30"/>
          <w:szCs w:val="30"/>
        </w:rPr>
        <w:t>一</w:t>
      </w:r>
      <w:r>
        <w:rPr>
          <w:rFonts w:ascii="微软雅黑" w:hAnsi="微软雅黑" w:eastAsia="微软雅黑" w:cs="微软雅黑"/>
          <w:color w:val="auto"/>
          <w:spacing w:val="-28"/>
          <w:position w:val="-1"/>
          <w:sz w:val="30"/>
          <w:szCs w:val="30"/>
        </w:rPr>
        <w:t xml:space="preserve"> </w:t>
      </w:r>
      <w:r>
        <w:rPr>
          <w:rFonts w:ascii="微软雅黑" w:hAnsi="微软雅黑" w:eastAsia="微软雅黑" w:cs="微软雅黑"/>
          <w:color w:val="auto"/>
          <w:spacing w:val="12"/>
          <w:position w:val="-1"/>
          <w:sz w:val="30"/>
          <w:szCs w:val="30"/>
        </w:rPr>
        <w:t>、货物需求表</w:t>
      </w:r>
      <w:bookmarkEnd w:id="0"/>
    </w:p>
    <w:p w14:paraId="4EB574EE">
      <w:pPr>
        <w:spacing w:before="98"/>
        <w:rPr>
          <w:color w:val="auto"/>
        </w:rPr>
      </w:pPr>
    </w:p>
    <w:tbl>
      <w:tblPr>
        <w:tblStyle w:val="13"/>
        <w:tblW w:w="901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865"/>
        <w:gridCol w:w="6149"/>
      </w:tblGrid>
      <w:tr w14:paraId="21AAA2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83" w:hRule="atLeast"/>
        </w:trPr>
        <w:tc>
          <w:tcPr>
            <w:tcW w:w="2865" w:type="dxa"/>
            <w:tcBorders>
              <w:tl2br w:val="single" w:color="000000" w:sz="6" w:space="0"/>
            </w:tcBorders>
            <w:vAlign w:val="top"/>
          </w:tcPr>
          <w:p w14:paraId="13934F81">
            <w:pPr>
              <w:pStyle w:val="14"/>
              <w:spacing w:before="54" w:line="223" w:lineRule="auto"/>
              <w:ind w:left="1922"/>
              <w:rPr>
                <w:color w:val="auto"/>
              </w:rPr>
            </w:pPr>
            <w:r>
              <w:rPr>
                <w:color w:val="auto"/>
              </w:rPr>
              <w:t>名</w:t>
            </w:r>
          </w:p>
          <w:p w14:paraId="2C897598">
            <w:pPr>
              <w:pStyle w:val="14"/>
              <w:spacing w:before="29" w:line="220" w:lineRule="auto"/>
              <w:ind w:left="388"/>
              <w:rPr>
                <w:color w:val="auto"/>
              </w:rPr>
            </w:pPr>
            <w:r>
              <w:rPr>
                <w:color w:val="auto"/>
                <w:spacing w:val="-20"/>
              </w:rPr>
              <w:t>内</w:t>
            </w:r>
            <w:r>
              <w:rPr>
                <w:color w:val="auto"/>
              </w:rPr>
              <w:t xml:space="preserve">                </w:t>
            </w:r>
            <w:r>
              <w:rPr>
                <w:color w:val="auto"/>
                <w:spacing w:val="-20"/>
              </w:rPr>
              <w:t>称</w:t>
            </w:r>
          </w:p>
          <w:p w14:paraId="5898483B">
            <w:pPr>
              <w:pStyle w:val="14"/>
              <w:spacing w:before="34" w:line="215" w:lineRule="auto"/>
              <w:ind w:left="1802"/>
              <w:rPr>
                <w:color w:val="auto"/>
              </w:rPr>
            </w:pPr>
            <w:r>
              <w:rPr>
                <w:color w:val="auto"/>
              </w:rPr>
              <w:t>容</w:t>
            </w:r>
          </w:p>
        </w:tc>
        <w:tc>
          <w:tcPr>
            <w:tcW w:w="6149" w:type="dxa"/>
            <w:vAlign w:val="top"/>
          </w:tcPr>
          <w:p w14:paraId="7AEAAD3A">
            <w:pPr>
              <w:spacing w:line="302" w:lineRule="auto"/>
              <w:rPr>
                <w:rFonts w:ascii="Arial"/>
                <w:color w:val="auto"/>
                <w:sz w:val="21"/>
              </w:rPr>
            </w:pPr>
          </w:p>
          <w:p w14:paraId="4032BFAA">
            <w:pPr>
              <w:pStyle w:val="14"/>
              <w:spacing w:before="78" w:line="219" w:lineRule="auto"/>
              <w:ind w:left="923"/>
              <w:rPr>
                <w:rFonts w:hint="eastAsia" w:eastAsia="宋体"/>
                <w:color w:val="auto"/>
                <w:lang w:eastAsia="zh-CN"/>
              </w:rPr>
            </w:pPr>
            <w:r>
              <w:rPr>
                <w:rFonts w:hint="eastAsia"/>
                <w:color w:val="auto"/>
                <w:spacing w:val="-1"/>
                <w:lang w:eastAsia="zh-CN"/>
              </w:rPr>
              <w:t xml:space="preserve">和顺廉租房小区智慧安防项目 </w:t>
            </w:r>
          </w:p>
        </w:tc>
      </w:tr>
      <w:tr w14:paraId="12F11A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2865" w:type="dxa"/>
            <w:vAlign w:val="top"/>
          </w:tcPr>
          <w:p w14:paraId="2733B7B4">
            <w:pPr>
              <w:pStyle w:val="14"/>
              <w:spacing w:before="199" w:line="220" w:lineRule="auto"/>
              <w:ind w:left="1199"/>
              <w:rPr>
                <w:color w:val="auto"/>
              </w:rPr>
            </w:pPr>
            <w:r>
              <w:rPr>
                <w:color w:val="auto"/>
                <w:spacing w:val="-6"/>
              </w:rPr>
              <w:t>数量</w:t>
            </w:r>
          </w:p>
        </w:tc>
        <w:tc>
          <w:tcPr>
            <w:tcW w:w="6149" w:type="dxa"/>
            <w:vAlign w:val="top"/>
          </w:tcPr>
          <w:p w14:paraId="17E681D4">
            <w:pPr>
              <w:pStyle w:val="14"/>
              <w:spacing w:before="199" w:line="222" w:lineRule="auto"/>
              <w:ind w:left="2919"/>
              <w:rPr>
                <w:color w:val="auto"/>
              </w:rPr>
            </w:pPr>
            <w:r>
              <w:rPr>
                <w:color w:val="auto"/>
                <w:spacing w:val="-14"/>
              </w:rPr>
              <w:t>1批</w:t>
            </w:r>
          </w:p>
        </w:tc>
      </w:tr>
      <w:tr w14:paraId="63B141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9" w:hRule="atLeast"/>
        </w:trPr>
        <w:tc>
          <w:tcPr>
            <w:tcW w:w="2865" w:type="dxa"/>
            <w:vAlign w:val="top"/>
          </w:tcPr>
          <w:p w14:paraId="02C51901">
            <w:pPr>
              <w:spacing w:line="244" w:lineRule="auto"/>
              <w:rPr>
                <w:rFonts w:ascii="Arial"/>
                <w:color w:val="auto"/>
                <w:sz w:val="21"/>
              </w:rPr>
            </w:pPr>
          </w:p>
          <w:p w14:paraId="31DECE5D">
            <w:pPr>
              <w:pStyle w:val="14"/>
              <w:spacing w:before="78" w:line="219" w:lineRule="auto"/>
              <w:ind w:left="1085"/>
              <w:rPr>
                <w:color w:val="auto"/>
              </w:rPr>
            </w:pPr>
            <w:r>
              <w:rPr>
                <w:color w:val="auto"/>
                <w:spacing w:val="-4"/>
              </w:rPr>
              <w:t>交货期</w:t>
            </w:r>
          </w:p>
        </w:tc>
        <w:tc>
          <w:tcPr>
            <w:tcW w:w="6149" w:type="dxa"/>
            <w:vAlign w:val="top"/>
          </w:tcPr>
          <w:p w14:paraId="52866394">
            <w:pPr>
              <w:pStyle w:val="14"/>
              <w:spacing w:before="163" w:line="219" w:lineRule="auto"/>
              <w:ind w:right="19"/>
              <w:jc w:val="left"/>
              <w:rPr>
                <w:color w:val="auto"/>
              </w:rPr>
            </w:pPr>
            <w:r>
              <w:rPr>
                <w:color w:val="auto"/>
                <w:spacing w:val="-1"/>
              </w:rPr>
              <w:t>签订合同之日起</w:t>
            </w:r>
            <w:r>
              <w:rPr>
                <w:rFonts w:hint="eastAsia"/>
                <w:b/>
                <w:bCs/>
                <w:color w:val="auto"/>
                <w:spacing w:val="-1"/>
                <w:lang w:val="en-US" w:eastAsia="zh-CN"/>
              </w:rPr>
              <w:t>60</w:t>
            </w:r>
            <w:r>
              <w:rPr>
                <w:b/>
                <w:bCs/>
                <w:color w:val="auto"/>
                <w:spacing w:val="-1"/>
              </w:rPr>
              <w:t>日历天</w:t>
            </w:r>
            <w:r>
              <w:rPr>
                <w:color w:val="auto"/>
                <w:spacing w:val="-1"/>
              </w:rPr>
              <w:t>内完成全部货物安装调试并交付给采购人确保能正常使用</w:t>
            </w:r>
          </w:p>
        </w:tc>
      </w:tr>
      <w:tr w14:paraId="7E4657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9" w:hRule="atLeast"/>
        </w:trPr>
        <w:tc>
          <w:tcPr>
            <w:tcW w:w="2865" w:type="dxa"/>
            <w:vAlign w:val="top"/>
          </w:tcPr>
          <w:p w14:paraId="3833CCD9">
            <w:pPr>
              <w:pStyle w:val="14"/>
              <w:spacing w:before="189" w:line="219" w:lineRule="auto"/>
              <w:ind w:left="968"/>
              <w:rPr>
                <w:color w:val="auto"/>
              </w:rPr>
            </w:pPr>
            <w:r>
              <w:rPr>
                <w:color w:val="auto"/>
                <w:spacing w:val="-4"/>
              </w:rPr>
              <w:t>交货地点</w:t>
            </w:r>
          </w:p>
        </w:tc>
        <w:tc>
          <w:tcPr>
            <w:tcW w:w="6149" w:type="dxa"/>
            <w:vAlign w:val="top"/>
          </w:tcPr>
          <w:p w14:paraId="37C32E2D">
            <w:pPr>
              <w:pStyle w:val="14"/>
              <w:spacing w:before="189" w:line="219" w:lineRule="auto"/>
              <w:ind w:left="2240"/>
              <w:rPr>
                <w:color w:val="auto"/>
              </w:rPr>
            </w:pPr>
            <w:r>
              <w:rPr>
                <w:color w:val="auto"/>
                <w:spacing w:val="-2"/>
              </w:rPr>
              <w:t>采购人指定地点</w:t>
            </w:r>
          </w:p>
        </w:tc>
      </w:tr>
      <w:tr w14:paraId="55C3AD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9" w:hRule="atLeast"/>
        </w:trPr>
        <w:tc>
          <w:tcPr>
            <w:tcW w:w="2865" w:type="dxa"/>
            <w:vAlign w:val="top"/>
          </w:tcPr>
          <w:p w14:paraId="05D8DB86">
            <w:pPr>
              <w:pStyle w:val="14"/>
              <w:spacing w:before="189" w:line="220" w:lineRule="auto"/>
              <w:ind w:left="968"/>
              <w:rPr>
                <w:color w:val="auto"/>
              </w:rPr>
            </w:pPr>
            <w:r>
              <w:rPr>
                <w:color w:val="auto"/>
                <w:spacing w:val="-4"/>
              </w:rPr>
              <w:t>安装地点</w:t>
            </w:r>
          </w:p>
        </w:tc>
        <w:tc>
          <w:tcPr>
            <w:tcW w:w="6149" w:type="dxa"/>
            <w:vAlign w:val="top"/>
          </w:tcPr>
          <w:p w14:paraId="72A2A5A7">
            <w:pPr>
              <w:pStyle w:val="14"/>
              <w:spacing w:before="189" w:line="219" w:lineRule="auto"/>
              <w:ind w:left="2240"/>
              <w:rPr>
                <w:color w:val="auto"/>
              </w:rPr>
            </w:pPr>
            <w:r>
              <w:rPr>
                <w:color w:val="auto"/>
                <w:spacing w:val="-2"/>
              </w:rPr>
              <w:t>采购人指定地点</w:t>
            </w:r>
          </w:p>
        </w:tc>
      </w:tr>
      <w:tr w14:paraId="79221C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35" w:hRule="atLeast"/>
        </w:trPr>
        <w:tc>
          <w:tcPr>
            <w:tcW w:w="2865" w:type="dxa"/>
            <w:vAlign w:val="top"/>
          </w:tcPr>
          <w:p w14:paraId="039AD965">
            <w:pPr>
              <w:spacing w:line="269" w:lineRule="auto"/>
              <w:rPr>
                <w:rFonts w:ascii="Arial"/>
                <w:color w:val="auto"/>
                <w:sz w:val="21"/>
              </w:rPr>
            </w:pPr>
          </w:p>
          <w:p w14:paraId="0A4F66F9">
            <w:pPr>
              <w:spacing w:line="270" w:lineRule="auto"/>
              <w:rPr>
                <w:rFonts w:ascii="Arial"/>
                <w:color w:val="auto"/>
                <w:sz w:val="21"/>
              </w:rPr>
            </w:pPr>
          </w:p>
          <w:p w14:paraId="2E8077F3">
            <w:pPr>
              <w:spacing w:line="270" w:lineRule="auto"/>
              <w:rPr>
                <w:rFonts w:ascii="Arial"/>
                <w:color w:val="auto"/>
                <w:sz w:val="21"/>
              </w:rPr>
            </w:pPr>
          </w:p>
          <w:p w14:paraId="4F62978A">
            <w:pPr>
              <w:spacing w:line="270" w:lineRule="auto"/>
              <w:rPr>
                <w:rFonts w:ascii="Arial"/>
                <w:color w:val="auto"/>
                <w:sz w:val="21"/>
              </w:rPr>
            </w:pPr>
          </w:p>
          <w:p w14:paraId="776FB658">
            <w:pPr>
              <w:spacing w:line="270" w:lineRule="auto"/>
              <w:rPr>
                <w:rFonts w:ascii="Arial"/>
                <w:color w:val="auto"/>
                <w:sz w:val="21"/>
              </w:rPr>
            </w:pPr>
          </w:p>
          <w:p w14:paraId="51628AB3">
            <w:pPr>
              <w:spacing w:line="270" w:lineRule="auto"/>
              <w:rPr>
                <w:rFonts w:ascii="Arial"/>
                <w:color w:val="auto"/>
                <w:sz w:val="21"/>
              </w:rPr>
            </w:pPr>
          </w:p>
          <w:p w14:paraId="59CB0994">
            <w:pPr>
              <w:pStyle w:val="14"/>
              <w:spacing w:before="78" w:line="221" w:lineRule="auto"/>
              <w:ind w:left="1201"/>
              <w:rPr>
                <w:color w:val="auto"/>
              </w:rPr>
            </w:pPr>
            <w:r>
              <w:rPr>
                <w:color w:val="auto"/>
                <w:spacing w:val="-7"/>
              </w:rPr>
              <w:t>备注</w:t>
            </w:r>
          </w:p>
        </w:tc>
        <w:tc>
          <w:tcPr>
            <w:tcW w:w="6149" w:type="dxa"/>
            <w:vAlign w:val="top"/>
          </w:tcPr>
          <w:p w14:paraId="4DA3A970">
            <w:pPr>
              <w:pStyle w:val="14"/>
              <w:spacing w:before="258" w:line="370" w:lineRule="auto"/>
              <w:ind w:left="8" w:firstLine="483"/>
              <w:rPr>
                <w:color w:val="auto"/>
              </w:rPr>
            </w:pPr>
            <w:r>
              <w:rPr>
                <w:color w:val="auto"/>
                <w:spacing w:val="-2"/>
              </w:rPr>
              <w:t>投标人报价应包含</w:t>
            </w:r>
            <w:r>
              <w:rPr>
                <w:color w:val="auto"/>
                <w:spacing w:val="-60"/>
              </w:rPr>
              <w:t xml:space="preserve"> </w:t>
            </w:r>
            <w:r>
              <w:rPr>
                <w:color w:val="auto"/>
                <w:spacing w:val="-2"/>
              </w:rPr>
              <w:t>(但不限于):货物的供应，含运保费</w:t>
            </w:r>
            <w:r>
              <w:rPr>
                <w:color w:val="auto"/>
              </w:rPr>
              <w:t xml:space="preserve"> </w:t>
            </w:r>
            <w:r>
              <w:rPr>
                <w:color w:val="auto"/>
                <w:spacing w:val="3"/>
              </w:rPr>
              <w:t>、安装费、调试费、临时设施</w:t>
            </w:r>
            <w:r>
              <w:rPr>
                <w:color w:val="auto"/>
                <w:spacing w:val="-63"/>
              </w:rPr>
              <w:t xml:space="preserve"> </w:t>
            </w:r>
            <w:r>
              <w:rPr>
                <w:color w:val="auto"/>
                <w:spacing w:val="3"/>
              </w:rPr>
              <w:t>(包括施工用水、电费等)、</w:t>
            </w:r>
            <w:r>
              <w:rPr>
                <w:color w:val="auto"/>
                <w:spacing w:val="4"/>
              </w:rPr>
              <w:t>施工配合、施工安全措施费、施工人员保险费、验收费、</w:t>
            </w:r>
            <w:r>
              <w:rPr>
                <w:color w:val="auto"/>
                <w:spacing w:val="5"/>
              </w:rPr>
              <w:t>售后服务、知识产权、专利、培训、风险责任等费用，同时还包括税费、装卸费、仓储费，检测费、代理费等与合同有关的全部费用，采购人不再支付合同总价外的其他任</w:t>
            </w:r>
            <w:r>
              <w:rPr>
                <w:color w:val="auto"/>
                <w:spacing w:val="-2"/>
              </w:rPr>
              <w:t>何费用，请各投标人在报价时充分考虑这一因素。</w:t>
            </w:r>
          </w:p>
        </w:tc>
      </w:tr>
    </w:tbl>
    <w:p w14:paraId="42804393">
      <w:pPr>
        <w:pStyle w:val="4"/>
        <w:rPr>
          <w:color w:val="auto"/>
        </w:rPr>
      </w:pPr>
    </w:p>
    <w:p w14:paraId="24585A0E">
      <w:pPr>
        <w:rPr>
          <w:color w:val="auto"/>
        </w:rPr>
        <w:sectPr>
          <w:footerReference r:id="rId6" w:type="default"/>
          <w:pgSz w:w="11906" w:h="16840"/>
          <w:pgMar w:top="400" w:right="1610" w:bottom="1364" w:left="1275" w:header="0" w:footer="1196" w:gutter="0"/>
          <w:pgNumType w:fmt="decimal"/>
          <w:cols w:space="720" w:num="1"/>
        </w:sectPr>
      </w:pPr>
    </w:p>
    <w:p w14:paraId="05EC8E47">
      <w:pPr>
        <w:pStyle w:val="4"/>
        <w:spacing w:line="313" w:lineRule="auto"/>
        <w:rPr>
          <w:color w:val="auto"/>
        </w:rPr>
      </w:pPr>
    </w:p>
    <w:p w14:paraId="69BB9366">
      <w:pPr>
        <w:spacing w:before="95" w:line="229" w:lineRule="exact"/>
        <w:ind w:left="3647" w:leftChars="0"/>
        <w:outlineLvl w:val="0"/>
        <w:rPr>
          <w:rFonts w:ascii="微软雅黑" w:hAnsi="微软雅黑" w:eastAsia="微软雅黑" w:cs="微软雅黑"/>
          <w:color w:val="auto"/>
          <w:sz w:val="22"/>
          <w:szCs w:val="22"/>
        </w:rPr>
      </w:pPr>
      <w:bookmarkStart w:id="1" w:name="bookmark88"/>
      <w:bookmarkEnd w:id="1"/>
      <w:bookmarkStart w:id="2" w:name="_Toc31648"/>
      <w:r>
        <w:rPr>
          <w:rFonts w:ascii="微软雅黑" w:hAnsi="微软雅黑" w:eastAsia="微软雅黑" w:cs="微软雅黑"/>
          <w:color w:val="auto"/>
          <w:spacing w:val="10"/>
          <w:position w:val="-2"/>
          <w:sz w:val="22"/>
          <w:szCs w:val="22"/>
        </w:rPr>
        <w:t>二</w:t>
      </w:r>
      <w:r>
        <w:rPr>
          <w:rFonts w:ascii="微软雅黑" w:hAnsi="微软雅黑" w:eastAsia="微软雅黑" w:cs="微软雅黑"/>
          <w:color w:val="auto"/>
          <w:spacing w:val="-31"/>
          <w:position w:val="-2"/>
          <w:sz w:val="22"/>
          <w:szCs w:val="22"/>
        </w:rPr>
        <w:t xml:space="preserve"> </w:t>
      </w:r>
      <w:r>
        <w:rPr>
          <w:rFonts w:ascii="微软雅黑" w:hAnsi="微软雅黑" w:eastAsia="微软雅黑" w:cs="微软雅黑"/>
          <w:color w:val="auto"/>
          <w:spacing w:val="10"/>
          <w:position w:val="-2"/>
          <w:sz w:val="22"/>
          <w:szCs w:val="22"/>
        </w:rPr>
        <w:t>、采购</w:t>
      </w:r>
      <w:r>
        <w:rPr>
          <w:rFonts w:hint="eastAsia" w:ascii="微软雅黑" w:hAnsi="微软雅黑" w:eastAsia="微软雅黑" w:cs="微软雅黑"/>
          <w:color w:val="auto"/>
          <w:spacing w:val="10"/>
          <w:position w:val="-2"/>
          <w:sz w:val="22"/>
          <w:szCs w:val="22"/>
          <w:lang w:val="en-US" w:eastAsia="zh-CN"/>
        </w:rPr>
        <w:t>需</w:t>
      </w:r>
      <w:r>
        <w:rPr>
          <w:rFonts w:ascii="微软雅黑" w:hAnsi="微软雅黑" w:eastAsia="微软雅黑" w:cs="微软雅黑"/>
          <w:color w:val="auto"/>
          <w:spacing w:val="10"/>
          <w:position w:val="-2"/>
          <w:sz w:val="22"/>
          <w:szCs w:val="22"/>
        </w:rPr>
        <w:t>求</w:t>
      </w:r>
      <w:bookmarkEnd w:id="2"/>
    </w:p>
    <w:p w14:paraId="091DD478">
      <w:pPr>
        <w:pStyle w:val="4"/>
        <w:spacing w:line="402" w:lineRule="auto"/>
        <w:rPr>
          <w:color w:val="auto"/>
        </w:rPr>
      </w:pPr>
    </w:p>
    <w:p w14:paraId="5EB552D4">
      <w:pPr>
        <w:spacing w:before="78" w:line="219" w:lineRule="auto"/>
        <w:ind w:left="487"/>
        <w:rPr>
          <w:rFonts w:ascii="宋体" w:hAnsi="宋体" w:eastAsia="宋体" w:cs="宋体"/>
          <w:color w:val="auto"/>
          <w:sz w:val="24"/>
          <w:szCs w:val="24"/>
        </w:rPr>
      </w:pPr>
      <w:r>
        <w:rPr>
          <w:rFonts w:ascii="宋体" w:hAnsi="宋体" w:eastAsia="宋体" w:cs="宋体"/>
          <w:color w:val="auto"/>
          <w:spacing w:val="-2"/>
          <w:sz w:val="24"/>
          <w:szCs w:val="24"/>
        </w:rPr>
        <w:t>（一）投标人须提供全新、原装，并符合国家最新相关标准的货物。</w:t>
      </w:r>
    </w:p>
    <w:p w14:paraId="0F25A153">
      <w:pPr>
        <w:spacing w:before="195" w:line="219" w:lineRule="auto"/>
        <w:ind w:left="487"/>
        <w:rPr>
          <w:rFonts w:ascii="宋体" w:hAnsi="宋体" w:eastAsia="宋体" w:cs="宋体"/>
          <w:b/>
          <w:bCs/>
          <w:color w:val="auto"/>
          <w:sz w:val="24"/>
          <w:szCs w:val="24"/>
        </w:rPr>
      </w:pPr>
      <w:r>
        <w:rPr>
          <w:rFonts w:ascii="宋体" w:hAnsi="宋体" w:eastAsia="宋体" w:cs="宋体"/>
          <w:color w:val="auto"/>
          <w:spacing w:val="-1"/>
          <w:sz w:val="24"/>
          <w:szCs w:val="24"/>
        </w:rPr>
        <w:t>（二）本项目核心产品为：</w:t>
      </w:r>
      <w:r>
        <w:rPr>
          <w:rFonts w:hint="eastAsia" w:ascii="宋体" w:hAnsi="宋体" w:eastAsia="宋体" w:cs="宋体"/>
          <w:b/>
          <w:bCs/>
          <w:color w:val="auto"/>
          <w:kern w:val="0"/>
          <w:szCs w:val="21"/>
          <w:u w:val="single" w:color="auto"/>
        </w:rPr>
        <w:t>智能门锁</w:t>
      </w:r>
    </w:p>
    <w:p w14:paraId="3E6314B0">
      <w:pPr>
        <w:spacing w:before="197" w:line="369" w:lineRule="auto"/>
        <w:ind w:right="186" w:firstLine="487"/>
        <w:rPr>
          <w:rFonts w:ascii="宋体" w:hAnsi="宋体" w:eastAsia="宋体" w:cs="宋体"/>
          <w:color w:val="auto"/>
          <w:sz w:val="24"/>
          <w:szCs w:val="24"/>
        </w:rPr>
      </w:pPr>
      <w:r>
        <w:rPr>
          <w:rFonts w:ascii="宋体" w:hAnsi="宋体" w:eastAsia="宋体" w:cs="宋体"/>
          <w:color w:val="auto"/>
          <w:spacing w:val="2"/>
          <w:sz w:val="24"/>
          <w:szCs w:val="24"/>
        </w:rPr>
        <w:t>（三）货物如为某单位的专利或特有产品，请投标人在答疑期内告知政府采购代理机构。所有货物的知识产权问题，由各投标人自行负责。投标人须保障采购人在使用该货物或其任何一部分时不受到第三方关于侵犯专利权、商标权或工业设计权等知识产权的指控。如有任何第三方提出侵权指控均与采购人无关，投标人须与第三方交涉并承担可能发生的责任与一切费用。如采购人因此而遭致损失的，投标</w:t>
      </w:r>
      <w:r>
        <w:rPr>
          <w:rFonts w:ascii="宋体" w:hAnsi="宋体" w:eastAsia="宋体" w:cs="宋体"/>
          <w:color w:val="auto"/>
          <w:spacing w:val="-5"/>
          <w:sz w:val="24"/>
          <w:szCs w:val="24"/>
        </w:rPr>
        <w:t>人应赔偿该损失。</w:t>
      </w:r>
    </w:p>
    <w:p w14:paraId="35547859">
      <w:pPr>
        <w:spacing w:before="1" w:line="370" w:lineRule="auto"/>
        <w:ind w:left="1" w:firstLine="485"/>
        <w:rPr>
          <w:rFonts w:hint="eastAsia" w:ascii="宋体" w:hAnsi="宋体" w:eastAsia="宋体" w:cs="宋体"/>
          <w:color w:val="auto"/>
          <w:sz w:val="24"/>
          <w:szCs w:val="24"/>
          <w:lang w:eastAsia="zh-CN"/>
        </w:rPr>
        <w:sectPr>
          <w:footerReference r:id="rId7" w:type="default"/>
          <w:pgSz w:w="11906" w:h="16840"/>
          <w:pgMar w:top="400" w:right="1401" w:bottom="1422" w:left="1595" w:header="0" w:footer="1176" w:gutter="0"/>
          <w:pgNumType w:fmt="decimal"/>
          <w:cols w:space="720" w:num="1"/>
        </w:sectPr>
      </w:pPr>
      <w:r>
        <w:rPr>
          <w:rFonts w:ascii="宋体" w:hAnsi="宋体" w:eastAsia="宋体" w:cs="宋体"/>
          <w:color w:val="auto"/>
          <w:spacing w:val="2"/>
          <w:sz w:val="24"/>
          <w:szCs w:val="24"/>
        </w:rPr>
        <w:t>（四）本招标文件提出的是最低限度的要求，投标人的方案应达到或优于本招</w:t>
      </w:r>
      <w:r>
        <w:rPr>
          <w:rFonts w:ascii="宋体" w:hAnsi="宋体" w:eastAsia="宋体" w:cs="宋体"/>
          <w:color w:val="auto"/>
          <w:spacing w:val="1"/>
          <w:sz w:val="24"/>
          <w:szCs w:val="24"/>
        </w:rPr>
        <w:t>标文件要求，且符合国家有关标准和规范要求。本部分“技术需求和商务要求</w:t>
      </w:r>
      <w:r>
        <w:rPr>
          <w:rFonts w:ascii="宋体" w:hAnsi="宋体" w:eastAsia="宋体" w:cs="宋体"/>
          <w:color w:val="auto"/>
          <w:spacing w:val="-76"/>
          <w:sz w:val="24"/>
          <w:szCs w:val="24"/>
        </w:rPr>
        <w:t xml:space="preserve"> </w:t>
      </w:r>
      <w:r>
        <w:rPr>
          <w:rFonts w:ascii="宋体" w:hAnsi="宋体" w:eastAsia="宋体" w:cs="宋体"/>
          <w:color w:val="auto"/>
          <w:spacing w:val="1"/>
          <w:sz w:val="24"/>
          <w:szCs w:val="24"/>
        </w:rPr>
        <w:t>”均属于不允许负偏离的实质性要求和条件（涉及长度、面积、</w:t>
      </w:r>
      <w:r>
        <w:rPr>
          <w:rFonts w:ascii="宋体" w:hAnsi="宋体" w:eastAsia="宋体" w:cs="宋体"/>
          <w:color w:val="auto"/>
          <w:sz w:val="24"/>
          <w:szCs w:val="24"/>
        </w:rPr>
        <w:t>体积、重量等度量单位，</w:t>
      </w:r>
      <w:r>
        <w:rPr>
          <w:rFonts w:ascii="宋体" w:hAnsi="宋体" w:eastAsia="宋体" w:cs="宋体"/>
          <w:color w:val="auto"/>
          <w:spacing w:val="-3"/>
          <w:sz w:val="24"/>
          <w:szCs w:val="24"/>
        </w:rPr>
        <w:t>允许存在国家标准范围内的±偏离</w:t>
      </w:r>
      <w:r>
        <w:rPr>
          <w:rFonts w:hint="eastAsia" w:ascii="宋体" w:hAnsi="宋体" w:eastAsia="宋体" w:cs="宋体"/>
          <w:color w:val="auto"/>
          <w:spacing w:val="-3"/>
          <w:sz w:val="24"/>
          <w:szCs w:val="24"/>
          <w:lang w:eastAsia="zh-CN"/>
        </w:rPr>
        <w:t>。</w:t>
      </w:r>
    </w:p>
    <w:p w14:paraId="1D1E34D0">
      <w:pPr>
        <w:pStyle w:val="4"/>
        <w:spacing w:line="285" w:lineRule="auto"/>
        <w:rPr>
          <w:color w:val="auto"/>
        </w:rPr>
      </w:pPr>
    </w:p>
    <w:p w14:paraId="4C21D7EB">
      <w:pPr>
        <w:numPr>
          <w:ilvl w:val="0"/>
          <w:numId w:val="2"/>
        </w:numPr>
        <w:spacing w:before="78" w:line="211" w:lineRule="auto"/>
        <w:ind w:left="201"/>
        <w:rPr>
          <w:rFonts w:ascii="宋体" w:hAnsi="宋体" w:eastAsia="宋体" w:cs="宋体"/>
          <w:color w:val="auto"/>
          <w:spacing w:val="-2"/>
          <w:sz w:val="24"/>
          <w:szCs w:val="24"/>
        </w:rPr>
      </w:pPr>
      <w:r>
        <w:rPr>
          <w:rFonts w:ascii="宋体" w:hAnsi="宋体" w:eastAsia="宋体" w:cs="宋体"/>
          <w:color w:val="auto"/>
          <w:spacing w:val="-2"/>
          <w:sz w:val="24"/>
          <w:szCs w:val="24"/>
        </w:rPr>
        <w:t>技术需求</w:t>
      </w:r>
    </w:p>
    <w:p w14:paraId="123289C2">
      <w:pPr>
        <w:rPr>
          <w:rFonts w:ascii="宋体" w:hAnsi="宋体" w:eastAsia="宋体" w:cs="宋体"/>
          <w:b/>
          <w:bCs/>
          <w:color w:val="auto"/>
          <w:kern w:val="0"/>
          <w:szCs w:val="21"/>
        </w:rPr>
      </w:pPr>
      <w:r>
        <w:rPr>
          <w:rFonts w:hint="eastAsia"/>
          <w:b/>
          <w:bCs/>
          <w:color w:val="auto"/>
        </w:rPr>
        <w:t>核心产品：</w:t>
      </w:r>
      <w:r>
        <w:rPr>
          <w:rFonts w:hint="eastAsia" w:ascii="宋体" w:hAnsi="宋体" w:eastAsia="宋体" w:cs="宋体"/>
          <w:b/>
          <w:bCs/>
          <w:color w:val="auto"/>
          <w:kern w:val="0"/>
          <w:szCs w:val="21"/>
          <w:u w:val="single"/>
        </w:rPr>
        <w:t xml:space="preserve"> 智能门锁</w:t>
      </w:r>
    </w:p>
    <w:p w14:paraId="28E075B6">
      <w:pPr>
        <w:pStyle w:val="8"/>
        <w:rPr>
          <w:color w:val="auto"/>
        </w:rPr>
      </w:pPr>
    </w:p>
    <w:tbl>
      <w:tblPr>
        <w:tblStyle w:val="11"/>
        <w:tblW w:w="985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3"/>
        <w:gridCol w:w="1058"/>
        <w:gridCol w:w="7032"/>
        <w:gridCol w:w="846"/>
        <w:gridCol w:w="465"/>
      </w:tblGrid>
      <w:tr w14:paraId="77D35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53" w:type="dxa"/>
            <w:vAlign w:val="center"/>
          </w:tcPr>
          <w:p w14:paraId="662E9A6B">
            <w:pPr>
              <w:widowControl w:val="0"/>
              <w:snapToGrid w:val="0"/>
              <w:jc w:val="center"/>
              <w:rPr>
                <w:rFonts w:ascii="宋体" w:hAnsi="宋体" w:eastAsia="宋体" w:cs="宋体"/>
                <w:b/>
                <w:color w:val="auto"/>
                <w:kern w:val="0"/>
                <w:szCs w:val="21"/>
              </w:rPr>
            </w:pPr>
            <w:r>
              <w:rPr>
                <w:rFonts w:hint="eastAsia" w:ascii="宋体" w:hAnsi="宋体" w:eastAsia="宋体" w:cs="宋体"/>
                <w:b/>
                <w:color w:val="auto"/>
                <w:kern w:val="0"/>
                <w:szCs w:val="21"/>
              </w:rPr>
              <w:t>序号</w:t>
            </w:r>
          </w:p>
        </w:tc>
        <w:tc>
          <w:tcPr>
            <w:tcW w:w="1058" w:type="dxa"/>
            <w:vAlign w:val="center"/>
          </w:tcPr>
          <w:p w14:paraId="7DB4EC0B">
            <w:pPr>
              <w:widowControl w:val="0"/>
              <w:snapToGrid w:val="0"/>
              <w:jc w:val="center"/>
              <w:rPr>
                <w:rFonts w:ascii="宋体" w:hAnsi="宋体" w:eastAsia="宋体" w:cs="宋体"/>
                <w:b/>
                <w:color w:val="auto"/>
                <w:kern w:val="0"/>
                <w:szCs w:val="21"/>
              </w:rPr>
            </w:pPr>
            <w:r>
              <w:rPr>
                <w:rFonts w:hint="eastAsia" w:ascii="宋体" w:hAnsi="宋体" w:eastAsia="宋体" w:cs="宋体"/>
                <w:b/>
                <w:color w:val="auto"/>
                <w:kern w:val="0"/>
                <w:szCs w:val="21"/>
              </w:rPr>
              <w:t>名称</w:t>
            </w:r>
          </w:p>
        </w:tc>
        <w:tc>
          <w:tcPr>
            <w:tcW w:w="7032" w:type="dxa"/>
            <w:vAlign w:val="center"/>
          </w:tcPr>
          <w:p w14:paraId="4114E014">
            <w:pPr>
              <w:widowControl w:val="0"/>
              <w:snapToGrid w:val="0"/>
              <w:jc w:val="center"/>
              <w:rPr>
                <w:rFonts w:ascii="宋体" w:hAnsi="宋体" w:eastAsia="宋体" w:cs="宋体"/>
                <w:b/>
                <w:color w:val="auto"/>
                <w:kern w:val="0"/>
                <w:szCs w:val="21"/>
              </w:rPr>
            </w:pPr>
            <w:r>
              <w:rPr>
                <w:rFonts w:hint="eastAsia" w:ascii="宋体" w:hAnsi="宋体" w:eastAsia="宋体" w:cs="宋体"/>
                <w:b/>
                <w:color w:val="auto"/>
                <w:kern w:val="0"/>
                <w:szCs w:val="21"/>
              </w:rPr>
              <w:t>参数</w:t>
            </w:r>
          </w:p>
        </w:tc>
        <w:tc>
          <w:tcPr>
            <w:tcW w:w="846" w:type="dxa"/>
            <w:vAlign w:val="center"/>
          </w:tcPr>
          <w:p w14:paraId="5F399A0B">
            <w:pPr>
              <w:widowControl w:val="0"/>
              <w:snapToGrid w:val="0"/>
              <w:jc w:val="center"/>
              <w:rPr>
                <w:rFonts w:ascii="宋体" w:hAnsi="宋体" w:eastAsia="宋体" w:cs="宋体"/>
                <w:b/>
                <w:color w:val="auto"/>
                <w:kern w:val="0"/>
                <w:szCs w:val="21"/>
              </w:rPr>
            </w:pPr>
            <w:r>
              <w:rPr>
                <w:rFonts w:hint="eastAsia" w:ascii="宋体" w:hAnsi="宋体" w:eastAsia="宋体" w:cs="宋体"/>
                <w:b/>
                <w:color w:val="auto"/>
                <w:kern w:val="0"/>
                <w:szCs w:val="21"/>
              </w:rPr>
              <w:t>数量</w:t>
            </w:r>
          </w:p>
        </w:tc>
        <w:tc>
          <w:tcPr>
            <w:tcW w:w="465" w:type="dxa"/>
            <w:vAlign w:val="center"/>
          </w:tcPr>
          <w:p w14:paraId="3C14E1D9">
            <w:pPr>
              <w:widowControl w:val="0"/>
              <w:snapToGrid w:val="0"/>
              <w:jc w:val="center"/>
              <w:rPr>
                <w:rFonts w:ascii="宋体" w:hAnsi="宋体" w:eastAsia="宋体" w:cs="宋体"/>
                <w:b/>
                <w:color w:val="auto"/>
                <w:kern w:val="0"/>
                <w:szCs w:val="21"/>
              </w:rPr>
            </w:pPr>
            <w:r>
              <w:rPr>
                <w:rFonts w:hint="eastAsia" w:ascii="宋体" w:hAnsi="宋体" w:eastAsia="宋体" w:cs="宋体"/>
                <w:b/>
                <w:color w:val="auto"/>
                <w:kern w:val="0"/>
                <w:szCs w:val="21"/>
              </w:rPr>
              <w:t>单位</w:t>
            </w:r>
          </w:p>
        </w:tc>
      </w:tr>
      <w:tr w14:paraId="15004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54" w:type="dxa"/>
            <w:gridSpan w:val="5"/>
            <w:vAlign w:val="center"/>
          </w:tcPr>
          <w:p w14:paraId="623BFCC9">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一</w:t>
            </w:r>
            <w:r>
              <w:rPr>
                <w:rFonts w:hint="eastAsia" w:ascii="宋体" w:hAnsi="宋体" w:eastAsia="宋体" w:cs="宋体"/>
                <w:b/>
                <w:bCs/>
                <w:color w:val="auto"/>
                <w:kern w:val="0"/>
                <w:szCs w:val="21"/>
              </w:rPr>
              <w:t>、人脸信息采集系统</w:t>
            </w:r>
          </w:p>
        </w:tc>
      </w:tr>
      <w:tr w14:paraId="2B1B9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6459C8F7">
            <w:pPr>
              <w:widowControl w:val="0"/>
              <w:snapToGrid w:val="0"/>
              <w:jc w:val="center"/>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1</w:t>
            </w:r>
          </w:p>
        </w:tc>
        <w:tc>
          <w:tcPr>
            <w:tcW w:w="1058" w:type="dxa"/>
            <w:shd w:val="clear" w:color="auto" w:fill="auto"/>
            <w:vAlign w:val="center"/>
          </w:tcPr>
          <w:p w14:paraId="55539DC3">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人脸一体采集系统</w:t>
            </w:r>
          </w:p>
        </w:tc>
        <w:tc>
          <w:tcPr>
            <w:tcW w:w="7032" w:type="dxa"/>
            <w:shd w:val="clear" w:color="auto" w:fill="auto"/>
            <w:vAlign w:val="center"/>
          </w:tcPr>
          <w:p w14:paraId="3F069540">
            <w:pPr>
              <w:pStyle w:val="8"/>
              <w:widowControl w:val="0"/>
              <w:snapToGrid w:val="0"/>
              <w:rPr>
                <w:rFonts w:ascii="宋体" w:eastAsia="宋体" w:cs="宋体"/>
                <w:color w:val="auto"/>
                <w:kern w:val="0"/>
                <w:szCs w:val="21"/>
              </w:rPr>
            </w:pPr>
            <w:r>
              <w:rPr>
                <w:rFonts w:hint="eastAsia" w:ascii="宋体" w:eastAsia="宋体" w:cs="宋体"/>
                <w:color w:val="auto"/>
                <w:kern w:val="0"/>
                <w:szCs w:val="21"/>
              </w:rPr>
              <w:t>主处理器：高性能嵌入式处理器；</w:t>
            </w:r>
          </w:p>
          <w:p w14:paraId="2530565F">
            <w:pPr>
              <w:pStyle w:val="8"/>
              <w:widowControl w:val="0"/>
              <w:snapToGrid w:val="0"/>
              <w:rPr>
                <w:rFonts w:ascii="宋体" w:eastAsia="宋体" w:cs="宋体"/>
                <w:color w:val="auto"/>
                <w:kern w:val="0"/>
                <w:szCs w:val="21"/>
              </w:rPr>
            </w:pPr>
            <w:r>
              <w:rPr>
                <w:rFonts w:hint="eastAsia" w:ascii="宋体" w:eastAsia="宋体" w:cs="宋体"/>
                <w:color w:val="auto"/>
                <w:kern w:val="0"/>
                <w:szCs w:val="21"/>
              </w:rPr>
              <w:t>操作系统：嵌入式Linux操作系统；</w:t>
            </w:r>
          </w:p>
          <w:p w14:paraId="1699406B">
            <w:pPr>
              <w:pStyle w:val="8"/>
              <w:widowControl w:val="0"/>
              <w:snapToGrid w:val="0"/>
              <w:rPr>
                <w:rFonts w:ascii="宋体" w:eastAsia="宋体" w:cs="宋体"/>
                <w:color w:val="auto"/>
                <w:kern w:val="0"/>
                <w:szCs w:val="21"/>
              </w:rPr>
            </w:pPr>
            <w:r>
              <w:rPr>
                <w:rFonts w:hint="eastAsia" w:ascii="宋体" w:eastAsia="宋体" w:cs="宋体"/>
                <w:color w:val="auto"/>
                <w:kern w:val="0"/>
                <w:szCs w:val="21"/>
              </w:rPr>
              <w:t>网络协议：IPv4；RTSP；UDP；P2P；TCP；</w:t>
            </w:r>
          </w:p>
          <w:p w14:paraId="340A0114">
            <w:pPr>
              <w:pStyle w:val="8"/>
              <w:widowControl w:val="0"/>
              <w:snapToGrid w:val="0"/>
              <w:rPr>
                <w:rFonts w:ascii="宋体" w:eastAsia="宋体" w:cs="宋体"/>
                <w:color w:val="auto"/>
                <w:kern w:val="0"/>
                <w:szCs w:val="21"/>
              </w:rPr>
            </w:pPr>
            <w:r>
              <w:rPr>
                <w:rFonts w:hint="eastAsia" w:ascii="宋体" w:eastAsia="宋体" w:cs="宋体"/>
                <w:color w:val="auto"/>
                <w:kern w:val="0"/>
                <w:szCs w:val="21"/>
              </w:rPr>
              <w:t>是否支持SDK和API：支持；</w:t>
            </w:r>
          </w:p>
          <w:p w14:paraId="42B17772">
            <w:pPr>
              <w:pStyle w:val="8"/>
              <w:widowControl w:val="0"/>
              <w:snapToGrid w:val="0"/>
              <w:rPr>
                <w:rFonts w:ascii="宋体" w:eastAsia="宋体" w:cs="宋体"/>
                <w:color w:val="auto"/>
                <w:kern w:val="0"/>
                <w:szCs w:val="21"/>
              </w:rPr>
            </w:pPr>
            <w:r>
              <w:rPr>
                <w:rFonts w:hint="eastAsia" w:ascii="宋体" w:eastAsia="宋体" w:cs="宋体"/>
                <w:color w:val="auto"/>
                <w:kern w:val="0"/>
                <w:szCs w:val="21"/>
              </w:rPr>
              <w:t>显示屏：4.3英寸显示屏；</w:t>
            </w:r>
          </w:p>
          <w:p w14:paraId="0396BD2D">
            <w:pPr>
              <w:pStyle w:val="8"/>
              <w:widowControl w:val="0"/>
              <w:snapToGrid w:val="0"/>
              <w:rPr>
                <w:rFonts w:ascii="宋体" w:eastAsia="宋体" w:cs="宋体"/>
                <w:color w:val="auto"/>
                <w:kern w:val="0"/>
                <w:szCs w:val="21"/>
              </w:rPr>
            </w:pPr>
            <w:r>
              <w:rPr>
                <w:rFonts w:hint="eastAsia" w:ascii="宋体" w:eastAsia="宋体" w:cs="宋体"/>
                <w:color w:val="auto"/>
                <w:kern w:val="0"/>
                <w:szCs w:val="21"/>
              </w:rPr>
              <w:t>屏幕类型：电容触摸屏；</w:t>
            </w:r>
          </w:p>
          <w:p w14:paraId="26C290F1">
            <w:pPr>
              <w:pStyle w:val="8"/>
              <w:widowControl w:val="0"/>
              <w:snapToGrid w:val="0"/>
              <w:rPr>
                <w:rFonts w:ascii="宋体" w:eastAsia="宋体" w:cs="宋体"/>
                <w:color w:val="auto"/>
                <w:kern w:val="0"/>
                <w:szCs w:val="21"/>
              </w:rPr>
            </w:pPr>
            <w:r>
              <w:rPr>
                <w:rFonts w:hint="eastAsia" w:ascii="宋体" w:eastAsia="宋体" w:cs="宋体"/>
                <w:color w:val="auto"/>
                <w:kern w:val="0"/>
                <w:szCs w:val="21"/>
              </w:rPr>
              <w:t>显示屏分辨率：480(H)×272(V)；</w:t>
            </w:r>
          </w:p>
          <w:p w14:paraId="512FF33C">
            <w:pPr>
              <w:pStyle w:val="8"/>
              <w:widowControl w:val="0"/>
              <w:snapToGrid w:val="0"/>
              <w:rPr>
                <w:rFonts w:ascii="宋体" w:eastAsia="宋体" w:cs="宋体"/>
                <w:color w:val="auto"/>
                <w:kern w:val="0"/>
                <w:szCs w:val="21"/>
              </w:rPr>
            </w:pPr>
            <w:r>
              <w:rPr>
                <w:rFonts w:hint="eastAsia" w:ascii="宋体" w:eastAsia="宋体" w:cs="宋体"/>
                <w:color w:val="auto"/>
                <w:kern w:val="0"/>
                <w:szCs w:val="21"/>
              </w:rPr>
              <w:t>摄像头：1/2.8" 2MP CMOS 高清/数字宽动态/彩色/红外双摄像头；</w:t>
            </w:r>
          </w:p>
          <w:p w14:paraId="407744DD">
            <w:pPr>
              <w:pStyle w:val="8"/>
              <w:widowControl w:val="0"/>
              <w:snapToGrid w:val="0"/>
              <w:rPr>
                <w:rFonts w:ascii="宋体" w:eastAsia="宋体" w:cs="宋体"/>
                <w:color w:val="auto"/>
                <w:kern w:val="0"/>
                <w:szCs w:val="21"/>
              </w:rPr>
            </w:pPr>
            <w:r>
              <w:rPr>
                <w:rFonts w:hint="eastAsia" w:ascii="宋体" w:eastAsia="宋体" w:cs="宋体"/>
                <w:color w:val="auto"/>
                <w:kern w:val="0"/>
                <w:szCs w:val="21"/>
              </w:rPr>
              <w:t>光照补偿：自动白光补光；自动红外补光；</w:t>
            </w:r>
          </w:p>
          <w:p w14:paraId="66E3FCBB">
            <w:pPr>
              <w:pStyle w:val="8"/>
              <w:widowControl w:val="0"/>
              <w:snapToGrid w:val="0"/>
              <w:rPr>
                <w:rFonts w:ascii="宋体" w:eastAsia="宋体" w:cs="宋体"/>
                <w:color w:val="auto"/>
                <w:kern w:val="0"/>
                <w:szCs w:val="21"/>
              </w:rPr>
            </w:pPr>
            <w:r>
              <w:rPr>
                <w:rFonts w:hint="eastAsia" w:ascii="宋体" w:eastAsia="宋体" w:cs="宋体"/>
                <w:color w:val="auto"/>
                <w:kern w:val="0"/>
                <w:szCs w:val="21"/>
              </w:rPr>
              <w:t>语音提示：支持；</w:t>
            </w:r>
          </w:p>
          <w:p w14:paraId="66EF43CA">
            <w:pPr>
              <w:pStyle w:val="8"/>
              <w:widowControl w:val="0"/>
              <w:snapToGrid w:val="0"/>
              <w:rPr>
                <w:rFonts w:ascii="宋体" w:eastAsia="宋体" w:cs="宋体"/>
                <w:color w:val="auto"/>
                <w:kern w:val="0"/>
                <w:szCs w:val="21"/>
              </w:rPr>
            </w:pPr>
            <w:r>
              <w:rPr>
                <w:rFonts w:hint="eastAsia" w:ascii="宋体" w:eastAsia="宋体" w:cs="宋体"/>
                <w:color w:val="auto"/>
                <w:kern w:val="0"/>
                <w:szCs w:val="21"/>
              </w:rPr>
              <w:t>外壳材料：PC+ABS；</w:t>
            </w:r>
          </w:p>
          <w:p w14:paraId="60720BE9">
            <w:pPr>
              <w:pStyle w:val="8"/>
              <w:widowControl w:val="0"/>
              <w:snapToGrid w:val="0"/>
              <w:rPr>
                <w:rFonts w:ascii="宋体" w:eastAsia="宋体" w:cs="宋体"/>
                <w:color w:val="auto"/>
                <w:kern w:val="0"/>
                <w:szCs w:val="21"/>
              </w:rPr>
            </w:pPr>
            <w:r>
              <w:rPr>
                <w:rFonts w:hint="eastAsia" w:ascii="宋体" w:eastAsia="宋体" w:cs="宋体"/>
                <w:color w:val="auto"/>
                <w:kern w:val="0"/>
                <w:szCs w:val="21"/>
              </w:rPr>
              <w:t>读卡类型：IC卡；身份证（序列号）；CPU卡；</w:t>
            </w:r>
          </w:p>
          <w:p w14:paraId="2846BF33">
            <w:pPr>
              <w:pStyle w:val="8"/>
              <w:widowControl w:val="0"/>
              <w:snapToGrid w:val="0"/>
              <w:rPr>
                <w:rFonts w:ascii="宋体" w:eastAsia="宋体" w:cs="宋体"/>
                <w:color w:val="auto"/>
                <w:kern w:val="0"/>
                <w:szCs w:val="21"/>
              </w:rPr>
            </w:pPr>
            <w:r>
              <w:rPr>
                <w:rFonts w:hint="eastAsia" w:ascii="宋体" w:eastAsia="宋体" w:cs="宋体"/>
                <w:color w:val="auto"/>
                <w:kern w:val="0"/>
                <w:szCs w:val="21"/>
              </w:rPr>
              <w:t>Wi-Fi：支持；</w:t>
            </w:r>
          </w:p>
          <w:p w14:paraId="05FA7CA3">
            <w:pPr>
              <w:pStyle w:val="8"/>
              <w:widowControl w:val="0"/>
              <w:snapToGrid w:val="0"/>
              <w:rPr>
                <w:rFonts w:ascii="宋体" w:eastAsia="宋体" w:cs="宋体"/>
                <w:color w:val="auto"/>
                <w:kern w:val="0"/>
                <w:szCs w:val="21"/>
              </w:rPr>
            </w:pPr>
            <w:r>
              <w:rPr>
                <w:rFonts w:hint="eastAsia" w:ascii="宋体" w:eastAsia="宋体" w:cs="宋体"/>
                <w:color w:val="auto"/>
                <w:kern w:val="0"/>
                <w:szCs w:val="21"/>
              </w:rPr>
              <w:t>实时监控：支持；</w:t>
            </w:r>
          </w:p>
          <w:p w14:paraId="7EF45582">
            <w:pPr>
              <w:pStyle w:val="8"/>
              <w:widowControl w:val="0"/>
              <w:snapToGrid w:val="0"/>
              <w:rPr>
                <w:rFonts w:ascii="宋体" w:eastAsia="宋体" w:cs="宋体"/>
                <w:color w:val="auto"/>
                <w:kern w:val="0"/>
                <w:szCs w:val="21"/>
              </w:rPr>
            </w:pPr>
            <w:r>
              <w:rPr>
                <w:rFonts w:hint="eastAsia" w:ascii="宋体" w:eastAsia="宋体" w:cs="宋体"/>
                <w:color w:val="auto"/>
                <w:kern w:val="0"/>
                <w:szCs w:val="21"/>
              </w:rPr>
              <w:t>抓拍功能：支持；</w:t>
            </w:r>
          </w:p>
          <w:p w14:paraId="510F0C03">
            <w:pPr>
              <w:pStyle w:val="8"/>
              <w:widowControl w:val="0"/>
              <w:snapToGrid w:val="0"/>
              <w:rPr>
                <w:rFonts w:ascii="宋体" w:eastAsia="宋体" w:cs="宋体"/>
                <w:color w:val="auto"/>
                <w:kern w:val="0"/>
                <w:szCs w:val="21"/>
              </w:rPr>
            </w:pPr>
            <w:r>
              <w:rPr>
                <w:rFonts w:hint="eastAsia" w:ascii="宋体" w:eastAsia="宋体" w:cs="宋体"/>
                <w:color w:val="auto"/>
                <w:kern w:val="0"/>
                <w:szCs w:val="21"/>
              </w:rPr>
              <w:t>主动注册：支持；</w:t>
            </w:r>
          </w:p>
          <w:p w14:paraId="2FD86E8F">
            <w:pPr>
              <w:pStyle w:val="8"/>
              <w:widowControl w:val="0"/>
              <w:snapToGrid w:val="0"/>
              <w:rPr>
                <w:rFonts w:ascii="宋体" w:eastAsia="宋体" w:cs="宋体"/>
                <w:color w:val="auto"/>
                <w:kern w:val="0"/>
                <w:szCs w:val="21"/>
              </w:rPr>
            </w:pPr>
            <w:r>
              <w:rPr>
                <w:rFonts w:hint="eastAsia" w:ascii="宋体" w:eastAsia="宋体" w:cs="宋体"/>
                <w:color w:val="auto"/>
                <w:kern w:val="0"/>
                <w:szCs w:val="21"/>
              </w:rPr>
              <w:t>刷卡响应时间：&lt;1s；</w:t>
            </w:r>
          </w:p>
          <w:p w14:paraId="190B77B7">
            <w:pPr>
              <w:pStyle w:val="8"/>
              <w:widowControl w:val="0"/>
              <w:snapToGrid w:val="0"/>
              <w:rPr>
                <w:rFonts w:ascii="宋体" w:eastAsia="宋体" w:cs="宋体"/>
                <w:color w:val="auto"/>
                <w:kern w:val="0"/>
                <w:szCs w:val="21"/>
              </w:rPr>
            </w:pPr>
            <w:r>
              <w:rPr>
                <w:rFonts w:hint="eastAsia" w:ascii="宋体" w:eastAsia="宋体" w:cs="宋体"/>
                <w:color w:val="auto"/>
                <w:kern w:val="0"/>
                <w:szCs w:val="21"/>
              </w:rPr>
              <w:t>读卡距离：0cm～5cm；</w:t>
            </w:r>
          </w:p>
          <w:p w14:paraId="44E98CDA">
            <w:pPr>
              <w:pStyle w:val="8"/>
              <w:widowControl w:val="0"/>
              <w:snapToGrid w:val="0"/>
              <w:rPr>
                <w:rFonts w:ascii="宋体" w:eastAsia="宋体" w:cs="宋体"/>
                <w:color w:val="auto"/>
                <w:kern w:val="0"/>
                <w:szCs w:val="21"/>
              </w:rPr>
            </w:pPr>
            <w:r>
              <w:rPr>
                <w:rFonts w:hint="eastAsia" w:ascii="宋体" w:eastAsia="宋体" w:cs="宋体"/>
                <w:color w:val="auto"/>
                <w:kern w:val="0"/>
                <w:szCs w:val="21"/>
              </w:rPr>
              <w:t>人脸识别距离：0.3m～0.7m；</w:t>
            </w:r>
          </w:p>
          <w:p w14:paraId="278A8AC4">
            <w:pPr>
              <w:pStyle w:val="8"/>
              <w:widowControl w:val="0"/>
              <w:snapToGrid w:val="0"/>
              <w:rPr>
                <w:rFonts w:ascii="宋体" w:eastAsia="宋体" w:cs="宋体"/>
                <w:color w:val="auto"/>
                <w:kern w:val="0"/>
                <w:szCs w:val="21"/>
              </w:rPr>
            </w:pPr>
            <w:r>
              <w:rPr>
                <w:rFonts w:hint="eastAsia" w:ascii="宋体" w:eastAsia="宋体" w:cs="宋体"/>
                <w:color w:val="auto"/>
                <w:kern w:val="0"/>
                <w:szCs w:val="21"/>
              </w:rPr>
              <w:t>人脸识别准确率：99.8%；</w:t>
            </w:r>
          </w:p>
          <w:p w14:paraId="66AAC388">
            <w:pPr>
              <w:pStyle w:val="8"/>
              <w:widowControl w:val="0"/>
              <w:snapToGrid w:val="0"/>
              <w:rPr>
                <w:rFonts w:ascii="宋体" w:eastAsia="宋体" w:cs="宋体"/>
                <w:color w:val="auto"/>
                <w:kern w:val="0"/>
                <w:szCs w:val="21"/>
              </w:rPr>
            </w:pPr>
            <w:r>
              <w:rPr>
                <w:rFonts w:hint="eastAsia" w:ascii="宋体" w:eastAsia="宋体" w:cs="宋体"/>
                <w:color w:val="auto"/>
                <w:kern w:val="0"/>
                <w:szCs w:val="21"/>
              </w:rPr>
              <w:t>人脸识别速度：0.2s；</w:t>
            </w:r>
          </w:p>
          <w:p w14:paraId="7414B6ED">
            <w:pPr>
              <w:pStyle w:val="8"/>
              <w:widowControl w:val="0"/>
              <w:snapToGrid w:val="0"/>
              <w:rPr>
                <w:rFonts w:ascii="宋体" w:eastAsia="宋体" w:cs="宋体"/>
                <w:color w:val="auto"/>
                <w:kern w:val="0"/>
                <w:szCs w:val="21"/>
              </w:rPr>
            </w:pPr>
            <w:r>
              <w:rPr>
                <w:rFonts w:hint="eastAsia" w:ascii="宋体" w:eastAsia="宋体" w:cs="宋体"/>
                <w:color w:val="auto"/>
                <w:kern w:val="0"/>
                <w:szCs w:val="21"/>
              </w:rPr>
              <w:t>指纹采集模块：电容式指纹模块，符合GA/T1011-2012标准；</w:t>
            </w:r>
          </w:p>
          <w:p w14:paraId="65499176">
            <w:pPr>
              <w:pStyle w:val="8"/>
              <w:widowControl w:val="0"/>
              <w:snapToGrid w:val="0"/>
              <w:rPr>
                <w:rFonts w:ascii="宋体" w:eastAsia="宋体" w:cs="宋体"/>
                <w:color w:val="auto"/>
                <w:kern w:val="0"/>
                <w:szCs w:val="21"/>
              </w:rPr>
            </w:pPr>
            <w:r>
              <w:rPr>
                <w:rFonts w:hint="eastAsia" w:ascii="宋体" w:eastAsia="宋体" w:cs="宋体"/>
                <w:color w:val="auto"/>
                <w:kern w:val="0"/>
                <w:szCs w:val="21"/>
              </w:rPr>
              <w:t>USB接口：1个USB2.0接口；</w:t>
            </w:r>
          </w:p>
          <w:p w14:paraId="745BB0DB">
            <w:pPr>
              <w:pStyle w:val="8"/>
              <w:widowControl w:val="0"/>
              <w:snapToGrid w:val="0"/>
              <w:rPr>
                <w:rFonts w:ascii="宋体" w:eastAsia="宋体" w:cs="宋体"/>
                <w:color w:val="auto"/>
                <w:kern w:val="0"/>
                <w:szCs w:val="21"/>
              </w:rPr>
            </w:pPr>
            <w:r>
              <w:rPr>
                <w:rFonts w:hint="eastAsia" w:ascii="宋体" w:eastAsia="宋体" w:cs="宋体"/>
                <w:color w:val="auto"/>
                <w:kern w:val="0"/>
                <w:szCs w:val="21"/>
              </w:rPr>
              <w:t>网络接口：1个10Mbps/100Mbps以太网口；</w:t>
            </w:r>
          </w:p>
          <w:p w14:paraId="7F52F59C">
            <w:pPr>
              <w:pStyle w:val="8"/>
              <w:widowControl w:val="0"/>
              <w:snapToGrid w:val="0"/>
              <w:rPr>
                <w:rFonts w:ascii="宋体" w:eastAsia="宋体" w:cs="宋体"/>
                <w:color w:val="auto"/>
                <w:kern w:val="0"/>
                <w:szCs w:val="21"/>
              </w:rPr>
            </w:pPr>
            <w:r>
              <w:rPr>
                <w:rFonts w:hint="eastAsia" w:ascii="宋体" w:eastAsia="宋体" w:cs="宋体"/>
                <w:color w:val="auto"/>
                <w:kern w:val="0"/>
                <w:szCs w:val="21"/>
              </w:rPr>
              <w:t>电源：标配；</w:t>
            </w:r>
          </w:p>
          <w:p w14:paraId="4CE1A4A6">
            <w:pPr>
              <w:pStyle w:val="8"/>
              <w:widowControl w:val="0"/>
              <w:snapToGrid w:val="0"/>
              <w:rPr>
                <w:rFonts w:ascii="宋体" w:eastAsia="宋体" w:cs="宋体"/>
                <w:color w:val="auto"/>
                <w:kern w:val="0"/>
                <w:szCs w:val="21"/>
              </w:rPr>
            </w:pPr>
            <w:r>
              <w:rPr>
                <w:rFonts w:hint="eastAsia" w:ascii="宋体" w:eastAsia="宋体" w:cs="宋体"/>
                <w:color w:val="auto"/>
                <w:kern w:val="0"/>
                <w:szCs w:val="21"/>
              </w:rPr>
              <w:t>供电方式：DC 12V  1.5A；</w:t>
            </w:r>
          </w:p>
          <w:p w14:paraId="2BF5902B">
            <w:pPr>
              <w:pStyle w:val="8"/>
              <w:widowControl w:val="0"/>
              <w:snapToGrid w:val="0"/>
              <w:rPr>
                <w:rFonts w:ascii="宋体" w:eastAsia="宋体" w:cs="宋体"/>
                <w:color w:val="auto"/>
                <w:kern w:val="0"/>
                <w:szCs w:val="21"/>
              </w:rPr>
            </w:pPr>
            <w:r>
              <w:rPr>
                <w:rFonts w:hint="eastAsia" w:ascii="宋体" w:eastAsia="宋体" w:cs="宋体"/>
                <w:color w:val="auto"/>
                <w:kern w:val="0"/>
                <w:szCs w:val="21"/>
              </w:rPr>
              <w:t>功耗：≤18W；</w:t>
            </w:r>
          </w:p>
          <w:p w14:paraId="4E99096F">
            <w:pPr>
              <w:pStyle w:val="8"/>
              <w:widowControl w:val="0"/>
              <w:snapToGrid w:val="0"/>
              <w:rPr>
                <w:rFonts w:ascii="宋体" w:eastAsia="宋体" w:cs="宋体"/>
                <w:color w:val="auto"/>
                <w:kern w:val="0"/>
                <w:szCs w:val="21"/>
              </w:rPr>
            </w:pPr>
            <w:r>
              <w:rPr>
                <w:rFonts w:hint="eastAsia" w:ascii="宋体" w:eastAsia="宋体" w:cs="宋体"/>
                <w:color w:val="auto"/>
                <w:kern w:val="0"/>
                <w:szCs w:val="21"/>
              </w:rPr>
              <w:t>工作温度：-10℃～+55℃；</w:t>
            </w:r>
          </w:p>
          <w:p w14:paraId="1C884765">
            <w:pPr>
              <w:pStyle w:val="8"/>
              <w:widowControl w:val="0"/>
              <w:snapToGrid w:val="0"/>
              <w:rPr>
                <w:rFonts w:ascii="宋体" w:eastAsia="宋体" w:cs="宋体"/>
                <w:color w:val="auto"/>
                <w:kern w:val="0"/>
                <w:szCs w:val="21"/>
              </w:rPr>
            </w:pPr>
            <w:r>
              <w:rPr>
                <w:rFonts w:hint="eastAsia" w:ascii="宋体" w:eastAsia="宋体" w:cs="宋体"/>
                <w:color w:val="auto"/>
                <w:kern w:val="0"/>
                <w:szCs w:val="21"/>
              </w:rPr>
              <w:t>工作湿度：5%～90%RH（无凝结）；</w:t>
            </w:r>
          </w:p>
          <w:p w14:paraId="10971552">
            <w:pPr>
              <w:pStyle w:val="8"/>
              <w:widowControl w:val="0"/>
              <w:snapToGrid w:val="0"/>
              <w:rPr>
                <w:rFonts w:ascii="宋体" w:eastAsia="宋体" w:cs="宋体"/>
                <w:color w:val="auto"/>
                <w:kern w:val="0"/>
                <w:szCs w:val="21"/>
              </w:rPr>
            </w:pPr>
            <w:r>
              <w:rPr>
                <w:rFonts w:hint="eastAsia" w:ascii="宋体" w:eastAsia="宋体" w:cs="宋体"/>
                <w:color w:val="auto"/>
                <w:kern w:val="0"/>
                <w:szCs w:val="21"/>
              </w:rPr>
              <w:t>安装方式：桌面安装；</w:t>
            </w:r>
          </w:p>
          <w:p w14:paraId="53A08940">
            <w:pPr>
              <w:pStyle w:val="8"/>
              <w:widowControl w:val="0"/>
              <w:snapToGrid w:val="0"/>
              <w:rPr>
                <w:rFonts w:ascii="宋体" w:eastAsia="宋体" w:cs="宋体"/>
                <w:color w:val="auto"/>
                <w:kern w:val="0"/>
                <w:szCs w:val="21"/>
              </w:rPr>
            </w:pPr>
            <w:r>
              <w:rPr>
                <w:rFonts w:hint="eastAsia" w:ascii="宋体" w:eastAsia="宋体" w:cs="宋体"/>
                <w:color w:val="auto"/>
                <w:kern w:val="0"/>
                <w:szCs w:val="21"/>
              </w:rPr>
              <w:t>储存温度：-20℃～+60℃；</w:t>
            </w:r>
          </w:p>
          <w:p w14:paraId="3CA3F3DC">
            <w:pPr>
              <w:pStyle w:val="8"/>
              <w:widowControl w:val="0"/>
              <w:snapToGrid w:val="0"/>
              <w:rPr>
                <w:rFonts w:ascii="宋体" w:eastAsia="宋体" w:cs="宋体"/>
                <w:color w:val="auto"/>
                <w:kern w:val="0"/>
                <w:szCs w:val="21"/>
              </w:rPr>
            </w:pPr>
            <w:r>
              <w:rPr>
                <w:rFonts w:hint="eastAsia" w:ascii="宋体" w:eastAsia="宋体" w:cs="宋体"/>
                <w:color w:val="auto"/>
                <w:kern w:val="0"/>
                <w:szCs w:val="21"/>
              </w:rPr>
              <w:t>储存湿度：30%～75%；</w:t>
            </w:r>
          </w:p>
          <w:p w14:paraId="49F417B3">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防腐蚀等级：普通防护*该级别的产品适用于不需要特定防腐保护的区域。</w:t>
            </w:r>
          </w:p>
        </w:tc>
        <w:tc>
          <w:tcPr>
            <w:tcW w:w="846" w:type="dxa"/>
            <w:shd w:val="clear" w:color="auto" w:fill="auto"/>
            <w:vAlign w:val="center"/>
          </w:tcPr>
          <w:p w14:paraId="3EA8417E">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w:t>
            </w:r>
          </w:p>
        </w:tc>
        <w:tc>
          <w:tcPr>
            <w:tcW w:w="465" w:type="dxa"/>
            <w:shd w:val="clear" w:color="auto" w:fill="auto"/>
            <w:vAlign w:val="center"/>
          </w:tcPr>
          <w:p w14:paraId="4F5C4051">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台</w:t>
            </w:r>
          </w:p>
        </w:tc>
      </w:tr>
      <w:tr w14:paraId="4F060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20CBA3DC">
            <w:pPr>
              <w:widowControl w:val="0"/>
              <w:snapToGrid w:val="0"/>
              <w:jc w:val="center"/>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2</w:t>
            </w:r>
          </w:p>
        </w:tc>
        <w:tc>
          <w:tcPr>
            <w:tcW w:w="1058" w:type="dxa"/>
            <w:shd w:val="clear" w:color="auto" w:fill="auto"/>
            <w:vAlign w:val="center"/>
          </w:tcPr>
          <w:p w14:paraId="7B1218B0">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控制设备</w:t>
            </w:r>
          </w:p>
        </w:tc>
        <w:tc>
          <w:tcPr>
            <w:tcW w:w="7032" w:type="dxa"/>
            <w:shd w:val="clear" w:color="auto" w:fill="auto"/>
            <w:vAlign w:val="center"/>
          </w:tcPr>
          <w:p w14:paraId="3E8C0062">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b w:val="0"/>
                <w:bCs w:val="0"/>
                <w:color w:val="auto"/>
                <w:kern w:val="0"/>
                <w:szCs w:val="21"/>
                <w:lang w:val="en-US" w:eastAsia="zh-CN"/>
              </w:rPr>
              <w:t>处理器3.0G，内存8GB、硬盘1T，显示器21.5寸LED</w:t>
            </w:r>
          </w:p>
        </w:tc>
        <w:tc>
          <w:tcPr>
            <w:tcW w:w="846" w:type="dxa"/>
            <w:shd w:val="clear" w:color="auto" w:fill="auto"/>
            <w:vAlign w:val="center"/>
          </w:tcPr>
          <w:p w14:paraId="2FF0E058">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w:t>
            </w:r>
          </w:p>
        </w:tc>
        <w:tc>
          <w:tcPr>
            <w:tcW w:w="465" w:type="dxa"/>
            <w:shd w:val="clear" w:color="auto" w:fill="auto"/>
            <w:vAlign w:val="center"/>
          </w:tcPr>
          <w:p w14:paraId="248E8B48">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台</w:t>
            </w:r>
          </w:p>
        </w:tc>
      </w:tr>
      <w:tr w14:paraId="73A4D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54" w:type="dxa"/>
            <w:gridSpan w:val="5"/>
            <w:vAlign w:val="center"/>
          </w:tcPr>
          <w:p w14:paraId="572894B9">
            <w:pPr>
              <w:widowControl w:val="0"/>
              <w:snapToGrid w:val="0"/>
              <w:jc w:val="left"/>
              <w:rPr>
                <w:rFonts w:hint="eastAsia" w:ascii="宋体" w:hAnsi="宋体" w:eastAsia="宋体" w:cs="宋体"/>
                <w:color w:val="auto"/>
                <w:kern w:val="0"/>
                <w:szCs w:val="21"/>
              </w:rPr>
            </w:pPr>
            <w:r>
              <w:rPr>
                <w:rFonts w:hint="eastAsia" w:ascii="宋体" w:hAnsi="宋体" w:eastAsia="宋体" w:cs="宋体"/>
                <w:b/>
                <w:bCs/>
                <w:color w:val="auto"/>
                <w:kern w:val="0"/>
                <w:szCs w:val="21"/>
                <w:lang w:val="en-US" w:eastAsia="zh-CN"/>
              </w:rPr>
              <w:t>二、视频监控系统</w:t>
            </w:r>
          </w:p>
        </w:tc>
      </w:tr>
      <w:tr w14:paraId="30295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3AD398CB">
            <w:pPr>
              <w:widowControl w:val="0"/>
              <w:snapToGrid w:val="0"/>
              <w:jc w:val="center"/>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1</w:t>
            </w:r>
          </w:p>
        </w:tc>
        <w:tc>
          <w:tcPr>
            <w:tcW w:w="1058" w:type="dxa"/>
            <w:shd w:val="clear" w:color="auto" w:fill="auto"/>
            <w:vAlign w:val="center"/>
          </w:tcPr>
          <w:p w14:paraId="5203CDD1">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双摄智能枪机</w:t>
            </w:r>
          </w:p>
        </w:tc>
        <w:tc>
          <w:tcPr>
            <w:tcW w:w="7032" w:type="dxa"/>
            <w:shd w:val="clear" w:color="auto" w:fill="auto"/>
            <w:vAlign w:val="center"/>
          </w:tcPr>
          <w:p w14:paraId="353CB730">
            <w:pPr>
              <w:pStyle w:val="8"/>
              <w:widowControl w:val="0"/>
              <w:snapToGrid w:val="0"/>
              <w:rPr>
                <w:rFonts w:ascii="宋体" w:eastAsia="宋体" w:cs="宋体"/>
                <w:color w:val="auto"/>
                <w:kern w:val="0"/>
                <w:szCs w:val="21"/>
              </w:rPr>
            </w:pPr>
            <w:r>
              <w:rPr>
                <w:rFonts w:hint="eastAsia" w:ascii="宋体" w:eastAsia="宋体" w:cs="宋体"/>
                <w:color w:val="auto"/>
                <w:kern w:val="0"/>
                <w:szCs w:val="21"/>
              </w:rPr>
              <w:t>传感器类型：通道1（全景）：1/2.8英寸CMOS通道2（细节）：1/1.8英寸CMOS；</w:t>
            </w:r>
          </w:p>
          <w:p w14:paraId="5AAD9C63">
            <w:pPr>
              <w:pStyle w:val="8"/>
              <w:widowControl w:val="0"/>
              <w:snapToGrid w:val="0"/>
              <w:rPr>
                <w:rFonts w:ascii="宋体" w:eastAsia="宋体" w:cs="宋体"/>
                <w:color w:val="auto"/>
                <w:kern w:val="0"/>
                <w:szCs w:val="21"/>
              </w:rPr>
            </w:pPr>
            <w:r>
              <w:rPr>
                <w:rFonts w:hint="eastAsia" w:ascii="宋体" w:eastAsia="宋体" w:cs="宋体"/>
                <w:color w:val="auto"/>
                <w:kern w:val="0"/>
                <w:szCs w:val="21"/>
              </w:rPr>
              <w:t>像素：通道1（全景）：400万；通道2（细节）：800万；</w:t>
            </w:r>
          </w:p>
          <w:p w14:paraId="6B08D18B">
            <w:pPr>
              <w:pStyle w:val="8"/>
              <w:widowControl w:val="0"/>
              <w:snapToGrid w:val="0"/>
              <w:rPr>
                <w:rFonts w:ascii="宋体" w:eastAsia="宋体" w:cs="宋体"/>
                <w:color w:val="auto"/>
                <w:kern w:val="0"/>
                <w:szCs w:val="21"/>
              </w:rPr>
            </w:pPr>
            <w:r>
              <w:rPr>
                <w:rFonts w:hint="eastAsia" w:ascii="宋体" w:eastAsia="宋体" w:cs="宋体"/>
                <w:color w:val="auto"/>
                <w:kern w:val="0"/>
                <w:szCs w:val="21"/>
              </w:rPr>
              <w:t>最大分辨率：3840×2160；</w:t>
            </w:r>
          </w:p>
          <w:p w14:paraId="594A2BDE">
            <w:pPr>
              <w:pStyle w:val="8"/>
              <w:widowControl w:val="0"/>
              <w:snapToGrid w:val="0"/>
              <w:rPr>
                <w:rFonts w:ascii="宋体" w:eastAsia="宋体" w:cs="宋体"/>
                <w:color w:val="auto"/>
                <w:kern w:val="0"/>
                <w:szCs w:val="21"/>
              </w:rPr>
            </w:pPr>
            <w:r>
              <w:rPr>
                <w:rFonts w:hint="eastAsia" w:ascii="宋体" w:eastAsia="宋体" w:cs="宋体"/>
                <w:color w:val="auto"/>
                <w:kern w:val="0"/>
                <w:szCs w:val="21"/>
              </w:rPr>
              <w:t>最低照度：通道1（全景）：0.002lux（彩色模式）；0.0002lux（黑白模式）；0lux（补光灯开启）；通道2（细节）：0.002lux（彩色模式）；0.0002lux（黑白模式）；0lux（补光灯开启）；</w:t>
            </w:r>
          </w:p>
          <w:p w14:paraId="343DEF86">
            <w:pPr>
              <w:pStyle w:val="8"/>
              <w:widowControl w:val="0"/>
              <w:snapToGrid w:val="0"/>
              <w:rPr>
                <w:rFonts w:ascii="宋体" w:eastAsia="宋体" w:cs="宋体"/>
                <w:color w:val="auto"/>
                <w:kern w:val="0"/>
                <w:szCs w:val="21"/>
              </w:rPr>
            </w:pPr>
            <w:r>
              <w:rPr>
                <w:rFonts w:hint="eastAsia" w:ascii="宋体" w:eastAsia="宋体" w:cs="宋体"/>
                <w:color w:val="auto"/>
                <w:kern w:val="0"/>
                <w:szCs w:val="21"/>
              </w:rPr>
              <w:t>最大补光距离：100m（视频监控距离）；30m（人脸检测距离）；</w:t>
            </w:r>
          </w:p>
          <w:p w14:paraId="2B309E82">
            <w:pPr>
              <w:pStyle w:val="8"/>
              <w:widowControl w:val="0"/>
              <w:snapToGrid w:val="0"/>
              <w:rPr>
                <w:rFonts w:ascii="宋体" w:eastAsia="宋体" w:cs="宋体"/>
                <w:color w:val="auto"/>
                <w:kern w:val="0"/>
                <w:szCs w:val="21"/>
              </w:rPr>
            </w:pPr>
            <w:r>
              <w:rPr>
                <w:rFonts w:hint="eastAsia" w:ascii="宋体" w:eastAsia="宋体" w:cs="宋体"/>
                <w:color w:val="auto"/>
                <w:kern w:val="0"/>
                <w:szCs w:val="21"/>
              </w:rPr>
              <w:t>补光灯：通道1（全景）：2颗（暖光灯）；通道2（细节）：3颗（柔光双色灯），2颗（暖光灯）；</w:t>
            </w:r>
          </w:p>
          <w:p w14:paraId="7A3B6365">
            <w:pPr>
              <w:pStyle w:val="8"/>
              <w:widowControl w:val="0"/>
              <w:snapToGrid w:val="0"/>
              <w:rPr>
                <w:rFonts w:ascii="宋体" w:eastAsia="宋体" w:cs="宋体"/>
                <w:color w:val="auto"/>
                <w:kern w:val="0"/>
                <w:szCs w:val="21"/>
              </w:rPr>
            </w:pPr>
            <w:r>
              <w:rPr>
                <w:rFonts w:hint="eastAsia" w:ascii="宋体" w:eastAsia="宋体" w:cs="宋体"/>
                <w:color w:val="auto"/>
                <w:kern w:val="0"/>
                <w:szCs w:val="21"/>
              </w:rPr>
              <w:t>镜头类型：通道1（全景）：定焦镜头；通道2（细节）：机芯镜头；</w:t>
            </w:r>
          </w:p>
          <w:p w14:paraId="6169851B">
            <w:pPr>
              <w:pStyle w:val="8"/>
              <w:widowControl w:val="0"/>
              <w:snapToGrid w:val="0"/>
              <w:rPr>
                <w:rFonts w:ascii="宋体" w:eastAsia="宋体" w:cs="宋体"/>
                <w:color w:val="auto"/>
                <w:kern w:val="0"/>
                <w:szCs w:val="21"/>
              </w:rPr>
            </w:pPr>
            <w:r>
              <w:rPr>
                <w:rFonts w:hint="eastAsia" w:ascii="宋体" w:eastAsia="宋体" w:cs="宋体"/>
                <w:color w:val="auto"/>
                <w:kern w:val="0"/>
                <w:szCs w:val="21"/>
              </w:rPr>
              <w:t>镜头焦距：通道1（全景）：3.6mm；通道2（细节）：8mm～56mm；</w:t>
            </w:r>
          </w:p>
          <w:p w14:paraId="6CC53F40">
            <w:pPr>
              <w:pStyle w:val="8"/>
              <w:widowControl w:val="0"/>
              <w:snapToGrid w:val="0"/>
              <w:rPr>
                <w:rFonts w:ascii="宋体" w:eastAsia="宋体" w:cs="宋体"/>
                <w:color w:val="auto"/>
                <w:kern w:val="0"/>
                <w:szCs w:val="21"/>
              </w:rPr>
            </w:pPr>
            <w:r>
              <w:rPr>
                <w:rFonts w:hint="eastAsia" w:ascii="宋体" w:eastAsia="宋体" w:cs="宋体"/>
                <w:color w:val="auto"/>
                <w:kern w:val="0"/>
                <w:szCs w:val="21"/>
              </w:rPr>
              <w:t>镜头光圈：通道1（全景）：F1.0；通道2（细节）：F1.2；</w:t>
            </w:r>
          </w:p>
          <w:p w14:paraId="3D95A619">
            <w:pPr>
              <w:pStyle w:val="8"/>
              <w:widowControl w:val="0"/>
              <w:snapToGrid w:val="0"/>
              <w:rPr>
                <w:rFonts w:ascii="宋体" w:eastAsia="宋体" w:cs="宋体"/>
                <w:color w:val="auto"/>
                <w:kern w:val="0"/>
                <w:szCs w:val="21"/>
              </w:rPr>
            </w:pPr>
            <w:r>
              <w:rPr>
                <w:rFonts w:hint="eastAsia" w:ascii="宋体" w:eastAsia="宋体" w:cs="宋体"/>
                <w:color w:val="auto"/>
                <w:kern w:val="0"/>
                <w:szCs w:val="21"/>
              </w:rPr>
              <w:t>视场角：通道1（全景）：水平：82°；垂直：44°；对角：96°；通道2（细节）：水平：41°～9°；垂直：23°～5°；对角：47°～11°；</w:t>
            </w:r>
          </w:p>
          <w:p w14:paraId="29F9B617">
            <w:pPr>
              <w:pStyle w:val="8"/>
              <w:widowControl w:val="0"/>
              <w:snapToGrid w:val="0"/>
              <w:rPr>
                <w:rFonts w:ascii="宋体" w:eastAsia="宋体" w:cs="宋体"/>
                <w:color w:val="auto"/>
                <w:kern w:val="0"/>
                <w:szCs w:val="21"/>
              </w:rPr>
            </w:pPr>
            <w:r>
              <w:rPr>
                <w:rFonts w:hint="eastAsia" w:ascii="宋体" w:eastAsia="宋体" w:cs="宋体"/>
                <w:color w:val="auto"/>
                <w:kern w:val="0"/>
                <w:szCs w:val="21"/>
              </w:rPr>
              <w:t>通用行为分析：物品遗留；物品搬移；</w:t>
            </w:r>
          </w:p>
          <w:p w14:paraId="76A4F1DD">
            <w:pPr>
              <w:pStyle w:val="8"/>
              <w:widowControl w:val="0"/>
              <w:snapToGrid w:val="0"/>
              <w:rPr>
                <w:rFonts w:ascii="宋体" w:eastAsia="宋体" w:cs="宋体"/>
                <w:color w:val="auto"/>
                <w:kern w:val="0"/>
                <w:szCs w:val="21"/>
              </w:rPr>
            </w:pPr>
            <w:r>
              <w:rPr>
                <w:rFonts w:hint="eastAsia" w:ascii="宋体" w:eastAsia="宋体" w:cs="宋体"/>
                <w:color w:val="auto"/>
                <w:kern w:val="0"/>
                <w:szCs w:val="21"/>
              </w:rPr>
              <w:t>智能说明：通道1（全景）：视频结构化，人群分布图，通用行为分析，人数统计；通道2（细节）视频结构化，人脸检测，人脸识别，通用行为分析，道路监控，人数统计；通道1（全景）和通道2（细节）智能支持两两同开；</w:t>
            </w:r>
          </w:p>
          <w:p w14:paraId="4C48E3D9">
            <w:pPr>
              <w:pStyle w:val="8"/>
              <w:widowControl w:val="0"/>
              <w:snapToGrid w:val="0"/>
              <w:rPr>
                <w:rFonts w:ascii="宋体" w:eastAsia="宋体" w:cs="宋体"/>
                <w:color w:val="auto"/>
                <w:kern w:val="0"/>
                <w:szCs w:val="21"/>
              </w:rPr>
            </w:pPr>
            <w:r>
              <w:rPr>
                <w:rFonts w:hint="eastAsia" w:ascii="宋体" w:eastAsia="宋体" w:cs="宋体"/>
                <w:color w:val="auto"/>
                <w:kern w:val="0"/>
                <w:szCs w:val="21"/>
              </w:rPr>
              <w:t>深度智能：支持；</w:t>
            </w:r>
          </w:p>
          <w:p w14:paraId="52D72D75">
            <w:pPr>
              <w:pStyle w:val="8"/>
              <w:widowControl w:val="0"/>
              <w:snapToGrid w:val="0"/>
              <w:rPr>
                <w:rFonts w:ascii="宋体" w:eastAsia="宋体" w:cs="宋体"/>
                <w:color w:val="auto"/>
                <w:kern w:val="0"/>
                <w:szCs w:val="21"/>
              </w:rPr>
            </w:pPr>
            <w:r>
              <w:rPr>
                <w:rFonts w:hint="eastAsia" w:ascii="宋体" w:eastAsia="宋体" w:cs="宋体"/>
                <w:color w:val="auto"/>
                <w:kern w:val="0"/>
                <w:szCs w:val="21"/>
              </w:rPr>
              <w:t>周界防范：绊线入侵；区域入侵；快速移动（三项均支持人车分类及精准检测）；徘徊检测；人员聚集；停车检测；</w:t>
            </w:r>
          </w:p>
          <w:p w14:paraId="77ED47A2">
            <w:pPr>
              <w:pStyle w:val="8"/>
              <w:widowControl w:val="0"/>
              <w:snapToGrid w:val="0"/>
              <w:rPr>
                <w:rFonts w:ascii="宋体" w:eastAsia="宋体" w:cs="宋体"/>
                <w:color w:val="auto"/>
                <w:kern w:val="0"/>
                <w:szCs w:val="21"/>
              </w:rPr>
            </w:pPr>
            <w:r>
              <w:rPr>
                <w:rFonts w:hint="eastAsia" w:ascii="宋体" w:eastAsia="宋体" w:cs="宋体"/>
                <w:color w:val="auto"/>
                <w:kern w:val="0"/>
                <w:szCs w:val="21"/>
              </w:rPr>
              <w:t>人脸检测：支持人脸检测；支持跟踪；支持优选；支持抓拍；支持上报最优的人脸抓图；支持人脸增强，支持人脸曝光；支持人脸属性提取，支持6种属性8种表情：性别，年龄，眼镜，表情（愤怒，平静，高兴，悲伤，厌恶，惊讶，困惑，害怕），口罩，胡子；支持人脸抠图区域可设:人脸， 单寸照，自定义；支持实时抓拍、优选抓拍、质量优先三种抓拍策略；支持人脸角度过滤功能；支持优选时长可设；</w:t>
            </w:r>
          </w:p>
          <w:p w14:paraId="066FBC76">
            <w:pPr>
              <w:pStyle w:val="8"/>
              <w:widowControl w:val="0"/>
              <w:snapToGrid w:val="0"/>
              <w:rPr>
                <w:rFonts w:ascii="宋体" w:eastAsia="宋体" w:cs="宋体"/>
                <w:color w:val="auto"/>
                <w:kern w:val="0"/>
                <w:szCs w:val="21"/>
              </w:rPr>
            </w:pPr>
            <w:r>
              <w:rPr>
                <w:rFonts w:hint="eastAsia" w:ascii="宋体" w:eastAsia="宋体" w:cs="宋体"/>
                <w:color w:val="auto"/>
                <w:kern w:val="0"/>
                <w:szCs w:val="21"/>
              </w:rPr>
              <w:t>人脸识别：支持人脸检测；支持跟踪；支持优选；支持抓拍；支持上报最优的人脸抓图；支持人脸增强，人脸曝光；支持人脸属性提取，支持6种属性8种表情：性别，年龄，眼镜，表情（愤怒，平静，高兴，悲伤，厌恶，惊讶，困惑，害怕），口罩，胡子；支持人脸抠图区域可设：人脸，单寸照，自定义；支持优选抓拍、识别优先2种抓拍策略；支持人脸角度过滤功能；支持优选时长可设；支持添加5个人脸库；支持单个以及批量人员注册；支持人脸识别相似度设置；支持10万人脸底库比对。；</w:t>
            </w:r>
          </w:p>
          <w:p w14:paraId="6BB94794">
            <w:pPr>
              <w:pStyle w:val="8"/>
              <w:widowControl w:val="0"/>
              <w:snapToGrid w:val="0"/>
              <w:rPr>
                <w:rFonts w:ascii="宋体" w:eastAsia="宋体" w:cs="宋体"/>
                <w:color w:val="auto"/>
                <w:kern w:val="0"/>
                <w:szCs w:val="21"/>
              </w:rPr>
            </w:pPr>
            <w:r>
              <w:rPr>
                <w:rFonts w:hint="eastAsia" w:ascii="宋体" w:eastAsia="宋体" w:cs="宋体"/>
                <w:color w:val="auto"/>
                <w:kern w:val="0"/>
                <w:szCs w:val="21"/>
              </w:rPr>
              <w:t>人数统计：支持绊线人数统计，并可显示及输出日、月、年统计报表；支持区域内人数统计，支持排队管理功能，并可显示及输出日、月统计报表；支持4个绊线人数统计，4个区域内人数统计，4个排队管理功能；</w:t>
            </w:r>
          </w:p>
          <w:p w14:paraId="5F6617B8">
            <w:pPr>
              <w:pStyle w:val="8"/>
              <w:widowControl w:val="0"/>
              <w:snapToGrid w:val="0"/>
              <w:rPr>
                <w:rFonts w:ascii="宋体" w:eastAsia="宋体" w:cs="宋体"/>
                <w:color w:val="auto"/>
                <w:kern w:val="0"/>
                <w:szCs w:val="21"/>
              </w:rPr>
            </w:pPr>
            <w:r>
              <w:rPr>
                <w:rFonts w:hint="eastAsia" w:ascii="宋体" w:eastAsia="宋体" w:cs="宋体"/>
                <w:color w:val="auto"/>
                <w:kern w:val="0"/>
                <w:szCs w:val="21"/>
              </w:rPr>
              <w:t>人群分布图：支持；</w:t>
            </w:r>
          </w:p>
          <w:p w14:paraId="44669D00">
            <w:pPr>
              <w:pStyle w:val="8"/>
              <w:widowControl w:val="0"/>
              <w:snapToGrid w:val="0"/>
              <w:rPr>
                <w:rFonts w:ascii="宋体" w:eastAsia="宋体" w:cs="宋体"/>
                <w:color w:val="auto"/>
                <w:kern w:val="0"/>
                <w:szCs w:val="21"/>
              </w:rPr>
            </w:pPr>
            <w:r>
              <w:rPr>
                <w:rFonts w:hint="eastAsia" w:ascii="宋体" w:eastAsia="宋体" w:cs="宋体"/>
                <w:color w:val="auto"/>
                <w:kern w:val="0"/>
                <w:szCs w:val="21"/>
              </w:rPr>
              <w:t>道路监控：支持非机动车逆行检测；支持机动车占道检测；支持卡口；支持交通拥堵；支持绘制4个车道；支持车道方向可设；支持车辆拥堵阈值可设；支持拥堵时间可设；</w:t>
            </w:r>
          </w:p>
          <w:p w14:paraId="6C8FBB1C">
            <w:pPr>
              <w:pStyle w:val="8"/>
              <w:widowControl w:val="0"/>
              <w:snapToGrid w:val="0"/>
              <w:rPr>
                <w:rFonts w:ascii="宋体" w:eastAsia="宋体" w:cs="宋体"/>
                <w:color w:val="auto"/>
                <w:kern w:val="0"/>
                <w:szCs w:val="21"/>
              </w:rPr>
            </w:pPr>
            <w:r>
              <w:rPr>
                <w:rFonts w:hint="eastAsia" w:ascii="宋体" w:eastAsia="宋体" w:cs="宋体"/>
                <w:color w:val="auto"/>
                <w:kern w:val="0"/>
                <w:szCs w:val="21"/>
              </w:rPr>
              <w:t>视频结构化：支持机动车、非机动车、人脸、人体检测；支持跟踪；支持优选；支持抓拍；支持上报最优的人脸抓图机动车属性（车牌，车辆类型，车身颜色，车牌颜色，车标，车系/年款，其他属性:遮阳板，安全带，抽烟，打电话，车内饰品，年检标志）非机动车属性（类型，车身颜色，骑车人数，上衣类型，上衣颜色）人体属性（上衣类型，下衣类型，上衣颜色，下衣颜色，背包，帽子，性别）人脸属性（性别，年龄，表情，戴眼镜，戴口罩，胡子）；</w:t>
            </w:r>
          </w:p>
          <w:p w14:paraId="660F75EF">
            <w:pPr>
              <w:pStyle w:val="8"/>
              <w:widowControl w:val="0"/>
              <w:snapToGrid w:val="0"/>
              <w:rPr>
                <w:rFonts w:ascii="宋体" w:eastAsia="宋体" w:cs="宋体"/>
                <w:color w:val="auto"/>
                <w:kern w:val="0"/>
                <w:szCs w:val="21"/>
              </w:rPr>
            </w:pPr>
            <w:r>
              <w:rPr>
                <w:rFonts w:hint="eastAsia" w:ascii="宋体" w:eastAsia="宋体" w:cs="宋体"/>
                <w:color w:val="auto"/>
                <w:kern w:val="0"/>
                <w:szCs w:val="21"/>
              </w:rPr>
              <w:t>智能检索：配合Smart NVR实现事件录像的二次智能检索、分析和浓缩播放；</w:t>
            </w:r>
          </w:p>
          <w:p w14:paraId="36AA32C0">
            <w:pPr>
              <w:pStyle w:val="8"/>
              <w:widowControl w:val="0"/>
              <w:snapToGrid w:val="0"/>
              <w:rPr>
                <w:rFonts w:ascii="宋体" w:eastAsia="宋体" w:cs="宋体"/>
                <w:color w:val="auto"/>
                <w:kern w:val="0"/>
                <w:szCs w:val="21"/>
              </w:rPr>
            </w:pPr>
            <w:r>
              <w:rPr>
                <w:rFonts w:hint="eastAsia" w:ascii="宋体" w:eastAsia="宋体" w:cs="宋体"/>
                <w:color w:val="auto"/>
                <w:kern w:val="0"/>
                <w:szCs w:val="21"/>
              </w:rPr>
              <w:t>视频压缩标准：H.265；H.264；H.264H；H.264B；MJPEG（仅辅码流支持）；</w:t>
            </w:r>
          </w:p>
          <w:p w14:paraId="171A4E92">
            <w:pPr>
              <w:pStyle w:val="8"/>
              <w:widowControl w:val="0"/>
              <w:snapToGrid w:val="0"/>
              <w:rPr>
                <w:rFonts w:ascii="宋体" w:eastAsia="宋体" w:cs="宋体"/>
                <w:color w:val="auto"/>
                <w:kern w:val="0"/>
                <w:szCs w:val="21"/>
              </w:rPr>
            </w:pPr>
            <w:r>
              <w:rPr>
                <w:rFonts w:hint="eastAsia" w:ascii="宋体" w:eastAsia="宋体" w:cs="宋体"/>
                <w:color w:val="auto"/>
                <w:kern w:val="0"/>
                <w:szCs w:val="21"/>
              </w:rPr>
              <w:t>智能编码：H.264：支持；H.265：支持；</w:t>
            </w:r>
          </w:p>
          <w:p w14:paraId="27573E59">
            <w:pPr>
              <w:pStyle w:val="8"/>
              <w:widowControl w:val="0"/>
              <w:snapToGrid w:val="0"/>
              <w:rPr>
                <w:rFonts w:ascii="宋体" w:eastAsia="宋体" w:cs="宋体"/>
                <w:color w:val="auto"/>
                <w:kern w:val="0"/>
                <w:szCs w:val="21"/>
              </w:rPr>
            </w:pPr>
            <w:r>
              <w:rPr>
                <w:rFonts w:hint="eastAsia" w:ascii="宋体" w:eastAsia="宋体" w:cs="宋体"/>
                <w:color w:val="auto"/>
                <w:kern w:val="0"/>
                <w:szCs w:val="21"/>
              </w:rPr>
              <w:t>视频帧率：通道1（全景）：50Hz：主码流（2688×1520@25fps），辅码流（704×576@25fps），第三码流（1920×1080@25fps）；60Hz：主码流（2688×1520@30fps），辅码流（704×480@30fps），第三码流（1920×1080@30fps）；通道2（细节）：50Hz：主码流（3840×2160@25fps），辅码流（704×576@25fps），第三码流（1920×1080@25fps）；60Hz：主码流（3840×2160@30fps），辅码流（704×480@30fps），第三码流（1920×1080@30fps）；</w:t>
            </w:r>
          </w:p>
          <w:p w14:paraId="7B0FE504">
            <w:pPr>
              <w:pStyle w:val="8"/>
              <w:widowControl w:val="0"/>
              <w:snapToGrid w:val="0"/>
              <w:rPr>
                <w:rFonts w:ascii="宋体" w:eastAsia="宋体" w:cs="宋体"/>
                <w:color w:val="auto"/>
                <w:kern w:val="0"/>
                <w:szCs w:val="21"/>
              </w:rPr>
            </w:pPr>
            <w:r>
              <w:rPr>
                <w:rFonts w:hint="eastAsia" w:ascii="宋体" w:eastAsia="宋体" w:cs="宋体"/>
                <w:color w:val="auto"/>
                <w:kern w:val="0"/>
                <w:szCs w:val="21"/>
              </w:rPr>
              <w:t>宽动态：通道1（全景）：DWDR；通道2（细节）：120dB；</w:t>
            </w:r>
          </w:p>
          <w:p w14:paraId="0354CEBF">
            <w:pPr>
              <w:pStyle w:val="8"/>
              <w:widowControl w:val="0"/>
              <w:snapToGrid w:val="0"/>
              <w:rPr>
                <w:rFonts w:ascii="宋体" w:eastAsia="宋体" w:cs="宋体"/>
                <w:color w:val="auto"/>
                <w:kern w:val="0"/>
                <w:szCs w:val="21"/>
              </w:rPr>
            </w:pPr>
            <w:r>
              <w:rPr>
                <w:rFonts w:hint="eastAsia" w:ascii="宋体" w:eastAsia="宋体" w:cs="宋体"/>
                <w:color w:val="auto"/>
                <w:kern w:val="0"/>
                <w:szCs w:val="21"/>
              </w:rPr>
              <w:t>默认分辨率下默认码流：默认H.264：通道1（全景）：4096kbps（2688×1520）；通道2（细节）：8192kbps（3840×2160）；</w:t>
            </w:r>
          </w:p>
          <w:p w14:paraId="7FBFCDB4">
            <w:pPr>
              <w:pStyle w:val="8"/>
              <w:widowControl w:val="0"/>
              <w:snapToGrid w:val="0"/>
              <w:rPr>
                <w:rFonts w:ascii="宋体" w:eastAsia="宋体" w:cs="宋体"/>
                <w:color w:val="auto"/>
                <w:kern w:val="0"/>
                <w:szCs w:val="21"/>
              </w:rPr>
            </w:pPr>
            <w:r>
              <w:rPr>
                <w:rFonts w:hint="eastAsia" w:ascii="宋体" w:eastAsia="宋体" w:cs="宋体"/>
                <w:color w:val="auto"/>
                <w:kern w:val="0"/>
                <w:szCs w:val="21"/>
              </w:rPr>
              <w:t>内置麦克风：支持，内置双麦克风；</w:t>
            </w:r>
          </w:p>
          <w:p w14:paraId="14AEF659">
            <w:pPr>
              <w:pStyle w:val="8"/>
              <w:widowControl w:val="0"/>
              <w:snapToGrid w:val="0"/>
              <w:rPr>
                <w:rFonts w:ascii="宋体" w:eastAsia="宋体" w:cs="宋体"/>
                <w:color w:val="auto"/>
                <w:kern w:val="0"/>
                <w:szCs w:val="21"/>
              </w:rPr>
            </w:pPr>
            <w:r>
              <w:rPr>
                <w:rFonts w:hint="eastAsia" w:ascii="宋体" w:eastAsia="宋体" w:cs="宋体"/>
                <w:color w:val="auto"/>
                <w:kern w:val="0"/>
                <w:szCs w:val="21"/>
              </w:rPr>
              <w:t>内置扬声器：支持，内置1个扬声器；</w:t>
            </w:r>
          </w:p>
          <w:p w14:paraId="3EBCE612">
            <w:pPr>
              <w:pStyle w:val="8"/>
              <w:widowControl w:val="0"/>
              <w:snapToGrid w:val="0"/>
              <w:rPr>
                <w:rFonts w:ascii="宋体" w:eastAsia="宋体" w:cs="宋体"/>
                <w:color w:val="auto"/>
                <w:kern w:val="0"/>
                <w:szCs w:val="21"/>
              </w:rPr>
            </w:pPr>
            <w:r>
              <w:rPr>
                <w:rFonts w:hint="eastAsia" w:ascii="宋体" w:eastAsia="宋体" w:cs="宋体"/>
                <w:color w:val="auto"/>
                <w:kern w:val="0"/>
                <w:szCs w:val="21"/>
              </w:rPr>
              <w:t>网络接口：1个（RJ-45网口，支持10M/100M/1000M 网络数据）；</w:t>
            </w:r>
          </w:p>
          <w:p w14:paraId="11ADDD3C">
            <w:pPr>
              <w:pStyle w:val="8"/>
              <w:widowControl w:val="0"/>
              <w:snapToGrid w:val="0"/>
              <w:rPr>
                <w:rFonts w:ascii="宋体" w:eastAsia="宋体" w:cs="宋体"/>
                <w:color w:val="auto"/>
                <w:kern w:val="0"/>
                <w:szCs w:val="21"/>
              </w:rPr>
            </w:pPr>
            <w:r>
              <w:rPr>
                <w:rFonts w:hint="eastAsia" w:ascii="宋体" w:eastAsia="宋体" w:cs="宋体"/>
                <w:color w:val="auto"/>
                <w:kern w:val="0"/>
                <w:szCs w:val="21"/>
              </w:rPr>
              <w:t>接入标准：ONVIF（Profile S &amp; Profile G &amp; Profile T）；CGI；GB/T28181-2022（双国标）；GA/T1400；</w:t>
            </w:r>
            <w:r>
              <w:rPr>
                <w:rFonts w:hint="eastAsia" w:ascii="宋体" w:eastAsia="宋体" w:cs="宋体"/>
                <w:b/>
                <w:bCs/>
                <w:color w:val="auto"/>
                <w:kern w:val="0"/>
                <w:szCs w:val="21"/>
              </w:rPr>
              <w:t>云联</w:t>
            </w:r>
            <w:r>
              <w:rPr>
                <w:rFonts w:hint="eastAsia" w:ascii="宋体" w:eastAsia="宋体" w:cs="宋体"/>
                <w:b/>
                <w:bCs/>
                <w:color w:val="auto"/>
                <w:kern w:val="0"/>
                <w:szCs w:val="21"/>
                <w:lang w:val="en-US" w:eastAsia="zh-CN"/>
              </w:rPr>
              <w:t>系统</w:t>
            </w:r>
            <w:r>
              <w:rPr>
                <w:rFonts w:hint="eastAsia" w:ascii="宋体" w:eastAsia="宋体" w:cs="宋体"/>
                <w:color w:val="auto"/>
                <w:kern w:val="0"/>
                <w:szCs w:val="21"/>
              </w:rPr>
              <w:t>；GB/35114A；</w:t>
            </w:r>
          </w:p>
          <w:p w14:paraId="2D561C86">
            <w:pPr>
              <w:pStyle w:val="8"/>
              <w:widowControl w:val="0"/>
              <w:snapToGrid w:val="0"/>
              <w:rPr>
                <w:rFonts w:ascii="宋体" w:eastAsia="宋体" w:cs="宋体"/>
                <w:color w:val="auto"/>
                <w:kern w:val="0"/>
                <w:szCs w:val="21"/>
              </w:rPr>
            </w:pPr>
            <w:r>
              <w:rPr>
                <w:rFonts w:hint="eastAsia" w:ascii="宋体" w:eastAsia="宋体" w:cs="宋体"/>
                <w:color w:val="auto"/>
                <w:kern w:val="0"/>
                <w:szCs w:val="21"/>
              </w:rPr>
              <w:t>最大Micro SD卡：512GB；</w:t>
            </w:r>
          </w:p>
          <w:p w14:paraId="3D65184D">
            <w:pPr>
              <w:pStyle w:val="8"/>
              <w:widowControl w:val="0"/>
              <w:snapToGrid w:val="0"/>
              <w:rPr>
                <w:rFonts w:ascii="宋体" w:eastAsia="宋体" w:cs="宋体"/>
                <w:color w:val="auto"/>
                <w:kern w:val="0"/>
                <w:szCs w:val="21"/>
              </w:rPr>
            </w:pPr>
            <w:r>
              <w:rPr>
                <w:rFonts w:hint="eastAsia" w:ascii="宋体" w:eastAsia="宋体" w:cs="宋体"/>
                <w:color w:val="auto"/>
                <w:kern w:val="0"/>
                <w:szCs w:val="21"/>
              </w:rPr>
              <w:t>低照等级：星光；</w:t>
            </w:r>
          </w:p>
          <w:p w14:paraId="43872B51">
            <w:pPr>
              <w:pStyle w:val="8"/>
              <w:widowControl w:val="0"/>
              <w:snapToGrid w:val="0"/>
              <w:rPr>
                <w:rFonts w:ascii="宋体" w:eastAsia="宋体" w:cs="宋体"/>
                <w:color w:val="auto"/>
                <w:kern w:val="0"/>
                <w:szCs w:val="21"/>
              </w:rPr>
            </w:pPr>
            <w:r>
              <w:rPr>
                <w:rFonts w:hint="eastAsia" w:ascii="宋体" w:eastAsia="宋体" w:cs="宋体"/>
                <w:color w:val="auto"/>
                <w:kern w:val="0"/>
                <w:szCs w:val="21"/>
              </w:rPr>
              <w:t>供电方式：DC12V，5A；</w:t>
            </w:r>
          </w:p>
          <w:p w14:paraId="24AB680C">
            <w:pPr>
              <w:pStyle w:val="8"/>
              <w:widowControl w:val="0"/>
              <w:snapToGrid w:val="0"/>
              <w:rPr>
                <w:rFonts w:ascii="宋体" w:eastAsia="宋体" w:cs="宋体"/>
                <w:color w:val="auto"/>
                <w:kern w:val="0"/>
                <w:szCs w:val="21"/>
              </w:rPr>
            </w:pPr>
            <w:r>
              <w:rPr>
                <w:rFonts w:hint="eastAsia" w:ascii="宋体" w:eastAsia="宋体" w:cs="宋体"/>
                <w:color w:val="auto"/>
                <w:kern w:val="0"/>
                <w:szCs w:val="21"/>
              </w:rPr>
              <w:t>防护等级：IP67；</w:t>
            </w:r>
          </w:p>
          <w:p w14:paraId="7C0C8178">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防腐蚀等级：普通防护*该级别的产品适用于不需要特定防腐保护的区域。</w:t>
            </w:r>
          </w:p>
        </w:tc>
        <w:tc>
          <w:tcPr>
            <w:tcW w:w="846" w:type="dxa"/>
            <w:shd w:val="clear" w:color="auto" w:fill="auto"/>
            <w:vAlign w:val="center"/>
          </w:tcPr>
          <w:p w14:paraId="3F63F611">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2</w:t>
            </w:r>
          </w:p>
        </w:tc>
        <w:tc>
          <w:tcPr>
            <w:tcW w:w="465" w:type="dxa"/>
            <w:shd w:val="clear" w:color="auto" w:fill="auto"/>
            <w:vAlign w:val="center"/>
          </w:tcPr>
          <w:p w14:paraId="02EE3E81">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台</w:t>
            </w:r>
          </w:p>
        </w:tc>
      </w:tr>
      <w:tr w14:paraId="49C3F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55803915">
            <w:pPr>
              <w:widowControl w:val="0"/>
              <w:snapToGrid w:val="0"/>
              <w:jc w:val="center"/>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2</w:t>
            </w:r>
          </w:p>
        </w:tc>
        <w:tc>
          <w:tcPr>
            <w:tcW w:w="1058" w:type="dxa"/>
            <w:shd w:val="clear" w:color="auto" w:fill="auto"/>
            <w:vAlign w:val="center"/>
          </w:tcPr>
          <w:p w14:paraId="46DFF0DF">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LED暖色补光灯</w:t>
            </w:r>
          </w:p>
        </w:tc>
        <w:tc>
          <w:tcPr>
            <w:tcW w:w="7032" w:type="dxa"/>
            <w:shd w:val="clear" w:color="auto" w:fill="auto"/>
            <w:vAlign w:val="center"/>
          </w:tcPr>
          <w:p w14:paraId="21E38915">
            <w:pPr>
              <w:pStyle w:val="8"/>
              <w:widowControl w:val="0"/>
              <w:snapToGrid w:val="0"/>
              <w:rPr>
                <w:rFonts w:ascii="宋体" w:eastAsia="宋体" w:cs="宋体"/>
                <w:color w:val="auto"/>
                <w:kern w:val="0"/>
                <w:szCs w:val="21"/>
              </w:rPr>
            </w:pPr>
            <w:r>
              <w:rPr>
                <w:rFonts w:hint="eastAsia" w:ascii="宋体" w:eastAsia="宋体" w:cs="宋体"/>
                <w:color w:val="auto"/>
                <w:kern w:val="0"/>
                <w:szCs w:val="21"/>
              </w:rPr>
              <w:t>1、光源类型：原装进口大功率LED，三车道补光</w:t>
            </w:r>
          </w:p>
          <w:p w14:paraId="137333A4">
            <w:pPr>
              <w:pStyle w:val="8"/>
              <w:widowControl w:val="0"/>
              <w:snapToGrid w:val="0"/>
              <w:rPr>
                <w:rFonts w:ascii="宋体" w:eastAsia="宋体" w:cs="宋体"/>
                <w:color w:val="auto"/>
                <w:kern w:val="0"/>
                <w:szCs w:val="21"/>
              </w:rPr>
            </w:pPr>
            <w:r>
              <w:rPr>
                <w:rFonts w:hint="eastAsia" w:ascii="宋体" w:eastAsia="宋体" w:cs="宋体"/>
                <w:color w:val="auto"/>
                <w:kern w:val="0"/>
                <w:szCs w:val="21"/>
              </w:rPr>
              <w:t>2、可通过RS485实现可调亮度</w:t>
            </w:r>
          </w:p>
          <w:p w14:paraId="659601A9">
            <w:pPr>
              <w:pStyle w:val="8"/>
              <w:widowControl w:val="0"/>
              <w:snapToGrid w:val="0"/>
              <w:rPr>
                <w:rFonts w:ascii="宋体" w:eastAsia="宋体" w:cs="宋体"/>
                <w:color w:val="auto"/>
                <w:kern w:val="0"/>
                <w:szCs w:val="21"/>
              </w:rPr>
            </w:pPr>
            <w:r>
              <w:rPr>
                <w:rFonts w:hint="eastAsia" w:ascii="宋体" w:eastAsia="宋体" w:cs="宋体"/>
                <w:color w:val="auto"/>
                <w:kern w:val="0"/>
                <w:szCs w:val="21"/>
              </w:rPr>
              <w:t>3、LED灯珠数量：16颗</w:t>
            </w:r>
          </w:p>
          <w:p w14:paraId="3E9018BD">
            <w:pPr>
              <w:pStyle w:val="8"/>
              <w:widowControl w:val="0"/>
              <w:snapToGrid w:val="0"/>
              <w:rPr>
                <w:rFonts w:ascii="宋体" w:eastAsia="宋体" w:cs="宋体"/>
                <w:color w:val="auto"/>
                <w:kern w:val="0"/>
                <w:szCs w:val="21"/>
              </w:rPr>
            </w:pPr>
            <w:r>
              <w:rPr>
                <w:rFonts w:hint="eastAsia" w:ascii="宋体" w:eastAsia="宋体" w:cs="宋体"/>
                <w:color w:val="auto"/>
                <w:kern w:val="0"/>
                <w:szCs w:val="21"/>
              </w:rPr>
              <w:t>4、发光角度：40°</w:t>
            </w:r>
          </w:p>
          <w:p w14:paraId="65705CEE">
            <w:pPr>
              <w:pStyle w:val="8"/>
              <w:widowControl w:val="0"/>
              <w:snapToGrid w:val="0"/>
              <w:rPr>
                <w:rFonts w:ascii="宋体" w:eastAsia="宋体" w:cs="宋体"/>
                <w:color w:val="auto"/>
                <w:kern w:val="0"/>
                <w:szCs w:val="21"/>
              </w:rPr>
            </w:pPr>
            <w:r>
              <w:rPr>
                <w:rFonts w:hint="eastAsia" w:ascii="宋体" w:eastAsia="宋体" w:cs="宋体"/>
                <w:color w:val="auto"/>
                <w:kern w:val="0"/>
                <w:szCs w:val="21"/>
              </w:rPr>
              <w:t>5、最佳补光距离：16米-25米</w:t>
            </w:r>
          </w:p>
          <w:p w14:paraId="3CE055A6">
            <w:pPr>
              <w:pStyle w:val="8"/>
              <w:widowControl w:val="0"/>
              <w:snapToGrid w:val="0"/>
              <w:rPr>
                <w:rFonts w:ascii="宋体" w:eastAsia="宋体" w:cs="宋体"/>
                <w:color w:val="auto"/>
                <w:kern w:val="0"/>
                <w:szCs w:val="21"/>
              </w:rPr>
            </w:pPr>
            <w:r>
              <w:rPr>
                <w:rFonts w:hint="eastAsia" w:ascii="宋体" w:eastAsia="宋体" w:cs="宋体"/>
                <w:color w:val="auto"/>
                <w:kern w:val="0"/>
                <w:szCs w:val="21"/>
              </w:rPr>
              <w:t>6、触发方式：光敏控制</w:t>
            </w:r>
          </w:p>
          <w:p w14:paraId="30BF0BD5">
            <w:pPr>
              <w:pStyle w:val="8"/>
              <w:widowControl w:val="0"/>
              <w:snapToGrid w:val="0"/>
              <w:rPr>
                <w:rFonts w:ascii="宋体" w:eastAsia="宋体" w:cs="宋体"/>
                <w:color w:val="auto"/>
                <w:kern w:val="0"/>
                <w:szCs w:val="21"/>
              </w:rPr>
            </w:pPr>
            <w:r>
              <w:rPr>
                <w:rFonts w:hint="eastAsia" w:ascii="宋体" w:eastAsia="宋体" w:cs="宋体"/>
                <w:color w:val="auto"/>
                <w:kern w:val="0"/>
                <w:szCs w:val="21"/>
              </w:rPr>
              <w:t>7、防护等级：IP66</w:t>
            </w:r>
          </w:p>
          <w:p w14:paraId="63CDAB55">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8、功率：最大功率36W(实际功率与控制方式有关)</w:t>
            </w:r>
          </w:p>
        </w:tc>
        <w:tc>
          <w:tcPr>
            <w:tcW w:w="846" w:type="dxa"/>
            <w:shd w:val="clear" w:color="auto" w:fill="auto"/>
            <w:vAlign w:val="center"/>
          </w:tcPr>
          <w:p w14:paraId="3E793614">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2</w:t>
            </w:r>
          </w:p>
        </w:tc>
        <w:tc>
          <w:tcPr>
            <w:tcW w:w="465" w:type="dxa"/>
            <w:shd w:val="clear" w:color="auto" w:fill="auto"/>
            <w:vAlign w:val="center"/>
          </w:tcPr>
          <w:p w14:paraId="1D2DA368">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台</w:t>
            </w:r>
          </w:p>
        </w:tc>
      </w:tr>
      <w:tr w14:paraId="74AFB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4EF438B5">
            <w:pPr>
              <w:widowControl w:val="0"/>
              <w:snapToGrid w:val="0"/>
              <w:jc w:val="center"/>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3</w:t>
            </w:r>
          </w:p>
        </w:tc>
        <w:tc>
          <w:tcPr>
            <w:tcW w:w="1058" w:type="dxa"/>
            <w:shd w:val="clear" w:color="auto" w:fill="auto"/>
            <w:vAlign w:val="center"/>
          </w:tcPr>
          <w:p w14:paraId="21F2BFB8">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高清红外摄像机</w:t>
            </w:r>
          </w:p>
        </w:tc>
        <w:tc>
          <w:tcPr>
            <w:tcW w:w="7032" w:type="dxa"/>
            <w:shd w:val="clear" w:color="auto" w:fill="auto"/>
            <w:vAlign w:val="center"/>
          </w:tcPr>
          <w:p w14:paraId="66E95876">
            <w:pPr>
              <w:pStyle w:val="8"/>
              <w:widowControl w:val="0"/>
              <w:snapToGrid w:val="0"/>
              <w:rPr>
                <w:rFonts w:ascii="宋体" w:eastAsia="宋体" w:cs="宋体"/>
                <w:color w:val="auto"/>
                <w:kern w:val="0"/>
                <w:szCs w:val="21"/>
              </w:rPr>
            </w:pPr>
            <w:r>
              <w:rPr>
                <w:rFonts w:hint="eastAsia" w:ascii="宋体" w:eastAsia="宋体" w:cs="宋体"/>
                <w:color w:val="auto"/>
                <w:kern w:val="0"/>
                <w:szCs w:val="21"/>
              </w:rPr>
              <w:t>传感器类型：1/2.7英寸CMOS；</w:t>
            </w:r>
          </w:p>
          <w:p w14:paraId="08D34A53">
            <w:pPr>
              <w:pStyle w:val="8"/>
              <w:widowControl w:val="0"/>
              <w:snapToGrid w:val="0"/>
              <w:rPr>
                <w:rFonts w:ascii="宋体" w:eastAsia="宋体" w:cs="宋体"/>
                <w:color w:val="auto"/>
                <w:kern w:val="0"/>
                <w:szCs w:val="21"/>
              </w:rPr>
            </w:pPr>
            <w:r>
              <w:rPr>
                <w:rFonts w:hint="eastAsia" w:ascii="宋体" w:eastAsia="宋体" w:cs="宋体"/>
                <w:color w:val="auto"/>
                <w:kern w:val="0"/>
                <w:szCs w:val="21"/>
              </w:rPr>
              <w:t>像素：400万；</w:t>
            </w:r>
          </w:p>
          <w:p w14:paraId="6A2D6D89">
            <w:pPr>
              <w:pStyle w:val="8"/>
              <w:widowControl w:val="0"/>
              <w:snapToGrid w:val="0"/>
              <w:rPr>
                <w:rFonts w:ascii="宋体" w:eastAsia="宋体" w:cs="宋体"/>
                <w:color w:val="auto"/>
                <w:kern w:val="0"/>
                <w:szCs w:val="21"/>
              </w:rPr>
            </w:pPr>
            <w:r>
              <w:rPr>
                <w:rFonts w:hint="eastAsia" w:ascii="宋体" w:eastAsia="宋体" w:cs="宋体"/>
                <w:color w:val="auto"/>
                <w:kern w:val="0"/>
                <w:szCs w:val="21"/>
              </w:rPr>
              <w:t>最大分辨率：2688×1520；</w:t>
            </w:r>
          </w:p>
          <w:p w14:paraId="6F79EADA">
            <w:pPr>
              <w:pStyle w:val="8"/>
              <w:widowControl w:val="0"/>
              <w:snapToGrid w:val="0"/>
              <w:rPr>
                <w:rFonts w:ascii="宋体" w:eastAsia="宋体" w:cs="宋体"/>
                <w:color w:val="auto"/>
                <w:kern w:val="0"/>
                <w:szCs w:val="21"/>
              </w:rPr>
            </w:pPr>
            <w:r>
              <w:rPr>
                <w:rFonts w:hint="eastAsia" w:ascii="宋体" w:eastAsia="宋体" w:cs="宋体"/>
                <w:color w:val="auto"/>
                <w:kern w:val="0"/>
                <w:szCs w:val="21"/>
              </w:rPr>
              <w:t>最低照度：0.002lux（彩色模式）；0.0002lux（黑白模式）；0lux（补光灯开启）；</w:t>
            </w:r>
          </w:p>
          <w:p w14:paraId="4B937266">
            <w:pPr>
              <w:pStyle w:val="8"/>
              <w:widowControl w:val="0"/>
              <w:snapToGrid w:val="0"/>
              <w:rPr>
                <w:rFonts w:ascii="宋体" w:eastAsia="宋体" w:cs="宋体"/>
                <w:color w:val="auto"/>
                <w:kern w:val="0"/>
                <w:szCs w:val="21"/>
              </w:rPr>
            </w:pPr>
            <w:r>
              <w:rPr>
                <w:rFonts w:hint="eastAsia" w:ascii="宋体" w:eastAsia="宋体" w:cs="宋体"/>
                <w:color w:val="auto"/>
                <w:kern w:val="0"/>
                <w:szCs w:val="21"/>
              </w:rPr>
              <w:t>最大补光距离：60m（红外视频监控距离）30m（暖光视频监控距离）；</w:t>
            </w:r>
          </w:p>
          <w:p w14:paraId="759A495B">
            <w:pPr>
              <w:pStyle w:val="8"/>
              <w:widowControl w:val="0"/>
              <w:snapToGrid w:val="0"/>
              <w:rPr>
                <w:rFonts w:ascii="宋体" w:eastAsia="宋体" w:cs="宋体"/>
                <w:color w:val="auto"/>
                <w:kern w:val="0"/>
                <w:szCs w:val="21"/>
              </w:rPr>
            </w:pPr>
            <w:r>
              <w:rPr>
                <w:rFonts w:hint="eastAsia" w:ascii="宋体" w:eastAsia="宋体" w:cs="宋体"/>
                <w:color w:val="auto"/>
                <w:kern w:val="0"/>
                <w:szCs w:val="21"/>
              </w:rPr>
              <w:t>补光灯：4颗（多晶（红外+暖光）灯）；</w:t>
            </w:r>
          </w:p>
          <w:p w14:paraId="5433E9EA">
            <w:pPr>
              <w:pStyle w:val="8"/>
              <w:widowControl w:val="0"/>
              <w:snapToGrid w:val="0"/>
              <w:rPr>
                <w:rFonts w:ascii="宋体" w:eastAsia="宋体" w:cs="宋体"/>
                <w:color w:val="auto"/>
                <w:kern w:val="0"/>
                <w:szCs w:val="21"/>
              </w:rPr>
            </w:pPr>
            <w:r>
              <w:rPr>
                <w:rFonts w:hint="eastAsia" w:ascii="宋体" w:eastAsia="宋体" w:cs="宋体"/>
                <w:color w:val="auto"/>
                <w:kern w:val="0"/>
                <w:szCs w:val="21"/>
              </w:rPr>
              <w:t>镜头类型：定焦；</w:t>
            </w:r>
          </w:p>
          <w:p w14:paraId="6CE60C97">
            <w:pPr>
              <w:pStyle w:val="8"/>
              <w:widowControl w:val="0"/>
              <w:snapToGrid w:val="0"/>
              <w:rPr>
                <w:rFonts w:ascii="宋体" w:eastAsia="宋体" w:cs="宋体"/>
                <w:color w:val="auto"/>
                <w:kern w:val="0"/>
                <w:szCs w:val="21"/>
              </w:rPr>
            </w:pPr>
            <w:r>
              <w:rPr>
                <w:rFonts w:hint="eastAsia" w:ascii="宋体" w:eastAsia="宋体" w:cs="宋体"/>
                <w:color w:val="auto"/>
                <w:kern w:val="0"/>
                <w:szCs w:val="21"/>
              </w:rPr>
              <w:t>镜头焦距：2.8mm；</w:t>
            </w:r>
          </w:p>
          <w:p w14:paraId="572808D3">
            <w:pPr>
              <w:pStyle w:val="8"/>
              <w:widowControl w:val="0"/>
              <w:snapToGrid w:val="0"/>
              <w:rPr>
                <w:rFonts w:ascii="宋体" w:eastAsia="宋体" w:cs="宋体"/>
                <w:color w:val="auto"/>
                <w:kern w:val="0"/>
                <w:szCs w:val="21"/>
              </w:rPr>
            </w:pPr>
            <w:r>
              <w:rPr>
                <w:rFonts w:hint="eastAsia" w:ascii="宋体" w:eastAsia="宋体" w:cs="宋体"/>
                <w:color w:val="auto"/>
                <w:kern w:val="0"/>
                <w:szCs w:val="21"/>
              </w:rPr>
              <w:t>镜头光圈：F1.6；</w:t>
            </w:r>
          </w:p>
          <w:p w14:paraId="52CED933">
            <w:pPr>
              <w:pStyle w:val="8"/>
              <w:widowControl w:val="0"/>
              <w:snapToGrid w:val="0"/>
              <w:rPr>
                <w:rFonts w:ascii="宋体" w:eastAsia="宋体" w:cs="宋体"/>
                <w:color w:val="auto"/>
                <w:kern w:val="0"/>
                <w:szCs w:val="21"/>
              </w:rPr>
            </w:pPr>
            <w:r>
              <w:rPr>
                <w:rFonts w:hint="eastAsia" w:ascii="宋体" w:eastAsia="宋体" w:cs="宋体"/>
                <w:color w:val="auto"/>
                <w:kern w:val="0"/>
                <w:szCs w:val="21"/>
              </w:rPr>
              <w:t>视场角：水平：100.7°；垂直：56.3°；对角：117.4°；</w:t>
            </w:r>
          </w:p>
          <w:p w14:paraId="16EE065D">
            <w:pPr>
              <w:pStyle w:val="8"/>
              <w:widowControl w:val="0"/>
              <w:snapToGrid w:val="0"/>
              <w:rPr>
                <w:rFonts w:ascii="宋体" w:eastAsia="宋体" w:cs="宋体"/>
                <w:color w:val="auto"/>
                <w:kern w:val="0"/>
                <w:szCs w:val="21"/>
              </w:rPr>
            </w:pPr>
            <w:r>
              <w:rPr>
                <w:rFonts w:hint="eastAsia" w:ascii="宋体" w:eastAsia="宋体" w:cs="宋体"/>
                <w:color w:val="auto"/>
                <w:kern w:val="0"/>
                <w:szCs w:val="21"/>
              </w:rPr>
              <w:t>通用行为分析：物品遗留；物品搬移；</w:t>
            </w:r>
          </w:p>
          <w:p w14:paraId="67BFFBF8">
            <w:pPr>
              <w:pStyle w:val="8"/>
              <w:widowControl w:val="0"/>
              <w:snapToGrid w:val="0"/>
              <w:rPr>
                <w:rFonts w:ascii="宋体" w:eastAsia="宋体" w:cs="宋体"/>
                <w:color w:val="auto"/>
                <w:kern w:val="0"/>
                <w:szCs w:val="21"/>
              </w:rPr>
            </w:pPr>
            <w:r>
              <w:rPr>
                <w:rFonts w:hint="eastAsia" w:ascii="宋体" w:eastAsia="宋体" w:cs="宋体"/>
                <w:color w:val="auto"/>
                <w:kern w:val="0"/>
                <w:szCs w:val="21"/>
              </w:rPr>
              <w:t>周界防范：绊线入侵；区域入侵；快速移动（三项均支持人车分类）；徘徊检测；人员聚集；停车检测；</w:t>
            </w:r>
          </w:p>
          <w:p w14:paraId="5E48484A">
            <w:pPr>
              <w:pStyle w:val="8"/>
              <w:widowControl w:val="0"/>
              <w:snapToGrid w:val="0"/>
              <w:rPr>
                <w:rFonts w:ascii="宋体" w:eastAsia="宋体" w:cs="宋体"/>
                <w:color w:val="auto"/>
                <w:kern w:val="0"/>
                <w:szCs w:val="21"/>
              </w:rPr>
            </w:pPr>
            <w:r>
              <w:rPr>
                <w:rFonts w:hint="eastAsia" w:ascii="宋体" w:eastAsia="宋体" w:cs="宋体"/>
                <w:color w:val="auto"/>
                <w:kern w:val="0"/>
                <w:szCs w:val="21"/>
              </w:rPr>
              <w:t>AI编码：H.264：支持；H.265：支持*包含智能编码；</w:t>
            </w:r>
          </w:p>
          <w:p w14:paraId="751C6882">
            <w:pPr>
              <w:pStyle w:val="8"/>
              <w:widowControl w:val="0"/>
              <w:snapToGrid w:val="0"/>
              <w:rPr>
                <w:rFonts w:ascii="宋体" w:eastAsia="宋体" w:cs="宋体"/>
                <w:color w:val="auto"/>
                <w:kern w:val="0"/>
                <w:szCs w:val="21"/>
              </w:rPr>
            </w:pPr>
            <w:r>
              <w:rPr>
                <w:rFonts w:hint="eastAsia" w:ascii="宋体" w:eastAsia="宋体" w:cs="宋体"/>
                <w:color w:val="auto"/>
                <w:kern w:val="0"/>
                <w:szCs w:val="21"/>
              </w:rPr>
              <w:t>宽动态：120dB；</w:t>
            </w:r>
          </w:p>
          <w:p w14:paraId="0A023757">
            <w:pPr>
              <w:pStyle w:val="8"/>
              <w:widowControl w:val="0"/>
              <w:snapToGrid w:val="0"/>
              <w:rPr>
                <w:rFonts w:ascii="宋体" w:eastAsia="宋体" w:cs="宋体"/>
                <w:color w:val="auto"/>
                <w:kern w:val="0"/>
                <w:szCs w:val="21"/>
              </w:rPr>
            </w:pPr>
            <w:r>
              <w:rPr>
                <w:rFonts w:hint="eastAsia" w:ascii="宋体" w:eastAsia="宋体" w:cs="宋体"/>
                <w:color w:val="auto"/>
                <w:kern w:val="0"/>
                <w:szCs w:val="21"/>
              </w:rPr>
              <w:t>走廊模式：90°/270°（在2688×1520分辨率及以下支持）；</w:t>
            </w:r>
          </w:p>
          <w:p w14:paraId="6B6BD204">
            <w:pPr>
              <w:pStyle w:val="8"/>
              <w:widowControl w:val="0"/>
              <w:snapToGrid w:val="0"/>
              <w:rPr>
                <w:rFonts w:ascii="宋体" w:eastAsia="宋体" w:cs="宋体"/>
                <w:color w:val="auto"/>
                <w:kern w:val="0"/>
                <w:szCs w:val="21"/>
              </w:rPr>
            </w:pPr>
            <w:r>
              <w:rPr>
                <w:rFonts w:hint="eastAsia" w:ascii="宋体" w:eastAsia="宋体" w:cs="宋体"/>
                <w:color w:val="auto"/>
                <w:kern w:val="0"/>
                <w:szCs w:val="21"/>
              </w:rPr>
              <w:t>内置麦克风：支持，内置双麦克风；</w:t>
            </w:r>
          </w:p>
          <w:p w14:paraId="0BAE545A">
            <w:pPr>
              <w:pStyle w:val="8"/>
              <w:widowControl w:val="0"/>
              <w:snapToGrid w:val="0"/>
              <w:rPr>
                <w:rFonts w:ascii="宋体" w:eastAsia="宋体" w:cs="宋体"/>
                <w:color w:val="auto"/>
                <w:kern w:val="0"/>
                <w:szCs w:val="21"/>
              </w:rPr>
            </w:pPr>
            <w:r>
              <w:rPr>
                <w:rFonts w:hint="eastAsia" w:ascii="宋体" w:eastAsia="宋体" w:cs="宋体"/>
                <w:color w:val="auto"/>
                <w:kern w:val="0"/>
                <w:szCs w:val="21"/>
              </w:rPr>
              <w:t>内置扬声器：支持，内置1个扬声器；</w:t>
            </w:r>
          </w:p>
          <w:p w14:paraId="532BBA55">
            <w:pPr>
              <w:pStyle w:val="8"/>
              <w:widowControl w:val="0"/>
              <w:snapToGrid w:val="0"/>
              <w:rPr>
                <w:rFonts w:ascii="宋体" w:eastAsia="宋体" w:cs="宋体"/>
                <w:color w:val="auto"/>
                <w:kern w:val="0"/>
                <w:szCs w:val="21"/>
              </w:rPr>
            </w:pPr>
            <w:r>
              <w:rPr>
                <w:rFonts w:hint="eastAsia" w:ascii="宋体" w:eastAsia="宋体" w:cs="宋体"/>
                <w:color w:val="auto"/>
                <w:kern w:val="0"/>
                <w:szCs w:val="21"/>
              </w:rPr>
              <w:t>报警事件：网络断开；IP冲突；非法访问；动态检测；视频遮挡；绊线入侵；区域入侵；快速移动；物品遗留；物品搬移；徘徊检测；人员聚集；停车检测；音频异常侦测；电压检测；SMD；安全异常；</w:t>
            </w:r>
          </w:p>
          <w:p w14:paraId="2B781341">
            <w:pPr>
              <w:pStyle w:val="8"/>
              <w:widowControl w:val="0"/>
              <w:snapToGrid w:val="0"/>
              <w:rPr>
                <w:rFonts w:ascii="宋体" w:eastAsia="宋体" w:cs="宋体"/>
                <w:color w:val="auto"/>
                <w:kern w:val="0"/>
                <w:szCs w:val="21"/>
              </w:rPr>
            </w:pPr>
            <w:r>
              <w:rPr>
                <w:rFonts w:hint="eastAsia" w:ascii="宋体" w:eastAsia="宋体" w:cs="宋体"/>
                <w:color w:val="auto"/>
                <w:kern w:val="0"/>
                <w:szCs w:val="21"/>
              </w:rPr>
              <w:t>接入标准：ONVIF（Profile S &amp; Profile T）；CGI；GB/T28181-2022（双国标）；</w:t>
            </w:r>
            <w:r>
              <w:rPr>
                <w:rFonts w:hint="eastAsia" w:ascii="宋体" w:eastAsia="宋体" w:cs="宋体"/>
                <w:b/>
                <w:bCs/>
                <w:color w:val="auto"/>
                <w:kern w:val="0"/>
                <w:szCs w:val="21"/>
              </w:rPr>
              <w:t>云联</w:t>
            </w:r>
            <w:r>
              <w:rPr>
                <w:rFonts w:hint="eastAsia" w:ascii="宋体" w:eastAsia="宋体" w:cs="宋体"/>
                <w:b/>
                <w:bCs/>
                <w:color w:val="auto"/>
                <w:kern w:val="0"/>
                <w:szCs w:val="21"/>
                <w:lang w:val="en-US" w:eastAsia="zh-CN"/>
              </w:rPr>
              <w:t>系统</w:t>
            </w:r>
            <w:r>
              <w:rPr>
                <w:rFonts w:hint="eastAsia" w:ascii="宋体" w:eastAsia="宋体" w:cs="宋体"/>
                <w:color w:val="auto"/>
                <w:kern w:val="0"/>
                <w:szCs w:val="21"/>
              </w:rPr>
              <w:t>；</w:t>
            </w:r>
          </w:p>
          <w:p w14:paraId="2F8A0C73">
            <w:pPr>
              <w:pStyle w:val="8"/>
              <w:widowControl w:val="0"/>
              <w:snapToGrid w:val="0"/>
              <w:rPr>
                <w:rFonts w:ascii="宋体" w:eastAsia="宋体" w:cs="宋体"/>
                <w:color w:val="auto"/>
                <w:kern w:val="0"/>
                <w:szCs w:val="21"/>
              </w:rPr>
            </w:pPr>
            <w:r>
              <w:rPr>
                <w:rFonts w:hint="eastAsia" w:ascii="宋体" w:eastAsia="宋体" w:cs="宋体"/>
                <w:color w:val="auto"/>
                <w:kern w:val="0"/>
                <w:szCs w:val="21"/>
              </w:rPr>
              <w:t>预览最大用户数：20个（总带宽：48M）；</w:t>
            </w:r>
          </w:p>
          <w:p w14:paraId="6ABB650E">
            <w:pPr>
              <w:pStyle w:val="8"/>
              <w:widowControl w:val="0"/>
              <w:snapToGrid w:val="0"/>
              <w:rPr>
                <w:rFonts w:ascii="宋体" w:eastAsia="宋体" w:cs="宋体"/>
                <w:color w:val="auto"/>
                <w:kern w:val="0"/>
                <w:szCs w:val="21"/>
              </w:rPr>
            </w:pPr>
            <w:r>
              <w:rPr>
                <w:rFonts w:hint="eastAsia" w:ascii="宋体" w:eastAsia="宋体" w:cs="宋体"/>
                <w:color w:val="auto"/>
                <w:kern w:val="0"/>
                <w:szCs w:val="21"/>
              </w:rPr>
              <w:t>供电方式：DC12V（±30%）；</w:t>
            </w:r>
          </w:p>
          <w:p w14:paraId="186149A0">
            <w:pPr>
              <w:pStyle w:val="8"/>
              <w:widowControl w:val="0"/>
              <w:snapToGrid w:val="0"/>
              <w:rPr>
                <w:rFonts w:ascii="宋体" w:eastAsia="宋体" w:cs="宋体"/>
                <w:color w:val="auto"/>
                <w:kern w:val="0"/>
                <w:szCs w:val="21"/>
              </w:rPr>
            </w:pPr>
            <w:r>
              <w:rPr>
                <w:rFonts w:hint="eastAsia" w:ascii="宋体" w:eastAsia="宋体" w:cs="宋体"/>
                <w:color w:val="auto"/>
                <w:kern w:val="0"/>
                <w:szCs w:val="21"/>
              </w:rPr>
              <w:t>防护等级：IP67；</w:t>
            </w:r>
          </w:p>
          <w:p w14:paraId="276EFDBF">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防腐蚀等级：普通防护*该级别的产品适用于不需要特定防腐保护的区域。</w:t>
            </w:r>
          </w:p>
        </w:tc>
        <w:tc>
          <w:tcPr>
            <w:tcW w:w="846" w:type="dxa"/>
            <w:shd w:val="clear" w:color="auto" w:fill="auto"/>
            <w:vAlign w:val="center"/>
          </w:tcPr>
          <w:p w14:paraId="65A543B1">
            <w:pPr>
              <w:widowControl w:val="0"/>
              <w:snapToGrid w:val="0"/>
              <w:jc w:val="left"/>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b/>
                <w:bCs/>
                <w:color w:val="auto"/>
                <w:kern w:val="0"/>
                <w:szCs w:val="21"/>
                <w:lang w:val="en-US" w:eastAsia="zh-CN"/>
              </w:rPr>
              <w:t>20</w:t>
            </w:r>
          </w:p>
        </w:tc>
        <w:tc>
          <w:tcPr>
            <w:tcW w:w="465" w:type="dxa"/>
            <w:shd w:val="clear" w:color="auto" w:fill="auto"/>
            <w:vAlign w:val="center"/>
          </w:tcPr>
          <w:p w14:paraId="34538717">
            <w:pPr>
              <w:widowControl w:val="0"/>
              <w:snapToGrid w:val="0"/>
              <w:jc w:val="center"/>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b/>
                <w:bCs/>
                <w:color w:val="auto"/>
                <w:kern w:val="0"/>
                <w:szCs w:val="21"/>
                <w:lang w:val="en-US" w:eastAsia="zh-CN"/>
              </w:rPr>
              <w:t>台</w:t>
            </w:r>
          </w:p>
        </w:tc>
      </w:tr>
      <w:tr w14:paraId="0FF31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3FE92F46">
            <w:pPr>
              <w:widowControl w:val="0"/>
              <w:snapToGrid w:val="0"/>
              <w:jc w:val="center"/>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4</w:t>
            </w:r>
          </w:p>
        </w:tc>
        <w:tc>
          <w:tcPr>
            <w:tcW w:w="1058" w:type="dxa"/>
            <w:shd w:val="clear" w:color="auto" w:fill="auto"/>
            <w:vAlign w:val="center"/>
          </w:tcPr>
          <w:p w14:paraId="03079F52">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借杆/借墙延伸横臂</w:t>
            </w:r>
          </w:p>
        </w:tc>
        <w:tc>
          <w:tcPr>
            <w:tcW w:w="7032" w:type="dxa"/>
            <w:shd w:val="clear" w:color="auto" w:fill="auto"/>
            <w:vAlign w:val="center"/>
          </w:tcPr>
          <w:p w14:paraId="12BC0C69">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借杆/借墙延伸横臂0.5-1.5米</w:t>
            </w:r>
          </w:p>
        </w:tc>
        <w:tc>
          <w:tcPr>
            <w:tcW w:w="846" w:type="dxa"/>
            <w:shd w:val="clear" w:color="auto" w:fill="auto"/>
            <w:vAlign w:val="center"/>
          </w:tcPr>
          <w:p w14:paraId="13C9ACD2">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2</w:t>
            </w:r>
          </w:p>
        </w:tc>
        <w:tc>
          <w:tcPr>
            <w:tcW w:w="465" w:type="dxa"/>
            <w:shd w:val="clear" w:color="auto" w:fill="auto"/>
            <w:vAlign w:val="center"/>
          </w:tcPr>
          <w:p w14:paraId="15D73448">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个</w:t>
            </w:r>
          </w:p>
        </w:tc>
      </w:tr>
      <w:tr w14:paraId="39EB4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05B3CEFF">
            <w:pPr>
              <w:widowControl w:val="0"/>
              <w:snapToGrid w:val="0"/>
              <w:jc w:val="center"/>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5</w:t>
            </w:r>
          </w:p>
        </w:tc>
        <w:tc>
          <w:tcPr>
            <w:tcW w:w="1058" w:type="dxa"/>
            <w:shd w:val="clear" w:color="auto" w:fill="auto"/>
            <w:vAlign w:val="center"/>
          </w:tcPr>
          <w:p w14:paraId="1DF45DF2">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枪机支架</w:t>
            </w:r>
          </w:p>
        </w:tc>
        <w:tc>
          <w:tcPr>
            <w:tcW w:w="7032" w:type="dxa"/>
            <w:shd w:val="clear" w:color="auto" w:fill="auto"/>
            <w:vAlign w:val="center"/>
          </w:tcPr>
          <w:p w14:paraId="04A6D29E">
            <w:pPr>
              <w:pStyle w:val="8"/>
              <w:widowControl w:val="0"/>
              <w:snapToGrid w:val="0"/>
              <w:rPr>
                <w:rFonts w:ascii="宋体" w:eastAsia="宋体" w:cs="宋体"/>
                <w:color w:val="auto"/>
                <w:kern w:val="0"/>
                <w:szCs w:val="21"/>
              </w:rPr>
            </w:pPr>
            <w:r>
              <w:rPr>
                <w:rFonts w:hint="eastAsia" w:ascii="宋体" w:eastAsia="宋体" w:cs="宋体"/>
                <w:color w:val="auto"/>
                <w:kern w:val="0"/>
                <w:szCs w:val="21"/>
              </w:rPr>
              <w:t>承重：1.0kg；</w:t>
            </w:r>
          </w:p>
          <w:p w14:paraId="46C85FD5">
            <w:pPr>
              <w:pStyle w:val="8"/>
              <w:widowControl w:val="0"/>
              <w:snapToGrid w:val="0"/>
              <w:rPr>
                <w:rFonts w:ascii="宋体" w:eastAsia="宋体" w:cs="宋体"/>
                <w:color w:val="auto"/>
                <w:kern w:val="0"/>
                <w:szCs w:val="21"/>
              </w:rPr>
            </w:pPr>
            <w:r>
              <w:rPr>
                <w:rFonts w:hint="eastAsia" w:ascii="宋体" w:eastAsia="宋体" w:cs="宋体"/>
                <w:color w:val="auto"/>
                <w:kern w:val="0"/>
                <w:szCs w:val="21"/>
              </w:rPr>
              <w:t>安装方式：壁装；</w:t>
            </w:r>
          </w:p>
          <w:p w14:paraId="4DA01DEE">
            <w:pPr>
              <w:pStyle w:val="8"/>
              <w:widowControl w:val="0"/>
              <w:snapToGrid w:val="0"/>
              <w:rPr>
                <w:rFonts w:ascii="宋体" w:eastAsia="宋体" w:cs="宋体"/>
                <w:color w:val="auto"/>
                <w:kern w:val="0"/>
                <w:szCs w:val="21"/>
              </w:rPr>
            </w:pPr>
            <w:r>
              <w:rPr>
                <w:rFonts w:hint="eastAsia" w:ascii="宋体" w:eastAsia="宋体" w:cs="宋体"/>
                <w:color w:val="auto"/>
                <w:kern w:val="0"/>
                <w:szCs w:val="21"/>
              </w:rPr>
              <w:t>可选倾角：﹣80°–+60°；</w:t>
            </w:r>
          </w:p>
          <w:p w14:paraId="094DBC1B">
            <w:pPr>
              <w:pStyle w:val="8"/>
              <w:widowControl w:val="0"/>
              <w:snapToGrid w:val="0"/>
              <w:rPr>
                <w:rFonts w:ascii="宋体" w:eastAsia="宋体" w:cs="宋体"/>
                <w:color w:val="auto"/>
                <w:kern w:val="0"/>
                <w:szCs w:val="21"/>
              </w:rPr>
            </w:pPr>
            <w:r>
              <w:rPr>
                <w:rFonts w:hint="eastAsia" w:ascii="宋体" w:eastAsia="宋体" w:cs="宋体"/>
                <w:color w:val="auto"/>
                <w:kern w:val="0"/>
                <w:szCs w:val="21"/>
              </w:rPr>
              <w:t>旋转角度：0°–360°；</w:t>
            </w:r>
          </w:p>
          <w:p w14:paraId="50F36797">
            <w:pPr>
              <w:pStyle w:val="8"/>
              <w:widowControl w:val="0"/>
              <w:snapToGrid w:val="0"/>
              <w:rPr>
                <w:rFonts w:ascii="宋体" w:eastAsia="宋体" w:cs="宋体"/>
                <w:color w:val="auto"/>
                <w:kern w:val="0"/>
                <w:szCs w:val="21"/>
              </w:rPr>
            </w:pPr>
            <w:r>
              <w:rPr>
                <w:rFonts w:hint="eastAsia" w:ascii="宋体" w:eastAsia="宋体" w:cs="宋体"/>
                <w:color w:val="auto"/>
                <w:kern w:val="0"/>
                <w:szCs w:val="21"/>
              </w:rPr>
              <w:t>适配机型：请参考选型；</w:t>
            </w:r>
          </w:p>
          <w:p w14:paraId="4AB405DE">
            <w:pPr>
              <w:pStyle w:val="8"/>
              <w:widowControl w:val="0"/>
              <w:snapToGrid w:val="0"/>
              <w:rPr>
                <w:rFonts w:ascii="宋体" w:eastAsia="宋体" w:cs="宋体"/>
                <w:color w:val="auto"/>
                <w:kern w:val="0"/>
                <w:szCs w:val="21"/>
              </w:rPr>
            </w:pPr>
            <w:r>
              <w:rPr>
                <w:rFonts w:hint="eastAsia" w:ascii="宋体" w:eastAsia="宋体" w:cs="宋体"/>
                <w:color w:val="auto"/>
                <w:kern w:val="0"/>
                <w:szCs w:val="21"/>
              </w:rPr>
              <w:t>工作温度：﹣40℃–+60℃；</w:t>
            </w:r>
          </w:p>
          <w:p w14:paraId="0FF04019">
            <w:pPr>
              <w:pStyle w:val="8"/>
              <w:widowControl w:val="0"/>
              <w:snapToGrid w:val="0"/>
              <w:rPr>
                <w:rFonts w:ascii="宋体" w:eastAsia="宋体" w:cs="宋体"/>
                <w:color w:val="auto"/>
                <w:kern w:val="0"/>
                <w:szCs w:val="21"/>
              </w:rPr>
            </w:pPr>
            <w:r>
              <w:rPr>
                <w:rFonts w:hint="eastAsia" w:ascii="宋体" w:eastAsia="宋体" w:cs="宋体"/>
                <w:color w:val="auto"/>
                <w:kern w:val="0"/>
                <w:szCs w:val="21"/>
              </w:rPr>
              <w:t>防腐蚀等级：普通防护；</w:t>
            </w:r>
          </w:p>
          <w:p w14:paraId="4D9D988A">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执行标准：Q/DXJ 064-2018</w:t>
            </w:r>
          </w:p>
        </w:tc>
        <w:tc>
          <w:tcPr>
            <w:tcW w:w="846" w:type="dxa"/>
            <w:shd w:val="clear" w:color="auto" w:fill="auto"/>
            <w:vAlign w:val="center"/>
          </w:tcPr>
          <w:p w14:paraId="6608A624">
            <w:pPr>
              <w:widowControl w:val="0"/>
              <w:snapToGrid w:val="0"/>
              <w:jc w:val="left"/>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b/>
                <w:bCs/>
                <w:color w:val="auto"/>
                <w:kern w:val="0"/>
                <w:szCs w:val="21"/>
                <w:lang w:val="en-US" w:eastAsia="zh-CN"/>
              </w:rPr>
              <w:t>20</w:t>
            </w:r>
          </w:p>
        </w:tc>
        <w:tc>
          <w:tcPr>
            <w:tcW w:w="465" w:type="dxa"/>
            <w:shd w:val="clear" w:color="auto" w:fill="auto"/>
            <w:vAlign w:val="center"/>
          </w:tcPr>
          <w:p w14:paraId="5E37710F">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b/>
                <w:bCs/>
                <w:color w:val="auto"/>
                <w:kern w:val="0"/>
                <w:szCs w:val="21"/>
              </w:rPr>
              <w:t>个</w:t>
            </w:r>
          </w:p>
        </w:tc>
      </w:tr>
      <w:tr w14:paraId="30405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1A10727B">
            <w:pPr>
              <w:widowControl w:val="0"/>
              <w:snapToGrid w:val="0"/>
              <w:jc w:val="center"/>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6</w:t>
            </w:r>
          </w:p>
        </w:tc>
        <w:tc>
          <w:tcPr>
            <w:tcW w:w="1058" w:type="dxa"/>
            <w:shd w:val="clear" w:color="auto" w:fill="auto"/>
            <w:vAlign w:val="center"/>
          </w:tcPr>
          <w:p w14:paraId="1F9CA7A9">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摄像机电源</w:t>
            </w:r>
          </w:p>
        </w:tc>
        <w:tc>
          <w:tcPr>
            <w:tcW w:w="7032" w:type="dxa"/>
            <w:shd w:val="clear" w:color="auto" w:fill="auto"/>
            <w:vAlign w:val="center"/>
          </w:tcPr>
          <w:p w14:paraId="2D9A8D6D">
            <w:pPr>
              <w:pStyle w:val="8"/>
              <w:widowControl w:val="0"/>
              <w:snapToGrid w:val="0"/>
              <w:rPr>
                <w:rFonts w:ascii="宋体" w:eastAsia="宋体" w:cs="宋体"/>
                <w:color w:val="auto"/>
                <w:kern w:val="0"/>
                <w:szCs w:val="21"/>
              </w:rPr>
            </w:pPr>
            <w:r>
              <w:rPr>
                <w:rFonts w:hint="eastAsia" w:ascii="宋体" w:eastAsia="宋体" w:cs="宋体"/>
                <w:color w:val="auto"/>
                <w:kern w:val="0"/>
                <w:szCs w:val="21"/>
              </w:rPr>
              <w:t>能效：V5；</w:t>
            </w:r>
          </w:p>
          <w:p w14:paraId="65AFBB00">
            <w:pPr>
              <w:pStyle w:val="8"/>
              <w:widowControl w:val="0"/>
              <w:snapToGrid w:val="0"/>
              <w:rPr>
                <w:rFonts w:ascii="宋体" w:eastAsia="宋体" w:cs="宋体"/>
                <w:color w:val="auto"/>
                <w:kern w:val="0"/>
                <w:szCs w:val="21"/>
              </w:rPr>
            </w:pPr>
            <w:r>
              <w:rPr>
                <w:rFonts w:hint="eastAsia" w:ascii="宋体" w:eastAsia="宋体" w:cs="宋体"/>
                <w:color w:val="auto"/>
                <w:kern w:val="0"/>
                <w:szCs w:val="21"/>
              </w:rPr>
              <w:t>认证：CCC；</w:t>
            </w:r>
          </w:p>
          <w:p w14:paraId="243832B2">
            <w:pPr>
              <w:pStyle w:val="8"/>
              <w:widowControl w:val="0"/>
              <w:snapToGrid w:val="0"/>
              <w:rPr>
                <w:rFonts w:ascii="宋体" w:eastAsia="宋体" w:cs="宋体"/>
                <w:color w:val="auto"/>
                <w:kern w:val="0"/>
                <w:szCs w:val="21"/>
              </w:rPr>
            </w:pPr>
            <w:r>
              <w:rPr>
                <w:rFonts w:hint="eastAsia" w:ascii="宋体" w:eastAsia="宋体" w:cs="宋体"/>
                <w:color w:val="auto"/>
                <w:kern w:val="0"/>
                <w:szCs w:val="21"/>
              </w:rPr>
              <w:t>输入：AC180~260V；</w:t>
            </w:r>
          </w:p>
          <w:p w14:paraId="3B7DCBA9">
            <w:pPr>
              <w:pStyle w:val="8"/>
              <w:widowControl w:val="0"/>
              <w:snapToGrid w:val="0"/>
              <w:rPr>
                <w:rFonts w:hint="eastAsia" w:ascii="宋体" w:hAnsi="宋体" w:eastAsia="宋体" w:cs="宋体"/>
                <w:strike/>
                <w:snapToGrid w:val="0"/>
                <w:color w:val="auto"/>
                <w:kern w:val="0"/>
                <w:sz w:val="21"/>
                <w:szCs w:val="21"/>
                <w:lang w:val="en-US" w:eastAsia="en-US" w:bidi="ar-SA"/>
              </w:rPr>
            </w:pPr>
            <w:r>
              <w:rPr>
                <w:rFonts w:hint="eastAsia" w:ascii="宋体" w:eastAsia="宋体" w:cs="宋体"/>
                <w:color w:val="auto"/>
                <w:kern w:val="0"/>
                <w:szCs w:val="21"/>
              </w:rPr>
              <w:t>输出：DC12V2A；</w:t>
            </w:r>
          </w:p>
        </w:tc>
        <w:tc>
          <w:tcPr>
            <w:tcW w:w="846" w:type="dxa"/>
            <w:shd w:val="clear" w:color="auto" w:fill="auto"/>
            <w:vAlign w:val="center"/>
          </w:tcPr>
          <w:p w14:paraId="46FE2C84">
            <w:pPr>
              <w:widowControl w:val="0"/>
              <w:snapToGrid w:val="0"/>
              <w:jc w:val="left"/>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b/>
                <w:bCs/>
                <w:color w:val="auto"/>
                <w:kern w:val="0"/>
                <w:szCs w:val="21"/>
                <w:lang w:val="en-US" w:eastAsia="zh-CN"/>
              </w:rPr>
              <w:t>22</w:t>
            </w:r>
          </w:p>
        </w:tc>
        <w:tc>
          <w:tcPr>
            <w:tcW w:w="465" w:type="dxa"/>
            <w:shd w:val="clear" w:color="auto" w:fill="auto"/>
            <w:vAlign w:val="center"/>
          </w:tcPr>
          <w:p w14:paraId="323F851A">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个</w:t>
            </w:r>
          </w:p>
        </w:tc>
      </w:tr>
      <w:tr w14:paraId="18A56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336722BA">
            <w:pPr>
              <w:widowControl w:val="0"/>
              <w:snapToGrid w:val="0"/>
              <w:jc w:val="center"/>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7</w:t>
            </w:r>
          </w:p>
        </w:tc>
        <w:tc>
          <w:tcPr>
            <w:tcW w:w="1058" w:type="dxa"/>
            <w:shd w:val="clear" w:color="auto" w:fill="auto"/>
            <w:vAlign w:val="center"/>
          </w:tcPr>
          <w:p w14:paraId="2DB2B4B3">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授权</w:t>
            </w:r>
          </w:p>
        </w:tc>
        <w:tc>
          <w:tcPr>
            <w:tcW w:w="7032" w:type="dxa"/>
            <w:shd w:val="clear" w:color="auto" w:fill="auto"/>
            <w:vAlign w:val="center"/>
          </w:tcPr>
          <w:p w14:paraId="06238B82">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接入保障房管理平台监控授权</w:t>
            </w:r>
          </w:p>
        </w:tc>
        <w:tc>
          <w:tcPr>
            <w:tcW w:w="846" w:type="dxa"/>
            <w:shd w:val="clear" w:color="auto" w:fill="auto"/>
            <w:vAlign w:val="center"/>
          </w:tcPr>
          <w:p w14:paraId="06763658">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10</w:t>
            </w:r>
          </w:p>
        </w:tc>
        <w:tc>
          <w:tcPr>
            <w:tcW w:w="465" w:type="dxa"/>
            <w:shd w:val="clear" w:color="auto" w:fill="auto"/>
            <w:vAlign w:val="center"/>
          </w:tcPr>
          <w:p w14:paraId="397D0E60">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路</w:t>
            </w:r>
          </w:p>
        </w:tc>
      </w:tr>
      <w:tr w14:paraId="11D840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7AA8B91E">
            <w:pPr>
              <w:widowControl w:val="0"/>
              <w:snapToGrid w:val="0"/>
              <w:jc w:val="center"/>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8</w:t>
            </w:r>
          </w:p>
        </w:tc>
        <w:tc>
          <w:tcPr>
            <w:tcW w:w="1058" w:type="dxa"/>
            <w:shd w:val="clear" w:color="auto" w:fill="auto"/>
            <w:vAlign w:val="center"/>
          </w:tcPr>
          <w:p w14:paraId="797F1A30">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8路单盘位智能分析存储器</w:t>
            </w:r>
          </w:p>
        </w:tc>
        <w:tc>
          <w:tcPr>
            <w:tcW w:w="7032" w:type="dxa"/>
            <w:shd w:val="clear" w:color="auto" w:fill="auto"/>
            <w:vAlign w:val="center"/>
          </w:tcPr>
          <w:p w14:paraId="7F7BE7BB">
            <w:pPr>
              <w:pStyle w:val="8"/>
              <w:widowControl w:val="0"/>
              <w:snapToGrid w:val="0"/>
              <w:rPr>
                <w:rFonts w:ascii="宋体" w:eastAsia="宋体" w:cs="宋体"/>
                <w:color w:val="auto"/>
                <w:kern w:val="0"/>
                <w:szCs w:val="21"/>
              </w:rPr>
            </w:pPr>
            <w:r>
              <w:rPr>
                <w:rFonts w:hint="eastAsia" w:ascii="宋体" w:eastAsia="宋体" w:cs="宋体"/>
                <w:color w:val="auto"/>
                <w:kern w:val="0"/>
                <w:szCs w:val="21"/>
              </w:rPr>
              <w:t>主处理器：工业级微控制器；</w:t>
            </w:r>
          </w:p>
          <w:p w14:paraId="178C449B">
            <w:pPr>
              <w:pStyle w:val="8"/>
              <w:widowControl w:val="0"/>
              <w:snapToGrid w:val="0"/>
              <w:rPr>
                <w:rFonts w:ascii="宋体" w:eastAsia="宋体" w:cs="宋体"/>
                <w:color w:val="auto"/>
                <w:kern w:val="0"/>
                <w:szCs w:val="21"/>
              </w:rPr>
            </w:pPr>
            <w:r>
              <w:rPr>
                <w:rFonts w:hint="eastAsia" w:ascii="宋体" w:eastAsia="宋体" w:cs="宋体"/>
                <w:color w:val="auto"/>
                <w:kern w:val="0"/>
                <w:szCs w:val="21"/>
              </w:rPr>
              <w:t>操作系统：嵌入式Linux操作系统；</w:t>
            </w:r>
          </w:p>
          <w:p w14:paraId="62FF0B41">
            <w:pPr>
              <w:pStyle w:val="8"/>
              <w:widowControl w:val="0"/>
              <w:snapToGrid w:val="0"/>
              <w:rPr>
                <w:rFonts w:ascii="宋体" w:eastAsia="宋体" w:cs="宋体"/>
                <w:color w:val="auto"/>
                <w:kern w:val="0"/>
                <w:szCs w:val="21"/>
              </w:rPr>
            </w:pPr>
            <w:r>
              <w:rPr>
                <w:rFonts w:hint="eastAsia" w:ascii="宋体" w:eastAsia="宋体" w:cs="宋体"/>
                <w:color w:val="auto"/>
                <w:kern w:val="0"/>
                <w:szCs w:val="21"/>
              </w:rPr>
              <w:t>后智能分析：支持后智能人脸检测、人脸识别、视频结构化、周界防范、智能动检、精准检索、大模型文搜、文本布控；</w:t>
            </w:r>
          </w:p>
          <w:p w14:paraId="14CBE6FD">
            <w:pPr>
              <w:pStyle w:val="8"/>
              <w:widowControl w:val="0"/>
              <w:snapToGrid w:val="0"/>
              <w:rPr>
                <w:rFonts w:ascii="宋体" w:eastAsia="宋体" w:cs="宋体"/>
                <w:color w:val="auto"/>
                <w:kern w:val="0"/>
                <w:szCs w:val="21"/>
              </w:rPr>
            </w:pPr>
            <w:r>
              <w:rPr>
                <w:rFonts w:hint="eastAsia" w:ascii="宋体" w:eastAsia="宋体" w:cs="宋体"/>
                <w:color w:val="auto"/>
                <w:kern w:val="0"/>
                <w:szCs w:val="21"/>
              </w:rPr>
              <w:t>前智能分析：支持前智能人脸检测、人脸识别、视频结构化、周界防范、智能动检、立体行为分析、人像检测、人群分布、人数统计、热度图、车牌识别、车辆密度、精准检索；</w:t>
            </w:r>
          </w:p>
          <w:p w14:paraId="6CF5431E">
            <w:pPr>
              <w:pStyle w:val="8"/>
              <w:widowControl w:val="0"/>
              <w:snapToGrid w:val="0"/>
              <w:rPr>
                <w:rFonts w:ascii="宋体" w:eastAsia="宋体" w:cs="宋体"/>
                <w:color w:val="auto"/>
                <w:kern w:val="0"/>
                <w:szCs w:val="21"/>
              </w:rPr>
            </w:pPr>
            <w:r>
              <w:rPr>
                <w:rFonts w:hint="eastAsia" w:ascii="宋体" w:eastAsia="宋体" w:cs="宋体"/>
                <w:color w:val="auto"/>
                <w:kern w:val="0"/>
                <w:szCs w:val="21"/>
              </w:rPr>
              <w:t>周界后智能性能（路数）：文搜模式：16路，每路绘制10规则线普通模式：32路，每路绘制10规则线；</w:t>
            </w:r>
          </w:p>
          <w:p w14:paraId="388EB4BD">
            <w:pPr>
              <w:pStyle w:val="8"/>
              <w:widowControl w:val="0"/>
              <w:snapToGrid w:val="0"/>
              <w:rPr>
                <w:rFonts w:ascii="宋体" w:eastAsia="宋体" w:cs="宋体"/>
                <w:color w:val="auto"/>
                <w:kern w:val="0"/>
                <w:szCs w:val="21"/>
              </w:rPr>
            </w:pPr>
            <w:r>
              <w:rPr>
                <w:rFonts w:hint="eastAsia" w:ascii="宋体" w:eastAsia="宋体" w:cs="宋体"/>
                <w:color w:val="auto"/>
                <w:kern w:val="0"/>
                <w:szCs w:val="21"/>
              </w:rPr>
              <w:t>周界前智能性能（路数）：全通道（最大处理32个事件/秒）；</w:t>
            </w:r>
          </w:p>
          <w:p w14:paraId="51FD8EEF">
            <w:pPr>
              <w:pStyle w:val="8"/>
              <w:widowControl w:val="0"/>
              <w:snapToGrid w:val="0"/>
              <w:rPr>
                <w:rFonts w:ascii="宋体" w:eastAsia="宋体" w:cs="宋体"/>
                <w:color w:val="auto"/>
                <w:kern w:val="0"/>
                <w:szCs w:val="21"/>
              </w:rPr>
            </w:pPr>
            <w:r>
              <w:rPr>
                <w:rFonts w:hint="eastAsia" w:ascii="宋体" w:eastAsia="宋体" w:cs="宋体"/>
                <w:color w:val="auto"/>
                <w:kern w:val="0"/>
                <w:szCs w:val="21"/>
              </w:rPr>
              <w:t>人脸检测后智能性能（1080P）(路数)：文搜模式：8路，单路同时最多检测12张人脸普通模式：16路，单路同时最多检测12张人脸；</w:t>
            </w:r>
          </w:p>
          <w:p w14:paraId="35A87CFB">
            <w:pPr>
              <w:pStyle w:val="8"/>
              <w:widowControl w:val="0"/>
              <w:snapToGrid w:val="0"/>
              <w:rPr>
                <w:rFonts w:ascii="宋体" w:eastAsia="宋体" w:cs="宋体"/>
                <w:color w:val="auto"/>
                <w:kern w:val="0"/>
                <w:szCs w:val="21"/>
              </w:rPr>
            </w:pPr>
            <w:r>
              <w:rPr>
                <w:rFonts w:hint="eastAsia" w:ascii="宋体" w:eastAsia="宋体" w:cs="宋体"/>
                <w:color w:val="auto"/>
                <w:kern w:val="0"/>
                <w:szCs w:val="21"/>
              </w:rPr>
              <w:t>人脸识别后智能性能（1080P）(路数)：文搜模式：1. 前端人脸检测+后端人脸比对支持32路图片流，最多同时处理32张/秒人脸；2. 后端人脸检测+后端人脸比对支持8路视频流，最多同时处理16张/秒人脸普通模式：1. 前端人脸检测+后端人脸比对支持32路图片流，最多同时处理32张/秒人脸；2. 后端人脸检测+后端人脸比对支持16路视频流，最多同时处理16张/秒人脸；</w:t>
            </w:r>
          </w:p>
          <w:p w14:paraId="5D1FA3E9">
            <w:pPr>
              <w:pStyle w:val="8"/>
              <w:widowControl w:val="0"/>
              <w:snapToGrid w:val="0"/>
              <w:rPr>
                <w:rFonts w:ascii="宋体" w:eastAsia="宋体" w:cs="宋体"/>
                <w:color w:val="auto"/>
                <w:kern w:val="0"/>
                <w:szCs w:val="21"/>
              </w:rPr>
            </w:pPr>
            <w:r>
              <w:rPr>
                <w:rFonts w:hint="eastAsia" w:ascii="宋体" w:eastAsia="宋体" w:cs="宋体"/>
                <w:color w:val="auto"/>
                <w:kern w:val="0"/>
                <w:szCs w:val="21"/>
              </w:rPr>
              <w:t>人脸识别前智能性能（路数）：全通道（最大处理32个事件/秒）；</w:t>
            </w:r>
          </w:p>
          <w:p w14:paraId="53C26572">
            <w:pPr>
              <w:pStyle w:val="8"/>
              <w:widowControl w:val="0"/>
              <w:snapToGrid w:val="0"/>
              <w:rPr>
                <w:rFonts w:ascii="宋体" w:eastAsia="宋体" w:cs="宋体"/>
                <w:color w:val="auto"/>
                <w:kern w:val="0"/>
                <w:szCs w:val="21"/>
              </w:rPr>
            </w:pPr>
            <w:r>
              <w:rPr>
                <w:rFonts w:hint="eastAsia" w:ascii="宋体" w:eastAsia="宋体" w:cs="宋体"/>
                <w:color w:val="auto"/>
                <w:kern w:val="0"/>
                <w:szCs w:val="21"/>
              </w:rPr>
              <w:t>结构化后智能性能（1080P）（路数）：文搜模式：8路普通模式：16路；</w:t>
            </w:r>
          </w:p>
          <w:p w14:paraId="7A22998F">
            <w:pPr>
              <w:pStyle w:val="8"/>
              <w:widowControl w:val="0"/>
              <w:snapToGrid w:val="0"/>
              <w:rPr>
                <w:rFonts w:ascii="宋体" w:eastAsia="宋体" w:cs="宋体"/>
                <w:color w:val="auto"/>
                <w:kern w:val="0"/>
                <w:szCs w:val="21"/>
              </w:rPr>
            </w:pPr>
            <w:r>
              <w:rPr>
                <w:rFonts w:hint="eastAsia" w:ascii="宋体" w:eastAsia="宋体" w:cs="宋体"/>
                <w:color w:val="auto"/>
                <w:kern w:val="0"/>
                <w:szCs w:val="21"/>
              </w:rPr>
              <w:t>接入路数：32路；</w:t>
            </w:r>
          </w:p>
          <w:p w14:paraId="3BE04A20">
            <w:pPr>
              <w:pStyle w:val="8"/>
              <w:widowControl w:val="0"/>
              <w:snapToGrid w:val="0"/>
              <w:rPr>
                <w:rFonts w:ascii="宋体" w:eastAsia="宋体" w:cs="宋体"/>
                <w:color w:val="auto"/>
                <w:kern w:val="0"/>
                <w:szCs w:val="21"/>
              </w:rPr>
            </w:pPr>
            <w:r>
              <w:rPr>
                <w:rFonts w:hint="eastAsia" w:ascii="宋体" w:eastAsia="宋体" w:cs="宋体"/>
                <w:color w:val="auto"/>
                <w:kern w:val="0"/>
                <w:szCs w:val="21"/>
              </w:rPr>
              <w:t>分辨率：32MP；24MP；16MP；12MP；8MP；6MP；5MP；4MP；3MP；1080p；720p；960p；D1；CIF；</w:t>
            </w:r>
          </w:p>
          <w:p w14:paraId="3BADF3F1">
            <w:pPr>
              <w:pStyle w:val="8"/>
              <w:widowControl w:val="0"/>
              <w:snapToGrid w:val="0"/>
              <w:rPr>
                <w:rFonts w:ascii="宋体" w:eastAsia="宋体" w:cs="宋体"/>
                <w:color w:val="auto"/>
                <w:kern w:val="0"/>
                <w:szCs w:val="21"/>
              </w:rPr>
            </w:pPr>
            <w:r>
              <w:rPr>
                <w:rFonts w:hint="eastAsia" w:ascii="宋体" w:eastAsia="宋体" w:cs="宋体"/>
                <w:color w:val="auto"/>
                <w:kern w:val="0"/>
                <w:szCs w:val="21"/>
              </w:rPr>
              <w:t>解码能力：不开智能：2路32MP@30fps；2路24MP@30fps；4路16MP@30fps；5路12MP@30fps；8路8MP@30fps；10路6MP@30fps；12路5MP@30fps；16路4MP@30fps；32路1080p@30fps；开智能：1路32MP@30fps；1路24MP@30fps；2路16MP@30fps；2路12MP@30fps；4路8MP@30fps；5路6MP@30fps；6路5MP@30fps；8路4MP@30fps；16路1080p@30fps；32路720p@30fps；</w:t>
            </w:r>
          </w:p>
          <w:p w14:paraId="3F9A767F">
            <w:pPr>
              <w:pStyle w:val="8"/>
              <w:widowControl w:val="0"/>
              <w:snapToGrid w:val="0"/>
              <w:rPr>
                <w:rFonts w:ascii="宋体" w:eastAsia="宋体" w:cs="宋体"/>
                <w:color w:val="auto"/>
                <w:kern w:val="0"/>
                <w:szCs w:val="21"/>
              </w:rPr>
            </w:pPr>
            <w:r>
              <w:rPr>
                <w:rFonts w:hint="eastAsia" w:ascii="宋体" w:eastAsia="宋体" w:cs="宋体"/>
                <w:color w:val="auto"/>
                <w:kern w:val="0"/>
                <w:szCs w:val="21"/>
              </w:rPr>
              <w:t>报警输入：4路；</w:t>
            </w:r>
          </w:p>
          <w:p w14:paraId="63456776">
            <w:pPr>
              <w:pStyle w:val="8"/>
              <w:widowControl w:val="0"/>
              <w:snapToGrid w:val="0"/>
              <w:rPr>
                <w:rFonts w:ascii="宋体" w:eastAsia="宋体" w:cs="宋体"/>
                <w:color w:val="auto"/>
                <w:kern w:val="0"/>
                <w:szCs w:val="21"/>
              </w:rPr>
            </w:pPr>
            <w:r>
              <w:rPr>
                <w:rFonts w:hint="eastAsia" w:ascii="宋体" w:eastAsia="宋体" w:cs="宋体"/>
                <w:color w:val="auto"/>
                <w:kern w:val="0"/>
                <w:szCs w:val="21"/>
              </w:rPr>
              <w:t>报警输出：2路；</w:t>
            </w:r>
          </w:p>
          <w:p w14:paraId="026A987E">
            <w:pPr>
              <w:pStyle w:val="8"/>
              <w:widowControl w:val="0"/>
              <w:snapToGrid w:val="0"/>
              <w:rPr>
                <w:rFonts w:ascii="宋体" w:eastAsia="宋体" w:cs="宋体"/>
                <w:color w:val="auto"/>
                <w:kern w:val="0"/>
                <w:szCs w:val="21"/>
              </w:rPr>
            </w:pPr>
            <w:r>
              <w:rPr>
                <w:rFonts w:hint="eastAsia" w:ascii="宋体" w:eastAsia="宋体" w:cs="宋体"/>
                <w:color w:val="auto"/>
                <w:kern w:val="0"/>
                <w:szCs w:val="21"/>
              </w:rPr>
              <w:t>硬盘接口：2个SATA，单盘最大20T；</w:t>
            </w:r>
          </w:p>
          <w:p w14:paraId="426E382A">
            <w:pPr>
              <w:pStyle w:val="8"/>
              <w:widowControl w:val="0"/>
              <w:snapToGrid w:val="0"/>
              <w:rPr>
                <w:rFonts w:ascii="宋体" w:eastAsia="宋体" w:cs="宋体"/>
                <w:color w:val="auto"/>
                <w:kern w:val="0"/>
                <w:szCs w:val="21"/>
              </w:rPr>
            </w:pPr>
            <w:r>
              <w:rPr>
                <w:rFonts w:hint="eastAsia" w:ascii="宋体" w:eastAsia="宋体" w:cs="宋体"/>
                <w:color w:val="auto"/>
                <w:kern w:val="0"/>
                <w:szCs w:val="21"/>
              </w:rPr>
              <w:t>RS-485接口：1个；</w:t>
            </w:r>
          </w:p>
          <w:p w14:paraId="538F2781">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网络接口：2个（10M/100M/1000M以太网口，RJ-45）</w:t>
            </w:r>
          </w:p>
        </w:tc>
        <w:tc>
          <w:tcPr>
            <w:tcW w:w="846" w:type="dxa"/>
            <w:shd w:val="clear" w:color="auto" w:fill="auto"/>
            <w:vAlign w:val="center"/>
          </w:tcPr>
          <w:p w14:paraId="7D11AADB">
            <w:pPr>
              <w:widowControl w:val="0"/>
              <w:snapToGrid w:val="0"/>
              <w:jc w:val="left"/>
              <w:rPr>
                <w:rFonts w:hint="eastAsia" w:ascii="宋体" w:hAnsi="宋体" w:eastAsia="宋体" w:cs="宋体"/>
                <w:snapToGrid w:val="0"/>
                <w:color w:val="auto"/>
                <w:kern w:val="0"/>
                <w:sz w:val="21"/>
                <w:szCs w:val="21"/>
                <w:lang w:val="en-US" w:eastAsia="en-US" w:bidi="ar-SA"/>
              </w:rPr>
            </w:pPr>
          </w:p>
        </w:tc>
        <w:tc>
          <w:tcPr>
            <w:tcW w:w="465" w:type="dxa"/>
            <w:shd w:val="clear" w:color="auto" w:fill="auto"/>
            <w:vAlign w:val="center"/>
          </w:tcPr>
          <w:p w14:paraId="37C0E590">
            <w:pPr>
              <w:widowControl w:val="0"/>
              <w:snapToGrid w:val="0"/>
              <w:jc w:val="center"/>
              <w:rPr>
                <w:rFonts w:hint="eastAsia" w:ascii="宋体" w:hAnsi="宋体" w:eastAsia="宋体" w:cs="宋体"/>
                <w:snapToGrid w:val="0"/>
                <w:color w:val="auto"/>
                <w:kern w:val="0"/>
                <w:sz w:val="21"/>
                <w:szCs w:val="21"/>
                <w:lang w:val="en-US" w:eastAsia="en-US" w:bidi="ar-SA"/>
              </w:rPr>
            </w:pPr>
          </w:p>
        </w:tc>
      </w:tr>
      <w:tr w14:paraId="2EB2C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66F1637F">
            <w:pPr>
              <w:widowControl w:val="0"/>
              <w:snapToGrid w:val="0"/>
              <w:jc w:val="center"/>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9</w:t>
            </w:r>
          </w:p>
        </w:tc>
        <w:tc>
          <w:tcPr>
            <w:tcW w:w="1058" w:type="dxa"/>
            <w:shd w:val="clear" w:color="auto" w:fill="auto"/>
            <w:vAlign w:val="center"/>
          </w:tcPr>
          <w:p w14:paraId="67DB3AB6">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16路2盘位录像存储终端</w:t>
            </w:r>
          </w:p>
        </w:tc>
        <w:tc>
          <w:tcPr>
            <w:tcW w:w="7032" w:type="dxa"/>
            <w:shd w:val="clear" w:color="auto" w:fill="auto"/>
            <w:vAlign w:val="center"/>
          </w:tcPr>
          <w:p w14:paraId="2AF0F9DF">
            <w:pPr>
              <w:pStyle w:val="8"/>
              <w:widowControl w:val="0"/>
              <w:snapToGrid w:val="0"/>
              <w:rPr>
                <w:rFonts w:ascii="宋体" w:eastAsia="宋体" w:cs="宋体"/>
                <w:color w:val="auto"/>
                <w:kern w:val="0"/>
                <w:szCs w:val="21"/>
              </w:rPr>
            </w:pPr>
            <w:r>
              <w:rPr>
                <w:rFonts w:hint="eastAsia" w:ascii="宋体" w:eastAsia="宋体" w:cs="宋体"/>
                <w:color w:val="auto"/>
                <w:kern w:val="0"/>
                <w:szCs w:val="21"/>
              </w:rPr>
              <w:t>主处理器：工业级微控制器；</w:t>
            </w:r>
          </w:p>
          <w:p w14:paraId="4C314B1D">
            <w:pPr>
              <w:pStyle w:val="8"/>
              <w:widowControl w:val="0"/>
              <w:snapToGrid w:val="0"/>
              <w:rPr>
                <w:rFonts w:ascii="宋体" w:eastAsia="宋体" w:cs="宋体"/>
                <w:color w:val="auto"/>
                <w:kern w:val="0"/>
                <w:szCs w:val="21"/>
              </w:rPr>
            </w:pPr>
            <w:r>
              <w:rPr>
                <w:rFonts w:hint="eastAsia" w:ascii="宋体" w:eastAsia="宋体" w:cs="宋体"/>
                <w:color w:val="auto"/>
                <w:kern w:val="0"/>
                <w:szCs w:val="21"/>
              </w:rPr>
              <w:t>操作系统：嵌入式Linux操作系统；</w:t>
            </w:r>
          </w:p>
          <w:p w14:paraId="4C6AED2C">
            <w:pPr>
              <w:pStyle w:val="8"/>
              <w:widowControl w:val="0"/>
              <w:snapToGrid w:val="0"/>
              <w:rPr>
                <w:rFonts w:ascii="宋体" w:eastAsia="宋体" w:cs="宋体"/>
                <w:color w:val="auto"/>
                <w:kern w:val="0"/>
                <w:szCs w:val="21"/>
              </w:rPr>
            </w:pPr>
            <w:r>
              <w:rPr>
                <w:rFonts w:hint="eastAsia" w:ascii="宋体" w:eastAsia="宋体" w:cs="宋体"/>
                <w:color w:val="auto"/>
                <w:kern w:val="0"/>
                <w:szCs w:val="21"/>
              </w:rPr>
              <w:t>后智能分析：支持后智能智能动检；</w:t>
            </w:r>
          </w:p>
          <w:p w14:paraId="14578890">
            <w:pPr>
              <w:pStyle w:val="8"/>
              <w:widowControl w:val="0"/>
              <w:snapToGrid w:val="0"/>
              <w:rPr>
                <w:rFonts w:ascii="宋体" w:eastAsia="宋体" w:cs="宋体"/>
                <w:color w:val="auto"/>
                <w:kern w:val="0"/>
                <w:szCs w:val="21"/>
              </w:rPr>
            </w:pPr>
            <w:r>
              <w:rPr>
                <w:rFonts w:hint="eastAsia" w:ascii="宋体" w:eastAsia="宋体" w:cs="宋体"/>
                <w:color w:val="auto"/>
                <w:kern w:val="0"/>
                <w:szCs w:val="21"/>
              </w:rPr>
              <w:t>前智能分析：支持前智能人脸检测、人脸识别、周界防范、智能动检、立体行为分析、人群分布、人数统计、车牌识别；</w:t>
            </w:r>
          </w:p>
          <w:p w14:paraId="77A8F369">
            <w:pPr>
              <w:pStyle w:val="8"/>
              <w:widowControl w:val="0"/>
              <w:snapToGrid w:val="0"/>
              <w:rPr>
                <w:rFonts w:ascii="宋体" w:eastAsia="宋体" w:cs="宋体"/>
                <w:color w:val="auto"/>
                <w:kern w:val="0"/>
                <w:szCs w:val="21"/>
              </w:rPr>
            </w:pPr>
            <w:r>
              <w:rPr>
                <w:rFonts w:hint="eastAsia" w:ascii="宋体" w:eastAsia="宋体" w:cs="宋体"/>
                <w:color w:val="auto"/>
                <w:kern w:val="0"/>
                <w:szCs w:val="21"/>
              </w:rPr>
              <w:t>周界前智能性能（路数）：全通道（最大处理6个事件/秒）；</w:t>
            </w:r>
          </w:p>
          <w:p w14:paraId="27E7FA84">
            <w:pPr>
              <w:pStyle w:val="8"/>
              <w:widowControl w:val="0"/>
              <w:snapToGrid w:val="0"/>
              <w:rPr>
                <w:rFonts w:ascii="宋体" w:eastAsia="宋体" w:cs="宋体"/>
                <w:color w:val="auto"/>
                <w:kern w:val="0"/>
                <w:szCs w:val="21"/>
              </w:rPr>
            </w:pPr>
            <w:r>
              <w:rPr>
                <w:rFonts w:hint="eastAsia" w:ascii="宋体" w:eastAsia="宋体" w:cs="宋体"/>
                <w:color w:val="auto"/>
                <w:kern w:val="0"/>
                <w:szCs w:val="21"/>
              </w:rPr>
              <w:t>人脸识别前智能性能（路数）：全通道（最大处理6个事件/秒）；</w:t>
            </w:r>
          </w:p>
          <w:p w14:paraId="1EA667D7">
            <w:pPr>
              <w:pStyle w:val="8"/>
              <w:widowControl w:val="0"/>
              <w:snapToGrid w:val="0"/>
              <w:rPr>
                <w:rFonts w:ascii="宋体" w:eastAsia="宋体" w:cs="宋体"/>
                <w:color w:val="auto"/>
                <w:kern w:val="0"/>
                <w:szCs w:val="21"/>
              </w:rPr>
            </w:pPr>
            <w:r>
              <w:rPr>
                <w:rFonts w:hint="eastAsia" w:ascii="宋体" w:eastAsia="宋体" w:cs="宋体"/>
                <w:color w:val="auto"/>
                <w:kern w:val="0"/>
                <w:szCs w:val="21"/>
              </w:rPr>
              <w:t>接入路数：16路；</w:t>
            </w:r>
          </w:p>
          <w:p w14:paraId="5FCA312A">
            <w:pPr>
              <w:pStyle w:val="8"/>
              <w:widowControl w:val="0"/>
              <w:snapToGrid w:val="0"/>
              <w:rPr>
                <w:rFonts w:ascii="宋体" w:eastAsia="宋体" w:cs="宋体"/>
                <w:color w:val="auto"/>
                <w:kern w:val="0"/>
                <w:szCs w:val="21"/>
              </w:rPr>
            </w:pPr>
            <w:r>
              <w:rPr>
                <w:rFonts w:hint="eastAsia" w:ascii="宋体" w:eastAsia="宋体" w:cs="宋体"/>
                <w:color w:val="auto"/>
                <w:kern w:val="0"/>
                <w:szCs w:val="21"/>
              </w:rPr>
              <w:t>分辨率：12MP；8MP；6MP；5MP；4MP；3MP；1080p；720p；960p；D1；CIF；QCIF；</w:t>
            </w:r>
          </w:p>
          <w:p w14:paraId="1D6A55C9">
            <w:pPr>
              <w:pStyle w:val="8"/>
              <w:widowControl w:val="0"/>
              <w:snapToGrid w:val="0"/>
              <w:rPr>
                <w:rFonts w:ascii="宋体" w:eastAsia="宋体" w:cs="宋体"/>
                <w:color w:val="auto"/>
                <w:kern w:val="0"/>
                <w:szCs w:val="21"/>
              </w:rPr>
            </w:pPr>
            <w:r>
              <w:rPr>
                <w:rFonts w:hint="eastAsia" w:ascii="宋体" w:eastAsia="宋体" w:cs="宋体"/>
                <w:color w:val="auto"/>
                <w:kern w:val="0"/>
                <w:szCs w:val="21"/>
              </w:rPr>
              <w:t>解码能力：不开智能：1路12MP@25fps; 2路8MP@25fps; 3路6MP@25fps; 3路5MP@25fps; 4路4MP@25fps; 10路1080p@25fps 开智能：1路12MP@25fps; 2路8MP@25fps; 3路6MP@25fps; 3路5MP@25fps; 4路4MP@25fps; 9路1080p@25fps；</w:t>
            </w:r>
          </w:p>
          <w:p w14:paraId="1919289D">
            <w:pPr>
              <w:pStyle w:val="8"/>
              <w:widowControl w:val="0"/>
              <w:snapToGrid w:val="0"/>
              <w:rPr>
                <w:rFonts w:ascii="宋体" w:eastAsia="宋体" w:cs="宋体"/>
                <w:color w:val="auto"/>
                <w:kern w:val="0"/>
                <w:szCs w:val="21"/>
              </w:rPr>
            </w:pPr>
            <w:r>
              <w:rPr>
                <w:rFonts w:hint="eastAsia" w:ascii="宋体" w:eastAsia="宋体" w:cs="宋体"/>
                <w:color w:val="auto"/>
                <w:kern w:val="0"/>
                <w:szCs w:val="21"/>
              </w:rPr>
              <w:t>报警输入：4路；</w:t>
            </w:r>
          </w:p>
          <w:p w14:paraId="270F5ABB">
            <w:pPr>
              <w:pStyle w:val="8"/>
              <w:widowControl w:val="0"/>
              <w:snapToGrid w:val="0"/>
              <w:rPr>
                <w:rFonts w:ascii="宋体" w:eastAsia="宋体" w:cs="宋体"/>
                <w:color w:val="auto"/>
                <w:kern w:val="0"/>
                <w:szCs w:val="21"/>
              </w:rPr>
            </w:pPr>
            <w:r>
              <w:rPr>
                <w:rFonts w:hint="eastAsia" w:ascii="宋体" w:eastAsia="宋体" w:cs="宋体"/>
                <w:color w:val="auto"/>
                <w:kern w:val="0"/>
                <w:szCs w:val="21"/>
              </w:rPr>
              <w:t>报警输出：2路；</w:t>
            </w:r>
          </w:p>
          <w:p w14:paraId="19B90B84">
            <w:pPr>
              <w:pStyle w:val="8"/>
              <w:widowControl w:val="0"/>
              <w:snapToGrid w:val="0"/>
              <w:rPr>
                <w:rFonts w:ascii="宋体" w:eastAsia="宋体" w:cs="宋体"/>
                <w:color w:val="auto"/>
                <w:kern w:val="0"/>
                <w:szCs w:val="21"/>
              </w:rPr>
            </w:pPr>
            <w:r>
              <w:rPr>
                <w:rFonts w:hint="eastAsia" w:ascii="宋体" w:eastAsia="宋体" w:cs="宋体"/>
                <w:color w:val="auto"/>
                <w:kern w:val="0"/>
                <w:szCs w:val="21"/>
              </w:rPr>
              <w:t>硬盘接口：2个SATA，单盘最大20T；</w:t>
            </w:r>
          </w:p>
          <w:p w14:paraId="23681F1D">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网络接口：2个（10M/100M/1000M以太网口，RJ-45）</w:t>
            </w:r>
          </w:p>
        </w:tc>
        <w:tc>
          <w:tcPr>
            <w:tcW w:w="846" w:type="dxa"/>
            <w:shd w:val="clear" w:color="auto" w:fill="auto"/>
            <w:vAlign w:val="center"/>
          </w:tcPr>
          <w:p w14:paraId="706C1ACE">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w:t>
            </w:r>
          </w:p>
        </w:tc>
        <w:tc>
          <w:tcPr>
            <w:tcW w:w="465" w:type="dxa"/>
            <w:shd w:val="clear" w:color="auto" w:fill="auto"/>
            <w:vAlign w:val="center"/>
          </w:tcPr>
          <w:p w14:paraId="60BDB2E6">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台</w:t>
            </w:r>
          </w:p>
        </w:tc>
      </w:tr>
      <w:tr w14:paraId="11A1F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06AF0AB0">
            <w:pPr>
              <w:widowControl w:val="0"/>
              <w:snapToGrid w:val="0"/>
              <w:jc w:val="center"/>
              <w:rPr>
                <w:rFonts w:hint="default"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10</w:t>
            </w:r>
          </w:p>
        </w:tc>
        <w:tc>
          <w:tcPr>
            <w:tcW w:w="1058" w:type="dxa"/>
            <w:shd w:val="clear" w:color="auto" w:fill="auto"/>
            <w:vAlign w:val="center"/>
          </w:tcPr>
          <w:p w14:paraId="22461FA8">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专用硬盘</w:t>
            </w:r>
          </w:p>
        </w:tc>
        <w:tc>
          <w:tcPr>
            <w:tcW w:w="7032" w:type="dxa"/>
            <w:shd w:val="clear" w:color="auto" w:fill="auto"/>
            <w:vAlign w:val="center"/>
          </w:tcPr>
          <w:p w14:paraId="256AB06F">
            <w:pPr>
              <w:pStyle w:val="8"/>
              <w:widowControl w:val="0"/>
              <w:snapToGrid w:val="0"/>
              <w:rPr>
                <w:rFonts w:ascii="宋体" w:eastAsia="宋体" w:cs="宋体"/>
                <w:color w:val="auto"/>
                <w:kern w:val="0"/>
                <w:szCs w:val="21"/>
              </w:rPr>
            </w:pPr>
            <w:r>
              <w:rPr>
                <w:rFonts w:hint="eastAsia" w:ascii="宋体" w:eastAsia="宋体" w:cs="宋体"/>
                <w:color w:val="auto"/>
                <w:kern w:val="0"/>
                <w:szCs w:val="21"/>
              </w:rPr>
              <w:t>单盘容量：8TB；</w:t>
            </w:r>
          </w:p>
          <w:p w14:paraId="6C4C2D99">
            <w:pPr>
              <w:pStyle w:val="8"/>
              <w:widowControl w:val="0"/>
              <w:snapToGrid w:val="0"/>
              <w:rPr>
                <w:rFonts w:ascii="宋体" w:eastAsia="宋体" w:cs="宋体"/>
                <w:color w:val="auto"/>
                <w:kern w:val="0"/>
                <w:szCs w:val="21"/>
              </w:rPr>
            </w:pPr>
            <w:r>
              <w:rPr>
                <w:rFonts w:hint="eastAsia" w:ascii="宋体" w:eastAsia="宋体" w:cs="宋体"/>
                <w:color w:val="auto"/>
                <w:kern w:val="0"/>
                <w:szCs w:val="21"/>
              </w:rPr>
              <w:t>缓存：256MB；</w:t>
            </w:r>
          </w:p>
          <w:p w14:paraId="349A5F3E">
            <w:pPr>
              <w:pStyle w:val="8"/>
              <w:widowControl w:val="0"/>
              <w:snapToGrid w:val="0"/>
              <w:rPr>
                <w:rFonts w:ascii="宋体" w:eastAsia="宋体" w:cs="宋体"/>
                <w:color w:val="auto"/>
                <w:kern w:val="0"/>
                <w:szCs w:val="21"/>
              </w:rPr>
            </w:pPr>
            <w:r>
              <w:rPr>
                <w:rFonts w:hint="eastAsia" w:ascii="宋体" w:eastAsia="宋体" w:cs="宋体"/>
                <w:color w:val="auto"/>
                <w:kern w:val="0"/>
                <w:szCs w:val="21"/>
              </w:rPr>
              <w:t>转速：7200RPM；</w:t>
            </w:r>
          </w:p>
          <w:p w14:paraId="5BB4523E">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硬盘接口：SATA</w:t>
            </w:r>
          </w:p>
        </w:tc>
        <w:tc>
          <w:tcPr>
            <w:tcW w:w="846" w:type="dxa"/>
            <w:shd w:val="clear" w:color="auto" w:fill="auto"/>
            <w:vAlign w:val="center"/>
          </w:tcPr>
          <w:p w14:paraId="01844B33">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3</w:t>
            </w:r>
          </w:p>
        </w:tc>
        <w:tc>
          <w:tcPr>
            <w:tcW w:w="465" w:type="dxa"/>
            <w:shd w:val="clear" w:color="auto" w:fill="auto"/>
            <w:vAlign w:val="center"/>
          </w:tcPr>
          <w:p w14:paraId="0ED10E81">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台</w:t>
            </w:r>
          </w:p>
        </w:tc>
      </w:tr>
      <w:tr w14:paraId="0B8F3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6CB1CCEA">
            <w:pPr>
              <w:widowControl w:val="0"/>
              <w:snapToGrid w:val="0"/>
              <w:jc w:val="center"/>
              <w:rPr>
                <w:rFonts w:hint="default"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11</w:t>
            </w:r>
          </w:p>
        </w:tc>
        <w:tc>
          <w:tcPr>
            <w:tcW w:w="1058" w:type="dxa"/>
            <w:shd w:val="clear" w:color="auto" w:fill="auto"/>
            <w:vAlign w:val="center"/>
          </w:tcPr>
          <w:p w14:paraId="6C4B1B16">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室外防水超五类非屏蔽双绞线</w:t>
            </w:r>
          </w:p>
        </w:tc>
        <w:tc>
          <w:tcPr>
            <w:tcW w:w="7032" w:type="dxa"/>
            <w:shd w:val="clear" w:color="auto" w:fill="auto"/>
            <w:vAlign w:val="center"/>
          </w:tcPr>
          <w:p w14:paraId="09A77409">
            <w:pPr>
              <w:pStyle w:val="8"/>
              <w:widowControl w:val="0"/>
              <w:tabs>
                <w:tab w:val="left" w:pos="849"/>
              </w:tabs>
              <w:snapToGrid w:val="0"/>
              <w:rPr>
                <w:rFonts w:ascii="宋体" w:eastAsia="宋体" w:cs="宋体"/>
                <w:color w:val="auto"/>
                <w:kern w:val="0"/>
                <w:szCs w:val="21"/>
              </w:rPr>
            </w:pPr>
            <w:r>
              <w:rPr>
                <w:rFonts w:hint="eastAsia" w:ascii="宋体" w:eastAsia="宋体" w:cs="宋体"/>
                <w:color w:val="auto"/>
                <w:kern w:val="0"/>
                <w:szCs w:val="21"/>
              </w:rPr>
              <w:t>标准：YD/T1019 ，型式及规格代号：HSYY-5e 4×2×0.50</w:t>
            </w:r>
          </w:p>
          <w:p w14:paraId="029A49CE">
            <w:pPr>
              <w:pStyle w:val="8"/>
              <w:widowControl w:val="0"/>
              <w:tabs>
                <w:tab w:val="left" w:pos="849"/>
              </w:tabs>
              <w:snapToGrid w:val="0"/>
              <w:rPr>
                <w:rFonts w:ascii="宋体" w:eastAsia="宋体" w:cs="宋体"/>
                <w:color w:val="auto"/>
                <w:kern w:val="0"/>
                <w:szCs w:val="21"/>
              </w:rPr>
            </w:pPr>
            <w:r>
              <w:rPr>
                <w:rFonts w:hint="eastAsia" w:ascii="宋体" w:eastAsia="宋体" w:cs="宋体"/>
                <w:color w:val="auto"/>
                <w:kern w:val="0"/>
                <w:szCs w:val="21"/>
              </w:rPr>
              <w:t>通过标准最高传输频率100MHz测试</w:t>
            </w:r>
          </w:p>
          <w:p w14:paraId="3CC8CB20">
            <w:pPr>
              <w:pStyle w:val="8"/>
              <w:widowControl w:val="0"/>
              <w:tabs>
                <w:tab w:val="left" w:pos="849"/>
              </w:tabs>
              <w:snapToGrid w:val="0"/>
              <w:rPr>
                <w:rFonts w:ascii="宋体" w:eastAsia="宋体" w:cs="宋体"/>
                <w:color w:val="auto"/>
                <w:kern w:val="0"/>
                <w:szCs w:val="21"/>
              </w:rPr>
            </w:pPr>
            <w:r>
              <w:rPr>
                <w:rFonts w:hint="eastAsia" w:ascii="宋体" w:eastAsia="宋体" w:cs="宋体"/>
                <w:color w:val="auto"/>
                <w:kern w:val="0"/>
                <w:szCs w:val="21"/>
              </w:rPr>
              <w:t>单根导体直流电阻：≤9.5Ω/100m</w:t>
            </w:r>
          </w:p>
          <w:p w14:paraId="7F85747F">
            <w:pPr>
              <w:pStyle w:val="8"/>
              <w:widowControl w:val="0"/>
              <w:tabs>
                <w:tab w:val="left" w:pos="849"/>
              </w:tabs>
              <w:snapToGrid w:val="0"/>
              <w:rPr>
                <w:rFonts w:ascii="宋体" w:eastAsia="宋体" w:cs="宋体"/>
                <w:color w:val="auto"/>
                <w:kern w:val="0"/>
                <w:szCs w:val="21"/>
              </w:rPr>
            </w:pPr>
            <w:r>
              <w:rPr>
                <w:rFonts w:hint="eastAsia" w:ascii="宋体" w:eastAsia="宋体" w:cs="宋体"/>
                <w:color w:val="auto"/>
                <w:kern w:val="0"/>
                <w:szCs w:val="21"/>
              </w:rPr>
              <w:t>标称线对数：4，导体标称直径：0.50mm，导体名称：软圆铜线，绝缘：HDPE</w:t>
            </w:r>
          </w:p>
          <w:p w14:paraId="189A42DF">
            <w:pPr>
              <w:pStyle w:val="8"/>
              <w:widowControl w:val="0"/>
              <w:tabs>
                <w:tab w:val="left" w:pos="849"/>
              </w:tabs>
              <w:snapToGrid w:val="0"/>
              <w:rPr>
                <w:rFonts w:ascii="宋体" w:eastAsia="宋体" w:cs="宋体"/>
                <w:color w:val="auto"/>
                <w:kern w:val="0"/>
                <w:szCs w:val="21"/>
              </w:rPr>
            </w:pPr>
            <w:r>
              <w:rPr>
                <w:rFonts w:hint="eastAsia" w:ascii="宋体" w:eastAsia="宋体" w:cs="宋体"/>
                <w:color w:val="auto"/>
                <w:kern w:val="0"/>
                <w:szCs w:val="21"/>
              </w:rPr>
              <w:t>屏蔽方式：U/UTP护套材料：LLDPE，护套外径：5.1±0.3mm，护套颜色：黑色</w:t>
            </w:r>
          </w:p>
          <w:p w14:paraId="0BCEB433">
            <w:pPr>
              <w:pStyle w:val="8"/>
              <w:widowControl w:val="0"/>
              <w:tabs>
                <w:tab w:val="left" w:pos="849"/>
              </w:tabs>
              <w:snapToGrid w:val="0"/>
              <w:rPr>
                <w:rFonts w:ascii="宋体" w:eastAsia="宋体" w:cs="宋体"/>
                <w:color w:val="auto"/>
                <w:kern w:val="0"/>
                <w:szCs w:val="21"/>
              </w:rPr>
            </w:pPr>
            <w:r>
              <w:rPr>
                <w:rFonts w:hint="eastAsia" w:ascii="宋体" w:eastAsia="宋体" w:cs="宋体"/>
                <w:color w:val="auto"/>
                <w:kern w:val="0"/>
                <w:szCs w:val="21"/>
              </w:rPr>
              <w:t>最小内弯曲半径：安装时：8倍电缆外径，安装后：4倍电缆外径，敷设方式：钢管或阻燃硬质PVC管内</w:t>
            </w:r>
          </w:p>
          <w:p w14:paraId="4A3BA137">
            <w:pPr>
              <w:pStyle w:val="8"/>
              <w:widowControl w:val="0"/>
              <w:tabs>
                <w:tab w:val="left" w:pos="849"/>
              </w:tabs>
              <w:snapToGrid w:val="0"/>
              <w:rPr>
                <w:rFonts w:ascii="宋体" w:eastAsia="宋体" w:cs="宋体"/>
                <w:color w:val="auto"/>
                <w:kern w:val="0"/>
                <w:szCs w:val="21"/>
              </w:rPr>
            </w:pPr>
            <w:r>
              <w:rPr>
                <w:rFonts w:hint="eastAsia" w:ascii="宋体" w:eastAsia="宋体" w:cs="宋体"/>
                <w:color w:val="auto"/>
                <w:kern w:val="0"/>
                <w:szCs w:val="21"/>
              </w:rPr>
              <w:t>包装方式：305米/易拉箱，2易拉箱/外箱</w:t>
            </w:r>
          </w:p>
          <w:p w14:paraId="6D162E38">
            <w:pPr>
              <w:pStyle w:val="8"/>
              <w:widowControl w:val="0"/>
              <w:tabs>
                <w:tab w:val="left" w:pos="849"/>
              </w:tabs>
              <w:snapToGrid w:val="0"/>
              <w:rPr>
                <w:rFonts w:ascii="宋体" w:eastAsia="宋体" w:cs="宋体"/>
                <w:color w:val="auto"/>
                <w:kern w:val="0"/>
                <w:szCs w:val="21"/>
              </w:rPr>
            </w:pPr>
            <w:r>
              <w:rPr>
                <w:rFonts w:hint="eastAsia" w:ascii="宋体" w:eastAsia="宋体" w:cs="宋体"/>
                <w:color w:val="auto"/>
                <w:kern w:val="0"/>
                <w:szCs w:val="21"/>
              </w:rPr>
              <w:t>使用场景：室外</w:t>
            </w:r>
          </w:p>
          <w:p w14:paraId="34896113">
            <w:pPr>
              <w:pStyle w:val="8"/>
              <w:widowControl w:val="0"/>
              <w:tabs>
                <w:tab w:val="left" w:pos="849"/>
              </w:tabs>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安装温度：不低于0℃，工作温度：-20℃～+60℃</w:t>
            </w:r>
          </w:p>
        </w:tc>
        <w:tc>
          <w:tcPr>
            <w:tcW w:w="846" w:type="dxa"/>
            <w:shd w:val="clear" w:color="auto" w:fill="auto"/>
            <w:vAlign w:val="center"/>
          </w:tcPr>
          <w:p w14:paraId="56283C63">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400</w:t>
            </w:r>
          </w:p>
        </w:tc>
        <w:tc>
          <w:tcPr>
            <w:tcW w:w="465" w:type="dxa"/>
            <w:shd w:val="clear" w:color="auto" w:fill="auto"/>
            <w:vAlign w:val="center"/>
          </w:tcPr>
          <w:p w14:paraId="60796498">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米</w:t>
            </w:r>
          </w:p>
        </w:tc>
      </w:tr>
      <w:tr w14:paraId="16EA1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3C59C182">
            <w:pPr>
              <w:widowControl w:val="0"/>
              <w:snapToGrid w:val="0"/>
              <w:jc w:val="center"/>
              <w:rPr>
                <w:rFonts w:hint="default"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12</w:t>
            </w:r>
          </w:p>
        </w:tc>
        <w:tc>
          <w:tcPr>
            <w:tcW w:w="1058" w:type="dxa"/>
            <w:shd w:val="clear" w:color="auto" w:fill="auto"/>
            <w:vAlign w:val="center"/>
          </w:tcPr>
          <w:p w14:paraId="33D0EDDE">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电源线</w:t>
            </w:r>
          </w:p>
        </w:tc>
        <w:tc>
          <w:tcPr>
            <w:tcW w:w="7032" w:type="dxa"/>
            <w:shd w:val="clear" w:color="auto" w:fill="auto"/>
            <w:vAlign w:val="center"/>
          </w:tcPr>
          <w:p w14:paraId="1DED8727">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电源线RVV2X1.0</w:t>
            </w:r>
          </w:p>
        </w:tc>
        <w:tc>
          <w:tcPr>
            <w:tcW w:w="846" w:type="dxa"/>
            <w:shd w:val="clear" w:color="auto" w:fill="auto"/>
            <w:vAlign w:val="center"/>
          </w:tcPr>
          <w:p w14:paraId="47ACC189">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300</w:t>
            </w:r>
          </w:p>
        </w:tc>
        <w:tc>
          <w:tcPr>
            <w:tcW w:w="465" w:type="dxa"/>
            <w:shd w:val="clear" w:color="auto" w:fill="auto"/>
            <w:vAlign w:val="center"/>
          </w:tcPr>
          <w:p w14:paraId="4473EC3D">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米</w:t>
            </w:r>
          </w:p>
        </w:tc>
      </w:tr>
      <w:tr w14:paraId="3B4EA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617F6415">
            <w:pPr>
              <w:widowControl w:val="0"/>
              <w:snapToGrid w:val="0"/>
              <w:jc w:val="center"/>
              <w:rPr>
                <w:rFonts w:hint="default"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13</w:t>
            </w:r>
          </w:p>
        </w:tc>
        <w:tc>
          <w:tcPr>
            <w:tcW w:w="1058" w:type="dxa"/>
            <w:shd w:val="clear" w:color="auto" w:fill="auto"/>
            <w:vAlign w:val="center"/>
          </w:tcPr>
          <w:p w14:paraId="6C0A3F5D">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12芯室外单模光缆</w:t>
            </w:r>
          </w:p>
        </w:tc>
        <w:tc>
          <w:tcPr>
            <w:tcW w:w="7032" w:type="dxa"/>
            <w:shd w:val="clear" w:color="auto" w:fill="auto"/>
            <w:vAlign w:val="center"/>
          </w:tcPr>
          <w:p w14:paraId="2DCC22C9">
            <w:pPr>
              <w:pStyle w:val="8"/>
              <w:widowControl w:val="0"/>
              <w:snapToGrid w:val="0"/>
              <w:rPr>
                <w:rFonts w:ascii="宋体" w:eastAsia="宋体" w:cs="宋体"/>
                <w:color w:val="auto"/>
                <w:kern w:val="0"/>
                <w:szCs w:val="21"/>
              </w:rPr>
            </w:pPr>
            <w:r>
              <w:rPr>
                <w:rFonts w:hint="eastAsia" w:ascii="宋体" w:eastAsia="宋体" w:cs="宋体"/>
                <w:color w:val="auto"/>
                <w:kern w:val="0"/>
                <w:szCs w:val="21"/>
              </w:rPr>
              <w:t>标准：YD/T769，型号：GYXTW</w:t>
            </w:r>
          </w:p>
          <w:p w14:paraId="612CFE2E">
            <w:pPr>
              <w:pStyle w:val="8"/>
              <w:widowControl w:val="0"/>
              <w:snapToGrid w:val="0"/>
              <w:rPr>
                <w:rFonts w:ascii="宋体" w:eastAsia="宋体" w:cs="宋体"/>
                <w:color w:val="auto"/>
                <w:kern w:val="0"/>
                <w:szCs w:val="21"/>
              </w:rPr>
            </w:pPr>
            <w:r>
              <w:rPr>
                <w:rFonts w:hint="eastAsia" w:ascii="宋体" w:eastAsia="宋体" w:cs="宋体"/>
                <w:color w:val="auto"/>
                <w:kern w:val="0"/>
                <w:szCs w:val="21"/>
              </w:rPr>
              <w:t>全截面阻水结构，松套管填充纤膏，松套管和钢带之间填充缆膏，确保良好的阻水防潮性能</w:t>
            </w:r>
          </w:p>
          <w:p w14:paraId="239988B8">
            <w:pPr>
              <w:pStyle w:val="8"/>
              <w:widowControl w:val="0"/>
              <w:snapToGrid w:val="0"/>
              <w:rPr>
                <w:rFonts w:ascii="宋体" w:eastAsia="宋体" w:cs="宋体"/>
                <w:color w:val="auto"/>
                <w:kern w:val="0"/>
                <w:szCs w:val="21"/>
              </w:rPr>
            </w:pPr>
            <w:r>
              <w:rPr>
                <w:rFonts w:hint="eastAsia" w:ascii="宋体" w:eastAsia="宋体" w:cs="宋体"/>
                <w:color w:val="auto"/>
                <w:kern w:val="0"/>
                <w:szCs w:val="21"/>
              </w:rPr>
              <w:t>光纤规格、衰减＠20℃（dB/Km）：单模：B1.3、＠1310nm≤0.36，＠1550nm≤0.22；</w:t>
            </w:r>
          </w:p>
          <w:p w14:paraId="452CC762">
            <w:pPr>
              <w:pStyle w:val="8"/>
              <w:widowControl w:val="0"/>
              <w:snapToGrid w:val="0"/>
              <w:rPr>
                <w:rFonts w:ascii="宋体" w:eastAsia="宋体" w:cs="宋体"/>
                <w:color w:val="auto"/>
                <w:kern w:val="0"/>
                <w:szCs w:val="21"/>
              </w:rPr>
            </w:pPr>
            <w:r>
              <w:rPr>
                <w:rFonts w:hint="eastAsia" w:ascii="宋体" w:eastAsia="宋体" w:cs="宋体"/>
                <w:color w:val="auto"/>
                <w:kern w:val="0"/>
                <w:szCs w:val="21"/>
              </w:rPr>
              <w:t>护套：夹带钢丝的钢-聚乙烯粘结护套，MDPE，黑色，护套外径(mm)：8.0±0.2（12芯及以下）</w:t>
            </w:r>
          </w:p>
          <w:p w14:paraId="5DB184D3">
            <w:pPr>
              <w:pStyle w:val="8"/>
              <w:widowControl w:val="0"/>
              <w:snapToGrid w:val="0"/>
              <w:rPr>
                <w:rFonts w:ascii="宋体" w:eastAsia="宋体" w:cs="宋体"/>
                <w:color w:val="auto"/>
                <w:kern w:val="0"/>
                <w:szCs w:val="21"/>
              </w:rPr>
            </w:pPr>
            <w:r>
              <w:rPr>
                <w:rFonts w:hint="eastAsia" w:ascii="宋体" w:eastAsia="宋体" w:cs="宋体"/>
                <w:color w:val="auto"/>
                <w:kern w:val="0"/>
                <w:szCs w:val="21"/>
              </w:rPr>
              <w:t>允许拉伸力：长期：≥600N，短期：≥1500N</w:t>
            </w:r>
          </w:p>
          <w:p w14:paraId="4C5EAF89">
            <w:pPr>
              <w:pStyle w:val="8"/>
              <w:widowControl w:val="0"/>
              <w:snapToGrid w:val="0"/>
              <w:rPr>
                <w:rFonts w:ascii="宋体" w:eastAsia="宋体" w:cs="宋体"/>
                <w:color w:val="auto"/>
                <w:kern w:val="0"/>
                <w:szCs w:val="21"/>
              </w:rPr>
            </w:pPr>
            <w:r>
              <w:rPr>
                <w:rFonts w:hint="eastAsia" w:ascii="宋体" w:eastAsia="宋体" w:cs="宋体"/>
                <w:color w:val="auto"/>
                <w:kern w:val="0"/>
                <w:szCs w:val="21"/>
              </w:rPr>
              <w:t>允许压扁力：长期：≥300N/100mm，短期：≥1000N/100mm</w:t>
            </w:r>
          </w:p>
          <w:p w14:paraId="1DF31292">
            <w:pPr>
              <w:pStyle w:val="8"/>
              <w:widowControl w:val="0"/>
              <w:snapToGrid w:val="0"/>
              <w:rPr>
                <w:rFonts w:ascii="宋体" w:eastAsia="宋体" w:cs="宋体"/>
                <w:color w:val="auto"/>
                <w:kern w:val="0"/>
                <w:szCs w:val="21"/>
              </w:rPr>
            </w:pPr>
            <w:r>
              <w:rPr>
                <w:rFonts w:hint="eastAsia" w:ascii="宋体" w:eastAsia="宋体" w:cs="宋体"/>
                <w:color w:val="auto"/>
                <w:kern w:val="0"/>
                <w:szCs w:val="21"/>
              </w:rPr>
              <w:t>最小弯曲半径：动态：20D，静态：10D</w:t>
            </w:r>
          </w:p>
          <w:p w14:paraId="20832CB2">
            <w:pPr>
              <w:pStyle w:val="8"/>
              <w:widowControl w:val="0"/>
              <w:snapToGrid w:val="0"/>
              <w:rPr>
                <w:rFonts w:ascii="宋体" w:eastAsia="宋体" w:cs="宋体"/>
                <w:color w:val="auto"/>
                <w:kern w:val="0"/>
                <w:szCs w:val="21"/>
              </w:rPr>
            </w:pPr>
            <w:r>
              <w:rPr>
                <w:rFonts w:hint="eastAsia" w:ascii="宋体" w:eastAsia="宋体" w:cs="宋体"/>
                <w:color w:val="auto"/>
                <w:kern w:val="0"/>
                <w:szCs w:val="21"/>
              </w:rPr>
              <w:t>敷设方式：管道、非自承架空</w:t>
            </w:r>
          </w:p>
          <w:p w14:paraId="39BFD3BD">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安装温度：不低于-15℃，工作温度：-40℃～+60℃</w:t>
            </w:r>
          </w:p>
        </w:tc>
        <w:tc>
          <w:tcPr>
            <w:tcW w:w="846" w:type="dxa"/>
            <w:shd w:val="clear" w:color="auto" w:fill="auto"/>
            <w:vAlign w:val="center"/>
          </w:tcPr>
          <w:p w14:paraId="426D7CE3">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450</w:t>
            </w:r>
          </w:p>
        </w:tc>
        <w:tc>
          <w:tcPr>
            <w:tcW w:w="465" w:type="dxa"/>
            <w:shd w:val="clear" w:color="auto" w:fill="auto"/>
            <w:vAlign w:val="center"/>
          </w:tcPr>
          <w:p w14:paraId="05528571">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米</w:t>
            </w:r>
          </w:p>
        </w:tc>
      </w:tr>
      <w:tr w14:paraId="1AC3B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463F8A35">
            <w:pPr>
              <w:widowControl w:val="0"/>
              <w:snapToGrid w:val="0"/>
              <w:jc w:val="center"/>
              <w:rPr>
                <w:rFonts w:hint="default"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14</w:t>
            </w:r>
          </w:p>
        </w:tc>
        <w:tc>
          <w:tcPr>
            <w:tcW w:w="1058" w:type="dxa"/>
            <w:shd w:val="clear" w:color="auto" w:fill="auto"/>
            <w:vAlign w:val="center"/>
          </w:tcPr>
          <w:p w14:paraId="1DF64BCB">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PE管(穿光缆)</w:t>
            </w:r>
          </w:p>
        </w:tc>
        <w:tc>
          <w:tcPr>
            <w:tcW w:w="7032" w:type="dxa"/>
            <w:shd w:val="clear" w:color="auto" w:fill="auto"/>
            <w:vAlign w:val="center"/>
          </w:tcPr>
          <w:p w14:paraId="22ACA077">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室外预埋管PE25管</w:t>
            </w:r>
          </w:p>
        </w:tc>
        <w:tc>
          <w:tcPr>
            <w:tcW w:w="846" w:type="dxa"/>
            <w:shd w:val="clear" w:color="auto" w:fill="auto"/>
            <w:vAlign w:val="center"/>
          </w:tcPr>
          <w:p w14:paraId="50845A46">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450</w:t>
            </w:r>
          </w:p>
        </w:tc>
        <w:tc>
          <w:tcPr>
            <w:tcW w:w="465" w:type="dxa"/>
            <w:shd w:val="clear" w:color="auto" w:fill="auto"/>
            <w:vAlign w:val="center"/>
          </w:tcPr>
          <w:p w14:paraId="5E98D12D">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米</w:t>
            </w:r>
          </w:p>
        </w:tc>
      </w:tr>
      <w:tr w14:paraId="6C235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43C32BA7">
            <w:pPr>
              <w:widowControl w:val="0"/>
              <w:snapToGrid w:val="0"/>
              <w:jc w:val="center"/>
              <w:rPr>
                <w:rFonts w:hint="default"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15</w:t>
            </w:r>
          </w:p>
        </w:tc>
        <w:tc>
          <w:tcPr>
            <w:tcW w:w="1058" w:type="dxa"/>
            <w:shd w:val="clear" w:color="auto" w:fill="auto"/>
            <w:vAlign w:val="center"/>
          </w:tcPr>
          <w:p w14:paraId="506BDD02">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12口光纤终端盒(前端)</w:t>
            </w:r>
          </w:p>
        </w:tc>
        <w:tc>
          <w:tcPr>
            <w:tcW w:w="7032" w:type="dxa"/>
            <w:shd w:val="clear" w:color="auto" w:fill="auto"/>
            <w:vAlign w:val="center"/>
          </w:tcPr>
          <w:p w14:paraId="1D6205BB">
            <w:pPr>
              <w:pStyle w:val="8"/>
              <w:widowControl w:val="0"/>
              <w:snapToGrid w:val="0"/>
              <w:rPr>
                <w:rFonts w:ascii="宋体" w:eastAsia="宋体" w:cs="宋体"/>
                <w:color w:val="auto"/>
                <w:kern w:val="0"/>
                <w:szCs w:val="21"/>
              </w:rPr>
            </w:pPr>
            <w:r>
              <w:rPr>
                <w:rFonts w:hint="eastAsia" w:ascii="宋体" w:eastAsia="宋体" w:cs="宋体"/>
                <w:color w:val="auto"/>
                <w:kern w:val="0"/>
                <w:szCs w:val="21"/>
              </w:rPr>
              <w:t>标准：YD/T 925</w:t>
            </w:r>
          </w:p>
          <w:p w14:paraId="0ADDB3B4">
            <w:pPr>
              <w:pStyle w:val="8"/>
              <w:widowControl w:val="0"/>
              <w:snapToGrid w:val="0"/>
              <w:rPr>
                <w:rFonts w:ascii="宋体" w:eastAsia="宋体" w:cs="宋体"/>
                <w:color w:val="auto"/>
                <w:kern w:val="0"/>
                <w:szCs w:val="21"/>
              </w:rPr>
            </w:pPr>
            <w:r>
              <w:rPr>
                <w:rFonts w:hint="eastAsia" w:ascii="宋体" w:eastAsia="宋体" w:cs="宋体"/>
                <w:color w:val="auto"/>
                <w:kern w:val="0"/>
                <w:szCs w:val="21"/>
              </w:rPr>
              <w:t>安装方式：非机架安装，桌面式，挂墙</w:t>
            </w:r>
          </w:p>
          <w:p w14:paraId="13903D7E">
            <w:pPr>
              <w:pStyle w:val="8"/>
              <w:widowControl w:val="0"/>
              <w:snapToGrid w:val="0"/>
              <w:rPr>
                <w:rFonts w:ascii="宋体" w:eastAsia="宋体" w:cs="宋体"/>
                <w:color w:val="auto"/>
                <w:kern w:val="0"/>
                <w:szCs w:val="21"/>
              </w:rPr>
            </w:pPr>
            <w:r>
              <w:rPr>
                <w:rFonts w:hint="eastAsia" w:ascii="宋体" w:eastAsia="宋体" w:cs="宋体"/>
                <w:color w:val="auto"/>
                <w:kern w:val="0"/>
                <w:szCs w:val="21"/>
              </w:rPr>
              <w:t>标配1个光纤熔接盘，2个光缆进线口，2个固定PG头，2个光缆护套固定装置，2个光缆加强件固定装置</w:t>
            </w:r>
          </w:p>
          <w:p w14:paraId="39F4FBDF">
            <w:pPr>
              <w:pStyle w:val="8"/>
              <w:widowControl w:val="0"/>
              <w:snapToGrid w:val="0"/>
              <w:rPr>
                <w:rFonts w:ascii="宋体" w:eastAsia="宋体" w:cs="宋体"/>
                <w:color w:val="auto"/>
                <w:kern w:val="0"/>
                <w:szCs w:val="21"/>
              </w:rPr>
            </w:pPr>
            <w:r>
              <w:rPr>
                <w:rFonts w:hint="eastAsia" w:ascii="宋体" w:eastAsia="宋体" w:cs="宋体"/>
                <w:color w:val="auto"/>
                <w:kern w:val="0"/>
                <w:szCs w:val="21"/>
              </w:rPr>
              <w:t>端口数量：12口，空余端口可安装空白功能件（标配）</w:t>
            </w:r>
          </w:p>
          <w:p w14:paraId="122DBAF8">
            <w:pPr>
              <w:pStyle w:val="8"/>
              <w:widowControl w:val="0"/>
              <w:snapToGrid w:val="0"/>
              <w:rPr>
                <w:rFonts w:ascii="宋体" w:eastAsia="宋体" w:cs="宋体"/>
                <w:color w:val="auto"/>
                <w:kern w:val="0"/>
                <w:szCs w:val="21"/>
              </w:rPr>
            </w:pPr>
            <w:r>
              <w:rPr>
                <w:rFonts w:hint="eastAsia" w:ascii="宋体" w:eastAsia="宋体" w:cs="宋体"/>
                <w:color w:val="auto"/>
                <w:kern w:val="0"/>
                <w:szCs w:val="21"/>
              </w:rPr>
              <w:t>端口通用型设计，共3个4口支架，可兼容：LC双工、SC单工、FC、ST适配器，一个支架仅需一颗螺丝，便于安装和拆卸</w:t>
            </w:r>
          </w:p>
          <w:p w14:paraId="1B928EE7">
            <w:pPr>
              <w:pStyle w:val="8"/>
              <w:widowControl w:val="0"/>
              <w:snapToGrid w:val="0"/>
              <w:rPr>
                <w:rFonts w:ascii="宋体" w:eastAsia="宋体" w:cs="宋体"/>
                <w:color w:val="auto"/>
                <w:kern w:val="0"/>
                <w:szCs w:val="21"/>
              </w:rPr>
            </w:pPr>
            <w:r>
              <w:rPr>
                <w:rFonts w:hint="eastAsia" w:ascii="宋体" w:eastAsia="宋体" w:cs="宋体"/>
                <w:color w:val="auto"/>
                <w:kern w:val="0"/>
                <w:szCs w:val="21"/>
              </w:rPr>
              <w:t>光纤和尾纤弯曲半径不小于30mm</w:t>
            </w:r>
          </w:p>
          <w:p w14:paraId="052F42CF">
            <w:pPr>
              <w:pStyle w:val="8"/>
              <w:widowControl w:val="0"/>
              <w:snapToGrid w:val="0"/>
              <w:rPr>
                <w:rFonts w:ascii="宋体" w:eastAsia="宋体" w:cs="宋体"/>
                <w:color w:val="auto"/>
                <w:kern w:val="0"/>
                <w:szCs w:val="21"/>
              </w:rPr>
            </w:pPr>
            <w:r>
              <w:rPr>
                <w:rFonts w:hint="eastAsia" w:ascii="宋体" w:eastAsia="宋体" w:cs="宋体"/>
                <w:color w:val="auto"/>
                <w:kern w:val="0"/>
                <w:szCs w:val="21"/>
              </w:rPr>
              <w:t>外壳材料：优质冷轧钢板</w:t>
            </w:r>
          </w:p>
          <w:p w14:paraId="03C91F5F">
            <w:pPr>
              <w:pStyle w:val="8"/>
              <w:widowControl w:val="0"/>
              <w:snapToGrid w:val="0"/>
              <w:rPr>
                <w:rFonts w:ascii="宋体" w:eastAsia="宋体" w:cs="宋体"/>
                <w:color w:val="auto"/>
                <w:kern w:val="0"/>
                <w:szCs w:val="21"/>
              </w:rPr>
            </w:pPr>
            <w:r>
              <w:rPr>
                <w:rFonts w:hint="eastAsia" w:ascii="宋体" w:eastAsia="宋体" w:cs="宋体"/>
                <w:color w:val="auto"/>
                <w:kern w:val="0"/>
                <w:szCs w:val="21"/>
              </w:rPr>
              <w:t>外壳表面处理：静电喷塑黑色</w:t>
            </w:r>
          </w:p>
          <w:p w14:paraId="5F95F505">
            <w:pPr>
              <w:pStyle w:val="8"/>
              <w:widowControl w:val="0"/>
              <w:snapToGrid w:val="0"/>
              <w:rPr>
                <w:rFonts w:ascii="宋体" w:eastAsia="宋体" w:cs="宋体"/>
                <w:color w:val="auto"/>
                <w:kern w:val="0"/>
                <w:szCs w:val="21"/>
              </w:rPr>
            </w:pPr>
            <w:r>
              <w:rPr>
                <w:rFonts w:hint="eastAsia" w:ascii="宋体" w:eastAsia="宋体" w:cs="宋体"/>
                <w:color w:val="auto"/>
                <w:kern w:val="0"/>
                <w:szCs w:val="21"/>
              </w:rPr>
              <w:t>尺寸：270×138×64mm</w:t>
            </w:r>
          </w:p>
          <w:p w14:paraId="4D2B5EA4">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工作温度：-5℃~+40℃，相对湿度：≤85%（+30℃），非凝结</w:t>
            </w:r>
          </w:p>
        </w:tc>
        <w:tc>
          <w:tcPr>
            <w:tcW w:w="846" w:type="dxa"/>
            <w:shd w:val="clear" w:color="auto" w:fill="auto"/>
            <w:vAlign w:val="center"/>
          </w:tcPr>
          <w:p w14:paraId="2EA0DDA5">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4</w:t>
            </w:r>
          </w:p>
        </w:tc>
        <w:tc>
          <w:tcPr>
            <w:tcW w:w="465" w:type="dxa"/>
            <w:shd w:val="clear" w:color="auto" w:fill="auto"/>
            <w:vAlign w:val="center"/>
          </w:tcPr>
          <w:p w14:paraId="2F22BF17">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台</w:t>
            </w:r>
          </w:p>
        </w:tc>
      </w:tr>
      <w:tr w14:paraId="2977CD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7281F336">
            <w:pPr>
              <w:widowControl w:val="0"/>
              <w:snapToGrid w:val="0"/>
              <w:jc w:val="center"/>
              <w:rPr>
                <w:rFonts w:hint="default"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16</w:t>
            </w:r>
          </w:p>
        </w:tc>
        <w:tc>
          <w:tcPr>
            <w:tcW w:w="1058" w:type="dxa"/>
            <w:shd w:val="clear" w:color="auto" w:fill="auto"/>
            <w:vAlign w:val="center"/>
          </w:tcPr>
          <w:p w14:paraId="347D8080">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24位ODF单元体(机房端)</w:t>
            </w:r>
          </w:p>
        </w:tc>
        <w:tc>
          <w:tcPr>
            <w:tcW w:w="7032" w:type="dxa"/>
            <w:shd w:val="clear" w:color="auto" w:fill="auto"/>
            <w:vAlign w:val="center"/>
          </w:tcPr>
          <w:p w14:paraId="38C23DA1">
            <w:pPr>
              <w:pStyle w:val="8"/>
              <w:widowControl w:val="0"/>
              <w:snapToGrid w:val="0"/>
              <w:rPr>
                <w:rFonts w:ascii="宋体" w:eastAsia="宋体" w:cs="宋体"/>
                <w:color w:val="auto"/>
                <w:kern w:val="0"/>
                <w:szCs w:val="21"/>
              </w:rPr>
            </w:pPr>
            <w:r>
              <w:rPr>
                <w:rFonts w:hint="eastAsia" w:ascii="宋体" w:eastAsia="宋体" w:cs="宋体"/>
                <w:color w:val="auto"/>
                <w:kern w:val="0"/>
                <w:szCs w:val="21"/>
              </w:rPr>
              <w:t>标准：YD/T778，ISO/IEC 11801，ANSI/TIA -568-C.3</w:t>
            </w:r>
          </w:p>
          <w:p w14:paraId="216DDD59">
            <w:pPr>
              <w:pStyle w:val="8"/>
              <w:widowControl w:val="0"/>
              <w:snapToGrid w:val="0"/>
              <w:rPr>
                <w:rFonts w:ascii="宋体" w:eastAsia="宋体" w:cs="宋体"/>
                <w:color w:val="auto"/>
                <w:kern w:val="0"/>
                <w:szCs w:val="21"/>
              </w:rPr>
            </w:pPr>
            <w:r>
              <w:rPr>
                <w:rFonts w:hint="eastAsia" w:ascii="宋体" w:eastAsia="宋体" w:cs="宋体"/>
                <w:color w:val="auto"/>
                <w:kern w:val="0"/>
                <w:szCs w:val="21"/>
              </w:rPr>
              <w:t>安装方式：19″机架式安装</w:t>
            </w:r>
          </w:p>
          <w:p w14:paraId="5159FE05">
            <w:pPr>
              <w:pStyle w:val="8"/>
              <w:widowControl w:val="0"/>
              <w:snapToGrid w:val="0"/>
              <w:rPr>
                <w:rFonts w:ascii="宋体" w:eastAsia="宋体" w:cs="宋体"/>
                <w:color w:val="auto"/>
                <w:kern w:val="0"/>
                <w:szCs w:val="21"/>
              </w:rPr>
            </w:pPr>
            <w:r>
              <w:rPr>
                <w:rFonts w:hint="eastAsia" w:ascii="宋体" w:eastAsia="宋体" w:cs="宋体"/>
                <w:color w:val="auto"/>
                <w:kern w:val="0"/>
                <w:szCs w:val="21"/>
              </w:rPr>
              <w:t>标配1个光纤熔接盘，2个光缆进线口，2个固定PG头，2个光缆护套固定装置，2个光缆加强件固定装置</w:t>
            </w:r>
          </w:p>
          <w:p w14:paraId="7DEEF71A">
            <w:pPr>
              <w:pStyle w:val="8"/>
              <w:widowControl w:val="0"/>
              <w:snapToGrid w:val="0"/>
              <w:rPr>
                <w:rFonts w:ascii="宋体" w:eastAsia="宋体" w:cs="宋体"/>
                <w:color w:val="auto"/>
                <w:kern w:val="0"/>
                <w:szCs w:val="21"/>
              </w:rPr>
            </w:pPr>
            <w:r>
              <w:rPr>
                <w:rFonts w:hint="eastAsia" w:ascii="宋体" w:eastAsia="宋体" w:cs="宋体"/>
                <w:color w:val="auto"/>
                <w:kern w:val="0"/>
                <w:szCs w:val="21"/>
              </w:rPr>
              <w:t>端口通用型设计，共3个4口支架，可兼容：LC双工、SC单工、FC、ST适配器，一个支架仅需一颗螺丝，便于安装和拆卸</w:t>
            </w:r>
          </w:p>
          <w:p w14:paraId="13F9740E">
            <w:pPr>
              <w:pStyle w:val="8"/>
              <w:widowControl w:val="0"/>
              <w:snapToGrid w:val="0"/>
              <w:rPr>
                <w:rFonts w:ascii="宋体" w:eastAsia="宋体" w:cs="宋体"/>
                <w:color w:val="auto"/>
                <w:kern w:val="0"/>
                <w:szCs w:val="21"/>
              </w:rPr>
            </w:pPr>
            <w:r>
              <w:rPr>
                <w:rFonts w:hint="eastAsia" w:ascii="宋体" w:eastAsia="宋体" w:cs="宋体"/>
                <w:color w:val="auto"/>
                <w:kern w:val="0"/>
                <w:szCs w:val="21"/>
              </w:rPr>
              <w:t>进出光纤方便灵活，有充裕的光纤盘存空间，光纤和尾纤弯曲半径不小于30mm</w:t>
            </w:r>
          </w:p>
          <w:p w14:paraId="2278CD25">
            <w:pPr>
              <w:pStyle w:val="8"/>
              <w:widowControl w:val="0"/>
              <w:snapToGrid w:val="0"/>
              <w:rPr>
                <w:rFonts w:ascii="宋体" w:eastAsia="宋体" w:cs="宋体"/>
                <w:color w:val="auto"/>
                <w:kern w:val="0"/>
                <w:szCs w:val="21"/>
              </w:rPr>
            </w:pPr>
            <w:r>
              <w:rPr>
                <w:rFonts w:hint="eastAsia" w:ascii="宋体" w:eastAsia="宋体" w:cs="宋体"/>
                <w:color w:val="auto"/>
                <w:kern w:val="0"/>
                <w:szCs w:val="21"/>
              </w:rPr>
              <w:t>端口数量：24口，空余端口可安装空白功能件（标配），安装LC双工、SC单工耦合器时安装支架的空隙可安装封堵功能件（标配）</w:t>
            </w:r>
          </w:p>
          <w:p w14:paraId="757EF8C5">
            <w:pPr>
              <w:pStyle w:val="8"/>
              <w:widowControl w:val="0"/>
              <w:snapToGrid w:val="0"/>
              <w:rPr>
                <w:rFonts w:ascii="宋体" w:eastAsia="宋体" w:cs="宋体"/>
                <w:color w:val="auto"/>
                <w:kern w:val="0"/>
                <w:szCs w:val="21"/>
              </w:rPr>
            </w:pPr>
            <w:r>
              <w:rPr>
                <w:rFonts w:hint="eastAsia" w:ascii="宋体" w:eastAsia="宋体" w:cs="宋体"/>
                <w:color w:val="auto"/>
                <w:kern w:val="0"/>
                <w:szCs w:val="21"/>
              </w:rPr>
              <w:t>外壳材料：优质冷轧钢板</w:t>
            </w:r>
          </w:p>
          <w:p w14:paraId="50E73CF5">
            <w:pPr>
              <w:pStyle w:val="8"/>
              <w:widowControl w:val="0"/>
              <w:snapToGrid w:val="0"/>
              <w:rPr>
                <w:rFonts w:ascii="宋体" w:eastAsia="宋体" w:cs="宋体"/>
                <w:strike/>
                <w:color w:val="auto"/>
                <w:kern w:val="0"/>
                <w:szCs w:val="21"/>
              </w:rPr>
            </w:pPr>
            <w:r>
              <w:rPr>
                <w:rFonts w:hint="eastAsia" w:ascii="宋体" w:eastAsia="宋体" w:cs="宋体"/>
                <w:color w:val="auto"/>
                <w:kern w:val="0"/>
                <w:szCs w:val="21"/>
              </w:rPr>
              <w:t>外壳表面处理：静电喷塑黑色</w:t>
            </w:r>
          </w:p>
          <w:p w14:paraId="27016891">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工作温度：-25℃~+60℃，相对湿度：≤85%（+30℃），非凝结</w:t>
            </w:r>
          </w:p>
        </w:tc>
        <w:tc>
          <w:tcPr>
            <w:tcW w:w="846" w:type="dxa"/>
            <w:shd w:val="clear" w:color="auto" w:fill="auto"/>
            <w:vAlign w:val="center"/>
          </w:tcPr>
          <w:p w14:paraId="371D9F66">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w:t>
            </w:r>
          </w:p>
        </w:tc>
        <w:tc>
          <w:tcPr>
            <w:tcW w:w="465" w:type="dxa"/>
            <w:shd w:val="clear" w:color="auto" w:fill="auto"/>
            <w:vAlign w:val="center"/>
          </w:tcPr>
          <w:p w14:paraId="2C0C955A">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套</w:t>
            </w:r>
          </w:p>
        </w:tc>
      </w:tr>
      <w:tr w14:paraId="71A5A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15332892">
            <w:pPr>
              <w:widowControl w:val="0"/>
              <w:snapToGrid w:val="0"/>
              <w:jc w:val="center"/>
              <w:rPr>
                <w:rFonts w:hint="default"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17</w:t>
            </w:r>
          </w:p>
        </w:tc>
        <w:tc>
          <w:tcPr>
            <w:tcW w:w="1058" w:type="dxa"/>
            <w:shd w:val="clear" w:color="auto" w:fill="auto"/>
            <w:vAlign w:val="center"/>
          </w:tcPr>
          <w:p w14:paraId="002DFD45">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光纤熔接</w:t>
            </w:r>
          </w:p>
        </w:tc>
        <w:tc>
          <w:tcPr>
            <w:tcW w:w="7032" w:type="dxa"/>
            <w:shd w:val="clear" w:color="auto" w:fill="auto"/>
            <w:vAlign w:val="center"/>
          </w:tcPr>
          <w:p w14:paraId="44594D32">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光纤熔接</w:t>
            </w:r>
          </w:p>
        </w:tc>
        <w:tc>
          <w:tcPr>
            <w:tcW w:w="846" w:type="dxa"/>
            <w:shd w:val="clear" w:color="auto" w:fill="auto"/>
            <w:vAlign w:val="center"/>
          </w:tcPr>
          <w:p w14:paraId="3E882D12">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72</w:t>
            </w:r>
          </w:p>
        </w:tc>
        <w:tc>
          <w:tcPr>
            <w:tcW w:w="465" w:type="dxa"/>
            <w:shd w:val="clear" w:color="auto" w:fill="auto"/>
            <w:vAlign w:val="center"/>
          </w:tcPr>
          <w:p w14:paraId="32A03E44">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芯</w:t>
            </w:r>
          </w:p>
        </w:tc>
      </w:tr>
      <w:tr w14:paraId="5FC95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0C56F935">
            <w:pPr>
              <w:widowControl w:val="0"/>
              <w:snapToGrid w:val="0"/>
              <w:jc w:val="center"/>
              <w:rPr>
                <w:rFonts w:hint="default"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18</w:t>
            </w:r>
          </w:p>
        </w:tc>
        <w:tc>
          <w:tcPr>
            <w:tcW w:w="1058" w:type="dxa"/>
            <w:shd w:val="clear" w:color="auto" w:fill="auto"/>
            <w:vAlign w:val="center"/>
          </w:tcPr>
          <w:p w14:paraId="51812A45">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SC尾纤</w:t>
            </w:r>
          </w:p>
        </w:tc>
        <w:tc>
          <w:tcPr>
            <w:tcW w:w="7032" w:type="dxa"/>
            <w:shd w:val="clear" w:color="auto" w:fill="auto"/>
            <w:vAlign w:val="center"/>
          </w:tcPr>
          <w:p w14:paraId="6079F13E">
            <w:pPr>
              <w:pStyle w:val="8"/>
              <w:widowControl w:val="0"/>
              <w:snapToGrid w:val="0"/>
              <w:rPr>
                <w:rFonts w:ascii="宋体" w:eastAsia="宋体" w:cs="宋体"/>
                <w:color w:val="auto"/>
                <w:kern w:val="0"/>
                <w:szCs w:val="21"/>
              </w:rPr>
            </w:pPr>
            <w:r>
              <w:rPr>
                <w:rFonts w:hint="eastAsia" w:ascii="宋体" w:eastAsia="宋体" w:cs="宋体"/>
                <w:color w:val="auto"/>
                <w:kern w:val="0"/>
                <w:szCs w:val="21"/>
              </w:rPr>
              <w:t>标准：YD/T1272，ISO/IEC 11801，ANSI/TIA-568-C.3，光缆：IEC60332-1-2，IEC61034-2，IEC60754-1（护套）、IEC60754-2（护套）</w:t>
            </w:r>
          </w:p>
          <w:p w14:paraId="71714E77">
            <w:pPr>
              <w:pStyle w:val="8"/>
              <w:widowControl w:val="0"/>
              <w:snapToGrid w:val="0"/>
              <w:rPr>
                <w:rFonts w:ascii="宋体" w:eastAsia="宋体" w:cs="宋体"/>
                <w:color w:val="auto"/>
                <w:kern w:val="0"/>
                <w:szCs w:val="21"/>
              </w:rPr>
            </w:pPr>
            <w:r>
              <w:rPr>
                <w:rFonts w:hint="eastAsia" w:ascii="宋体" w:eastAsia="宋体" w:cs="宋体"/>
                <w:color w:val="auto"/>
                <w:kern w:val="0"/>
                <w:szCs w:val="21"/>
              </w:rPr>
              <w:t>依据标准出厂前100%光学测试，性能优于国内和国际标准</w:t>
            </w:r>
          </w:p>
          <w:p w14:paraId="236A06F3">
            <w:pPr>
              <w:pStyle w:val="8"/>
              <w:widowControl w:val="0"/>
              <w:snapToGrid w:val="0"/>
              <w:rPr>
                <w:rFonts w:ascii="宋体" w:eastAsia="宋体" w:cs="宋体"/>
                <w:color w:val="auto"/>
                <w:kern w:val="0"/>
                <w:szCs w:val="21"/>
              </w:rPr>
            </w:pPr>
            <w:r>
              <w:rPr>
                <w:rFonts w:hint="eastAsia" w:ascii="宋体" w:eastAsia="宋体" w:cs="宋体"/>
                <w:color w:val="auto"/>
                <w:kern w:val="0"/>
                <w:szCs w:val="21"/>
              </w:rPr>
              <w:t>高质量陶瓷插芯，插入损耗低，耐久性好</w:t>
            </w:r>
          </w:p>
          <w:p w14:paraId="48DE746D">
            <w:pPr>
              <w:pStyle w:val="8"/>
              <w:widowControl w:val="0"/>
              <w:snapToGrid w:val="0"/>
              <w:rPr>
                <w:rFonts w:ascii="宋体" w:eastAsia="宋体" w:cs="宋体"/>
                <w:color w:val="auto"/>
                <w:kern w:val="0"/>
                <w:szCs w:val="21"/>
              </w:rPr>
            </w:pPr>
            <w:r>
              <w:rPr>
                <w:rFonts w:hint="eastAsia" w:ascii="宋体" w:eastAsia="宋体" w:cs="宋体"/>
                <w:color w:val="auto"/>
                <w:kern w:val="0"/>
                <w:szCs w:val="21"/>
              </w:rPr>
              <w:t>重复性，互换性，光学特性稳定</w:t>
            </w:r>
          </w:p>
          <w:p w14:paraId="61822BAB">
            <w:pPr>
              <w:pStyle w:val="8"/>
              <w:widowControl w:val="0"/>
              <w:snapToGrid w:val="0"/>
              <w:rPr>
                <w:rFonts w:ascii="宋体" w:eastAsia="宋体" w:cs="宋体"/>
                <w:color w:val="auto"/>
                <w:kern w:val="0"/>
                <w:szCs w:val="21"/>
              </w:rPr>
            </w:pPr>
            <w:r>
              <w:rPr>
                <w:rFonts w:hint="eastAsia" w:ascii="宋体" w:eastAsia="宋体" w:cs="宋体"/>
                <w:color w:val="auto"/>
                <w:kern w:val="0"/>
                <w:szCs w:val="21"/>
              </w:rPr>
              <w:t>光纤类型：单模：OS2黄色</w:t>
            </w:r>
          </w:p>
          <w:p w14:paraId="71011980">
            <w:pPr>
              <w:pStyle w:val="8"/>
              <w:widowControl w:val="0"/>
              <w:snapToGrid w:val="0"/>
              <w:rPr>
                <w:rFonts w:ascii="宋体" w:eastAsia="宋体" w:cs="宋体"/>
                <w:color w:val="auto"/>
                <w:kern w:val="0"/>
                <w:szCs w:val="21"/>
              </w:rPr>
            </w:pPr>
            <w:r>
              <w:rPr>
                <w:rFonts w:hint="eastAsia" w:ascii="宋体" w:eastAsia="宋体" w:cs="宋体"/>
                <w:color w:val="auto"/>
                <w:kern w:val="0"/>
                <w:szCs w:val="21"/>
              </w:rPr>
              <w:t>加强材料：芳纶纱</w:t>
            </w:r>
          </w:p>
          <w:p w14:paraId="23740B5D">
            <w:pPr>
              <w:pStyle w:val="8"/>
              <w:widowControl w:val="0"/>
              <w:snapToGrid w:val="0"/>
              <w:rPr>
                <w:rFonts w:ascii="宋体" w:eastAsia="宋体" w:cs="宋体"/>
                <w:color w:val="auto"/>
                <w:kern w:val="0"/>
                <w:szCs w:val="21"/>
              </w:rPr>
            </w:pPr>
            <w:r>
              <w:rPr>
                <w:rFonts w:hint="eastAsia" w:ascii="宋体" w:eastAsia="宋体" w:cs="宋体"/>
                <w:color w:val="auto"/>
                <w:kern w:val="0"/>
                <w:szCs w:val="21"/>
              </w:rPr>
              <w:t>光缆芯数/护套外径（mm）：单芯：2.0 紧包与护套材料：LSZH</w:t>
            </w:r>
          </w:p>
          <w:p w14:paraId="0F3FBCD7">
            <w:pPr>
              <w:pStyle w:val="8"/>
              <w:widowControl w:val="0"/>
              <w:snapToGrid w:val="0"/>
              <w:rPr>
                <w:rFonts w:ascii="宋体" w:eastAsia="宋体" w:cs="宋体"/>
                <w:color w:val="auto"/>
                <w:kern w:val="0"/>
                <w:szCs w:val="21"/>
              </w:rPr>
            </w:pPr>
            <w:r>
              <w:rPr>
                <w:rFonts w:hint="eastAsia" w:ascii="宋体" w:eastAsia="宋体" w:cs="宋体"/>
                <w:color w:val="auto"/>
                <w:kern w:val="0"/>
                <w:szCs w:val="21"/>
              </w:rPr>
              <w:t>长度：1.5米</w:t>
            </w:r>
          </w:p>
          <w:p w14:paraId="3B4744D9">
            <w:pPr>
              <w:pStyle w:val="8"/>
              <w:widowControl w:val="0"/>
              <w:snapToGrid w:val="0"/>
              <w:rPr>
                <w:rFonts w:ascii="宋体" w:eastAsia="宋体" w:cs="宋体"/>
                <w:color w:val="auto"/>
                <w:kern w:val="0"/>
                <w:szCs w:val="21"/>
              </w:rPr>
            </w:pPr>
            <w:r>
              <w:rPr>
                <w:rFonts w:hint="eastAsia" w:ascii="宋体" w:eastAsia="宋体" w:cs="宋体"/>
                <w:color w:val="auto"/>
                <w:kern w:val="0"/>
                <w:szCs w:val="21"/>
              </w:rPr>
              <w:t>端面类型：UPC</w:t>
            </w:r>
          </w:p>
          <w:p w14:paraId="35F7E4FB">
            <w:pPr>
              <w:pStyle w:val="8"/>
              <w:widowControl w:val="0"/>
              <w:snapToGrid w:val="0"/>
              <w:rPr>
                <w:rFonts w:ascii="宋体" w:eastAsia="宋体" w:cs="宋体"/>
                <w:color w:val="auto"/>
                <w:kern w:val="0"/>
                <w:szCs w:val="21"/>
              </w:rPr>
            </w:pPr>
            <w:r>
              <w:rPr>
                <w:rFonts w:hint="eastAsia" w:ascii="宋体" w:eastAsia="宋体" w:cs="宋体"/>
                <w:color w:val="auto"/>
                <w:kern w:val="0"/>
                <w:szCs w:val="21"/>
              </w:rPr>
              <w:t>插入损耗（含重复性）：≤0.2dB（典型值）</w:t>
            </w:r>
          </w:p>
          <w:p w14:paraId="1C2D1F5A">
            <w:pPr>
              <w:pStyle w:val="8"/>
              <w:widowControl w:val="0"/>
              <w:snapToGrid w:val="0"/>
              <w:rPr>
                <w:rFonts w:ascii="宋体" w:eastAsia="宋体" w:cs="宋体"/>
                <w:color w:val="auto"/>
                <w:kern w:val="0"/>
                <w:szCs w:val="21"/>
              </w:rPr>
            </w:pPr>
            <w:r>
              <w:rPr>
                <w:rFonts w:hint="eastAsia" w:ascii="宋体" w:eastAsia="宋体" w:cs="宋体"/>
                <w:color w:val="auto"/>
                <w:kern w:val="0"/>
                <w:szCs w:val="21"/>
              </w:rPr>
              <w:t>互换性：≤0.2dB</w:t>
            </w:r>
          </w:p>
          <w:p w14:paraId="294B53FD">
            <w:pPr>
              <w:pStyle w:val="8"/>
              <w:widowControl w:val="0"/>
              <w:snapToGrid w:val="0"/>
              <w:rPr>
                <w:rFonts w:ascii="宋体" w:eastAsia="宋体" w:cs="宋体"/>
                <w:color w:val="auto"/>
                <w:kern w:val="0"/>
                <w:szCs w:val="21"/>
              </w:rPr>
            </w:pPr>
            <w:r>
              <w:rPr>
                <w:rFonts w:hint="eastAsia" w:ascii="宋体" w:eastAsia="宋体" w:cs="宋体"/>
                <w:color w:val="auto"/>
                <w:kern w:val="0"/>
                <w:szCs w:val="21"/>
              </w:rPr>
              <w:t>机械耐久性：≥500次</w:t>
            </w:r>
          </w:p>
          <w:p w14:paraId="22FF78F4">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工作温度：-20℃~+60℃</w:t>
            </w:r>
          </w:p>
        </w:tc>
        <w:tc>
          <w:tcPr>
            <w:tcW w:w="846" w:type="dxa"/>
            <w:shd w:val="clear" w:color="auto" w:fill="auto"/>
            <w:vAlign w:val="center"/>
          </w:tcPr>
          <w:p w14:paraId="4906A7EA">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72</w:t>
            </w:r>
          </w:p>
        </w:tc>
        <w:tc>
          <w:tcPr>
            <w:tcW w:w="465" w:type="dxa"/>
            <w:shd w:val="clear" w:color="auto" w:fill="auto"/>
            <w:vAlign w:val="center"/>
          </w:tcPr>
          <w:p w14:paraId="3F1E4985">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根</w:t>
            </w:r>
          </w:p>
        </w:tc>
      </w:tr>
      <w:tr w14:paraId="5C3B9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7A357278">
            <w:pPr>
              <w:widowControl w:val="0"/>
              <w:snapToGrid w:val="0"/>
              <w:jc w:val="center"/>
              <w:rPr>
                <w:rFonts w:hint="default"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19</w:t>
            </w:r>
          </w:p>
        </w:tc>
        <w:tc>
          <w:tcPr>
            <w:tcW w:w="1058" w:type="dxa"/>
            <w:shd w:val="clear" w:color="auto" w:fill="auto"/>
            <w:vAlign w:val="center"/>
          </w:tcPr>
          <w:p w14:paraId="6F3D0664">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SC-SC光纤跳线</w:t>
            </w:r>
          </w:p>
        </w:tc>
        <w:tc>
          <w:tcPr>
            <w:tcW w:w="7032" w:type="dxa"/>
            <w:shd w:val="clear" w:color="auto" w:fill="auto"/>
            <w:vAlign w:val="center"/>
          </w:tcPr>
          <w:p w14:paraId="7C6DD93C">
            <w:pPr>
              <w:pStyle w:val="8"/>
              <w:widowControl w:val="0"/>
              <w:snapToGrid w:val="0"/>
              <w:rPr>
                <w:rFonts w:ascii="宋体" w:eastAsia="宋体" w:cs="宋体"/>
                <w:color w:val="auto"/>
                <w:kern w:val="0"/>
                <w:szCs w:val="21"/>
              </w:rPr>
            </w:pPr>
            <w:r>
              <w:rPr>
                <w:rFonts w:hint="eastAsia" w:ascii="宋体" w:eastAsia="宋体" w:cs="宋体"/>
                <w:color w:val="auto"/>
                <w:kern w:val="0"/>
                <w:szCs w:val="21"/>
              </w:rPr>
              <w:t>标准：YD/T1272，ISO/IEC 11801，ANSI/TIA-568-C.3，光缆：IEC60332-1-2，IEC61034-2，IEC60754-1（护套）、IEC60754-2（护套）</w:t>
            </w:r>
          </w:p>
          <w:p w14:paraId="21594222">
            <w:pPr>
              <w:pStyle w:val="8"/>
              <w:widowControl w:val="0"/>
              <w:snapToGrid w:val="0"/>
              <w:rPr>
                <w:rFonts w:ascii="宋体" w:eastAsia="宋体" w:cs="宋体"/>
                <w:color w:val="auto"/>
                <w:kern w:val="0"/>
                <w:szCs w:val="21"/>
              </w:rPr>
            </w:pPr>
            <w:r>
              <w:rPr>
                <w:rFonts w:hint="eastAsia" w:ascii="宋体" w:eastAsia="宋体" w:cs="宋体"/>
                <w:color w:val="auto"/>
                <w:kern w:val="0"/>
                <w:szCs w:val="21"/>
              </w:rPr>
              <w:t>依据标准出厂前100%光学测试，性能优于国内和国际标准</w:t>
            </w:r>
          </w:p>
          <w:p w14:paraId="036160F7">
            <w:pPr>
              <w:pStyle w:val="8"/>
              <w:widowControl w:val="0"/>
              <w:snapToGrid w:val="0"/>
              <w:rPr>
                <w:rFonts w:ascii="宋体" w:eastAsia="宋体" w:cs="宋体"/>
                <w:color w:val="auto"/>
                <w:kern w:val="0"/>
                <w:szCs w:val="21"/>
              </w:rPr>
            </w:pPr>
            <w:r>
              <w:rPr>
                <w:rFonts w:hint="eastAsia" w:ascii="宋体" w:eastAsia="宋体" w:cs="宋体"/>
                <w:color w:val="auto"/>
                <w:kern w:val="0"/>
                <w:szCs w:val="21"/>
              </w:rPr>
              <w:t>高质量陶瓷插芯，插入损耗低，耐久性好</w:t>
            </w:r>
          </w:p>
          <w:p w14:paraId="41703ECC">
            <w:pPr>
              <w:pStyle w:val="8"/>
              <w:widowControl w:val="0"/>
              <w:snapToGrid w:val="0"/>
              <w:rPr>
                <w:rFonts w:ascii="宋体" w:eastAsia="宋体" w:cs="宋体"/>
                <w:color w:val="auto"/>
                <w:kern w:val="0"/>
                <w:szCs w:val="21"/>
              </w:rPr>
            </w:pPr>
            <w:r>
              <w:rPr>
                <w:rFonts w:hint="eastAsia" w:ascii="宋体" w:eastAsia="宋体" w:cs="宋体"/>
                <w:color w:val="auto"/>
                <w:kern w:val="0"/>
                <w:szCs w:val="21"/>
              </w:rPr>
              <w:t>重复性，互换性，光学特性稳定</w:t>
            </w:r>
          </w:p>
          <w:p w14:paraId="3F1A323E">
            <w:pPr>
              <w:pStyle w:val="8"/>
              <w:widowControl w:val="0"/>
              <w:snapToGrid w:val="0"/>
              <w:rPr>
                <w:rFonts w:ascii="宋体" w:eastAsia="宋体" w:cs="宋体"/>
                <w:color w:val="auto"/>
                <w:kern w:val="0"/>
                <w:szCs w:val="21"/>
              </w:rPr>
            </w:pPr>
            <w:r>
              <w:rPr>
                <w:rFonts w:hint="eastAsia" w:ascii="宋体" w:eastAsia="宋体" w:cs="宋体"/>
                <w:color w:val="auto"/>
                <w:kern w:val="0"/>
                <w:szCs w:val="21"/>
              </w:rPr>
              <w:t>光纤类型：单模：OS2黄色</w:t>
            </w:r>
          </w:p>
          <w:p w14:paraId="752C0C97">
            <w:pPr>
              <w:pStyle w:val="8"/>
              <w:widowControl w:val="0"/>
              <w:snapToGrid w:val="0"/>
              <w:rPr>
                <w:rFonts w:ascii="宋体" w:eastAsia="宋体" w:cs="宋体"/>
                <w:color w:val="auto"/>
                <w:kern w:val="0"/>
                <w:szCs w:val="21"/>
              </w:rPr>
            </w:pPr>
            <w:r>
              <w:rPr>
                <w:rFonts w:hint="eastAsia" w:ascii="宋体" w:eastAsia="宋体" w:cs="宋体"/>
                <w:color w:val="auto"/>
                <w:kern w:val="0"/>
                <w:szCs w:val="21"/>
              </w:rPr>
              <w:t>加强材料：芳纶纱</w:t>
            </w:r>
          </w:p>
          <w:p w14:paraId="4F2535A7">
            <w:pPr>
              <w:pStyle w:val="8"/>
              <w:widowControl w:val="0"/>
              <w:snapToGrid w:val="0"/>
              <w:rPr>
                <w:rFonts w:ascii="宋体" w:eastAsia="宋体" w:cs="宋体"/>
                <w:color w:val="auto"/>
                <w:kern w:val="0"/>
                <w:szCs w:val="21"/>
              </w:rPr>
            </w:pPr>
            <w:r>
              <w:rPr>
                <w:rFonts w:hint="eastAsia" w:ascii="宋体" w:eastAsia="宋体" w:cs="宋体"/>
                <w:color w:val="auto"/>
                <w:kern w:val="0"/>
                <w:szCs w:val="21"/>
              </w:rPr>
              <w:t>光缆芯数/护套外径（mm）：单芯：2.0 紧包与护套材料：LSZH</w:t>
            </w:r>
          </w:p>
          <w:p w14:paraId="31FE2B96">
            <w:pPr>
              <w:pStyle w:val="8"/>
              <w:widowControl w:val="0"/>
              <w:snapToGrid w:val="0"/>
              <w:rPr>
                <w:rFonts w:ascii="宋体" w:eastAsia="宋体" w:cs="宋体"/>
                <w:color w:val="auto"/>
                <w:kern w:val="0"/>
                <w:szCs w:val="21"/>
              </w:rPr>
            </w:pPr>
            <w:r>
              <w:rPr>
                <w:rFonts w:hint="eastAsia" w:ascii="宋体" w:eastAsia="宋体" w:cs="宋体"/>
                <w:color w:val="auto"/>
                <w:kern w:val="0"/>
                <w:szCs w:val="21"/>
              </w:rPr>
              <w:t>长度：3米</w:t>
            </w:r>
          </w:p>
          <w:p w14:paraId="0E7F193F">
            <w:pPr>
              <w:pStyle w:val="8"/>
              <w:widowControl w:val="0"/>
              <w:snapToGrid w:val="0"/>
              <w:rPr>
                <w:rFonts w:ascii="宋体" w:eastAsia="宋体" w:cs="宋体"/>
                <w:color w:val="auto"/>
                <w:kern w:val="0"/>
                <w:szCs w:val="21"/>
              </w:rPr>
            </w:pPr>
            <w:r>
              <w:rPr>
                <w:rFonts w:hint="eastAsia" w:ascii="宋体" w:eastAsia="宋体" w:cs="宋体"/>
                <w:color w:val="auto"/>
                <w:kern w:val="0"/>
                <w:szCs w:val="21"/>
              </w:rPr>
              <w:t>端面类型：UPC</w:t>
            </w:r>
          </w:p>
          <w:p w14:paraId="58C24E47">
            <w:pPr>
              <w:pStyle w:val="8"/>
              <w:widowControl w:val="0"/>
              <w:snapToGrid w:val="0"/>
              <w:rPr>
                <w:rFonts w:ascii="宋体" w:eastAsia="宋体" w:cs="宋体"/>
                <w:color w:val="auto"/>
                <w:kern w:val="0"/>
                <w:szCs w:val="21"/>
              </w:rPr>
            </w:pPr>
            <w:r>
              <w:rPr>
                <w:rFonts w:hint="eastAsia" w:ascii="宋体" w:eastAsia="宋体" w:cs="宋体"/>
                <w:color w:val="auto"/>
                <w:kern w:val="0"/>
                <w:szCs w:val="21"/>
              </w:rPr>
              <w:t>插入损耗（含重复性）：≤0.2dB（典型值）</w:t>
            </w:r>
          </w:p>
          <w:p w14:paraId="0C7B3548">
            <w:pPr>
              <w:pStyle w:val="8"/>
              <w:widowControl w:val="0"/>
              <w:snapToGrid w:val="0"/>
              <w:rPr>
                <w:rFonts w:ascii="宋体" w:eastAsia="宋体" w:cs="宋体"/>
                <w:color w:val="auto"/>
                <w:kern w:val="0"/>
                <w:szCs w:val="21"/>
              </w:rPr>
            </w:pPr>
            <w:r>
              <w:rPr>
                <w:rFonts w:hint="eastAsia" w:ascii="宋体" w:eastAsia="宋体" w:cs="宋体"/>
                <w:color w:val="auto"/>
                <w:kern w:val="0"/>
                <w:szCs w:val="21"/>
              </w:rPr>
              <w:t>互换性：≤0.2dB</w:t>
            </w:r>
          </w:p>
          <w:p w14:paraId="41640243">
            <w:pPr>
              <w:pStyle w:val="8"/>
              <w:widowControl w:val="0"/>
              <w:snapToGrid w:val="0"/>
              <w:rPr>
                <w:rFonts w:ascii="宋体" w:eastAsia="宋体" w:cs="宋体"/>
                <w:color w:val="auto"/>
                <w:kern w:val="0"/>
                <w:szCs w:val="21"/>
              </w:rPr>
            </w:pPr>
            <w:r>
              <w:rPr>
                <w:rFonts w:hint="eastAsia" w:ascii="宋体" w:eastAsia="宋体" w:cs="宋体"/>
                <w:color w:val="auto"/>
                <w:kern w:val="0"/>
                <w:szCs w:val="21"/>
              </w:rPr>
              <w:t>机械耐久性：≥500次</w:t>
            </w:r>
          </w:p>
          <w:p w14:paraId="1569FE25">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工作温度：-20℃~+60℃</w:t>
            </w:r>
          </w:p>
        </w:tc>
        <w:tc>
          <w:tcPr>
            <w:tcW w:w="846" w:type="dxa"/>
            <w:shd w:val="clear" w:color="auto" w:fill="auto"/>
            <w:vAlign w:val="center"/>
          </w:tcPr>
          <w:p w14:paraId="50ADCDF6">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8</w:t>
            </w:r>
          </w:p>
        </w:tc>
        <w:tc>
          <w:tcPr>
            <w:tcW w:w="465" w:type="dxa"/>
            <w:shd w:val="clear" w:color="auto" w:fill="auto"/>
            <w:vAlign w:val="center"/>
          </w:tcPr>
          <w:p w14:paraId="5211AAC5">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条</w:t>
            </w:r>
          </w:p>
        </w:tc>
      </w:tr>
      <w:tr w14:paraId="2DA0B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5C213E60">
            <w:pPr>
              <w:widowControl w:val="0"/>
              <w:snapToGrid w:val="0"/>
              <w:jc w:val="center"/>
              <w:rPr>
                <w:rFonts w:hint="default"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20</w:t>
            </w:r>
          </w:p>
        </w:tc>
        <w:tc>
          <w:tcPr>
            <w:tcW w:w="1058" w:type="dxa"/>
            <w:shd w:val="clear" w:color="auto" w:fill="auto"/>
            <w:vAlign w:val="center"/>
          </w:tcPr>
          <w:p w14:paraId="7C867C6D">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千兆交换机</w:t>
            </w:r>
          </w:p>
        </w:tc>
        <w:tc>
          <w:tcPr>
            <w:tcW w:w="7032" w:type="dxa"/>
            <w:shd w:val="clear" w:color="auto" w:fill="auto"/>
            <w:vAlign w:val="center"/>
          </w:tcPr>
          <w:p w14:paraId="49EDF401">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8个10/100/1000Mbps电口，支持端口状态/流量查询，端口远程重启，交换机远程重启，VLAN隔离，端口隔离，环路保护，DHCP Snooping等，支持EWEB/APP远程管理，桌面型不可上机架</w:t>
            </w:r>
          </w:p>
        </w:tc>
        <w:tc>
          <w:tcPr>
            <w:tcW w:w="846" w:type="dxa"/>
            <w:shd w:val="clear" w:color="auto" w:fill="auto"/>
            <w:vAlign w:val="center"/>
          </w:tcPr>
          <w:p w14:paraId="299FE38B">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5</w:t>
            </w:r>
          </w:p>
        </w:tc>
        <w:tc>
          <w:tcPr>
            <w:tcW w:w="465" w:type="dxa"/>
            <w:shd w:val="clear" w:color="auto" w:fill="auto"/>
            <w:vAlign w:val="center"/>
          </w:tcPr>
          <w:p w14:paraId="46038227">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台</w:t>
            </w:r>
          </w:p>
        </w:tc>
      </w:tr>
      <w:tr w14:paraId="6FAFF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185666B0">
            <w:pPr>
              <w:widowControl w:val="0"/>
              <w:snapToGrid w:val="0"/>
              <w:jc w:val="center"/>
              <w:rPr>
                <w:rFonts w:hint="default"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21</w:t>
            </w:r>
          </w:p>
        </w:tc>
        <w:tc>
          <w:tcPr>
            <w:tcW w:w="1058" w:type="dxa"/>
            <w:shd w:val="clear" w:color="auto" w:fill="auto"/>
            <w:vAlign w:val="center"/>
          </w:tcPr>
          <w:p w14:paraId="434315C6">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汇聚交换机</w:t>
            </w:r>
          </w:p>
        </w:tc>
        <w:tc>
          <w:tcPr>
            <w:tcW w:w="7032" w:type="dxa"/>
            <w:shd w:val="clear" w:color="auto" w:fill="auto"/>
            <w:vAlign w:val="center"/>
          </w:tcPr>
          <w:p w14:paraId="79319536">
            <w:pPr>
              <w:pStyle w:val="8"/>
              <w:widowControl w:val="0"/>
              <w:snapToGrid w:val="0"/>
              <w:rPr>
                <w:rFonts w:ascii="宋体" w:eastAsia="宋体" w:cs="宋体"/>
                <w:color w:val="auto"/>
                <w:kern w:val="0"/>
                <w:szCs w:val="21"/>
              </w:rPr>
            </w:pPr>
            <w:r>
              <w:rPr>
                <w:rFonts w:hint="eastAsia" w:ascii="宋体" w:eastAsia="宋体" w:cs="宋体"/>
                <w:color w:val="auto"/>
                <w:kern w:val="0"/>
                <w:szCs w:val="21"/>
              </w:rPr>
              <w:t>1、交换容量≥672Gbps，包转发率≥171Mpps。配置千兆电口≥24个，非复用千兆光口≥4个</w:t>
            </w:r>
          </w:p>
          <w:p w14:paraId="08EFC03C">
            <w:pPr>
              <w:pStyle w:val="8"/>
              <w:widowControl w:val="0"/>
              <w:snapToGrid w:val="0"/>
              <w:rPr>
                <w:rFonts w:ascii="宋体" w:eastAsia="宋体" w:cs="宋体"/>
                <w:color w:val="auto"/>
                <w:kern w:val="0"/>
                <w:szCs w:val="21"/>
              </w:rPr>
            </w:pPr>
            <w:r>
              <w:rPr>
                <w:rFonts w:hint="eastAsia" w:ascii="宋体" w:eastAsia="宋体" w:cs="宋体"/>
                <w:color w:val="auto"/>
                <w:kern w:val="0"/>
                <w:szCs w:val="21"/>
              </w:rPr>
              <w:t>2、交换机半导体器件的失效率随温度增加指数上升，为保证设备在弱电井正常工作，设备需在0-50℃</w:t>
            </w:r>
          </w:p>
          <w:p w14:paraId="5CE90A9F">
            <w:pPr>
              <w:pStyle w:val="8"/>
              <w:widowControl w:val="0"/>
              <w:snapToGrid w:val="0"/>
              <w:rPr>
                <w:rFonts w:ascii="宋体" w:eastAsia="宋体" w:cs="宋体"/>
                <w:color w:val="auto"/>
                <w:kern w:val="0"/>
                <w:szCs w:val="21"/>
              </w:rPr>
            </w:pPr>
            <w:r>
              <w:rPr>
                <w:rFonts w:hint="eastAsia" w:ascii="宋体" w:eastAsia="宋体" w:cs="宋体"/>
                <w:color w:val="auto"/>
                <w:kern w:val="0"/>
                <w:szCs w:val="21"/>
              </w:rPr>
              <w:t>3、支持虚拟化功能，最多可将9台物理设备虚拟化为一台逻辑设备统一管理，并且链路故障的收敛时间≤30ms</w:t>
            </w:r>
          </w:p>
          <w:p w14:paraId="5DE7C7C2">
            <w:pPr>
              <w:pStyle w:val="8"/>
              <w:widowControl w:val="0"/>
              <w:snapToGrid w:val="0"/>
              <w:rPr>
                <w:rFonts w:ascii="宋体" w:eastAsia="宋体" w:cs="宋体"/>
                <w:color w:val="auto"/>
                <w:kern w:val="0"/>
                <w:szCs w:val="21"/>
              </w:rPr>
            </w:pPr>
            <w:r>
              <w:rPr>
                <w:rFonts w:hint="eastAsia" w:ascii="宋体" w:eastAsia="宋体" w:cs="宋体"/>
                <w:color w:val="auto"/>
                <w:kern w:val="0"/>
                <w:szCs w:val="21"/>
              </w:rPr>
              <w:t>4、支持MAC地址自动学习和老化</w:t>
            </w:r>
          </w:p>
          <w:p w14:paraId="592730C0">
            <w:pPr>
              <w:pStyle w:val="8"/>
              <w:widowControl w:val="0"/>
              <w:snapToGrid w:val="0"/>
              <w:rPr>
                <w:rFonts w:ascii="宋体" w:eastAsia="宋体" w:cs="宋体"/>
                <w:color w:val="auto"/>
                <w:kern w:val="0"/>
                <w:szCs w:val="21"/>
              </w:rPr>
            </w:pPr>
            <w:r>
              <w:rPr>
                <w:rFonts w:hint="eastAsia" w:ascii="宋体" w:eastAsia="宋体" w:cs="宋体"/>
                <w:color w:val="auto"/>
                <w:kern w:val="0"/>
                <w:szCs w:val="21"/>
              </w:rPr>
              <w:t>5、支持4K802.1QVLAN</w:t>
            </w:r>
          </w:p>
          <w:p w14:paraId="557E0C93">
            <w:pPr>
              <w:pStyle w:val="8"/>
              <w:widowControl w:val="0"/>
              <w:snapToGrid w:val="0"/>
              <w:rPr>
                <w:rFonts w:ascii="宋体" w:eastAsia="宋体" w:cs="宋体"/>
                <w:color w:val="auto"/>
                <w:kern w:val="0"/>
                <w:szCs w:val="21"/>
              </w:rPr>
            </w:pPr>
            <w:r>
              <w:rPr>
                <w:rFonts w:hint="eastAsia" w:ascii="宋体" w:eastAsia="宋体" w:cs="宋体"/>
                <w:color w:val="auto"/>
                <w:kern w:val="0"/>
                <w:szCs w:val="21"/>
              </w:rPr>
              <w:t>6、支持ITU-TG.8032国际公有环网协议ERPS,并且链路故障的收敛时间≤50ms</w:t>
            </w:r>
          </w:p>
          <w:p w14:paraId="415AE4DD">
            <w:pPr>
              <w:pStyle w:val="8"/>
              <w:widowControl w:val="0"/>
              <w:snapToGrid w:val="0"/>
              <w:rPr>
                <w:rFonts w:ascii="宋体" w:eastAsia="宋体" w:cs="宋体"/>
                <w:color w:val="auto"/>
                <w:kern w:val="0"/>
                <w:szCs w:val="21"/>
              </w:rPr>
            </w:pPr>
            <w:r>
              <w:rPr>
                <w:rFonts w:hint="eastAsia" w:ascii="宋体" w:eastAsia="宋体" w:cs="宋体"/>
                <w:color w:val="auto"/>
                <w:kern w:val="0"/>
                <w:szCs w:val="21"/>
              </w:rPr>
              <w:t>7、支持广播风暴抑制</w:t>
            </w:r>
          </w:p>
          <w:p w14:paraId="52846FB3">
            <w:pPr>
              <w:pStyle w:val="8"/>
              <w:widowControl w:val="0"/>
              <w:snapToGrid w:val="0"/>
              <w:rPr>
                <w:rFonts w:ascii="宋体" w:eastAsia="宋体" w:cs="宋体"/>
                <w:color w:val="auto"/>
                <w:kern w:val="0"/>
                <w:szCs w:val="21"/>
              </w:rPr>
            </w:pPr>
            <w:r>
              <w:rPr>
                <w:rFonts w:hint="eastAsia" w:ascii="宋体" w:eastAsia="宋体" w:cs="宋体"/>
                <w:color w:val="auto"/>
                <w:kern w:val="0"/>
                <w:szCs w:val="21"/>
              </w:rPr>
              <w:t>8、支持IEEE802.3az标准的EEE节能技术，减小端口功耗</w:t>
            </w:r>
          </w:p>
          <w:p w14:paraId="35ED4398">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9、支持SNMPv1/v2C/v3、CLI(Telnet/Console)、RMON(1,2,3,9)、SSH、Syslog、NTP/SNTP、Web管理</w:t>
            </w:r>
          </w:p>
        </w:tc>
        <w:tc>
          <w:tcPr>
            <w:tcW w:w="846" w:type="dxa"/>
            <w:shd w:val="clear" w:color="auto" w:fill="auto"/>
            <w:vAlign w:val="center"/>
          </w:tcPr>
          <w:p w14:paraId="26ABD01E">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w:t>
            </w:r>
          </w:p>
        </w:tc>
        <w:tc>
          <w:tcPr>
            <w:tcW w:w="465" w:type="dxa"/>
            <w:shd w:val="clear" w:color="auto" w:fill="auto"/>
            <w:vAlign w:val="center"/>
          </w:tcPr>
          <w:p w14:paraId="71A1FA77">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台</w:t>
            </w:r>
          </w:p>
        </w:tc>
      </w:tr>
      <w:tr w14:paraId="092B7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295C9763">
            <w:pPr>
              <w:widowControl w:val="0"/>
              <w:snapToGrid w:val="0"/>
              <w:jc w:val="center"/>
              <w:rPr>
                <w:rFonts w:hint="default"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22</w:t>
            </w:r>
          </w:p>
        </w:tc>
        <w:tc>
          <w:tcPr>
            <w:tcW w:w="1058" w:type="dxa"/>
            <w:shd w:val="clear" w:color="auto" w:fill="auto"/>
            <w:vAlign w:val="center"/>
          </w:tcPr>
          <w:p w14:paraId="7039DAFA">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千兆光纤收发器</w:t>
            </w:r>
          </w:p>
        </w:tc>
        <w:tc>
          <w:tcPr>
            <w:tcW w:w="7032" w:type="dxa"/>
            <w:shd w:val="clear" w:color="auto" w:fill="auto"/>
            <w:vAlign w:val="center"/>
          </w:tcPr>
          <w:p w14:paraId="59B870DE">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1个10/100/1000Mbps自适应RJ45电口，1个1000Mbps SC光口，最大传输距离3kM，非网管型光纤收发器</w:t>
            </w:r>
          </w:p>
        </w:tc>
        <w:tc>
          <w:tcPr>
            <w:tcW w:w="846" w:type="dxa"/>
            <w:shd w:val="clear" w:color="auto" w:fill="auto"/>
            <w:vAlign w:val="center"/>
          </w:tcPr>
          <w:p w14:paraId="1B88CEBF">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4</w:t>
            </w:r>
          </w:p>
        </w:tc>
        <w:tc>
          <w:tcPr>
            <w:tcW w:w="465" w:type="dxa"/>
            <w:shd w:val="clear" w:color="auto" w:fill="auto"/>
            <w:vAlign w:val="center"/>
          </w:tcPr>
          <w:p w14:paraId="110DF99A">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对</w:t>
            </w:r>
          </w:p>
        </w:tc>
      </w:tr>
      <w:tr w14:paraId="1DCC1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72476EDA">
            <w:pPr>
              <w:widowControl w:val="0"/>
              <w:snapToGrid w:val="0"/>
              <w:jc w:val="center"/>
              <w:rPr>
                <w:rFonts w:hint="default"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23</w:t>
            </w:r>
          </w:p>
        </w:tc>
        <w:tc>
          <w:tcPr>
            <w:tcW w:w="1058" w:type="dxa"/>
            <w:shd w:val="clear" w:color="auto" w:fill="auto"/>
            <w:vAlign w:val="center"/>
          </w:tcPr>
          <w:p w14:paraId="3E117298">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收发器机架</w:t>
            </w:r>
          </w:p>
        </w:tc>
        <w:tc>
          <w:tcPr>
            <w:tcW w:w="7032" w:type="dxa"/>
            <w:shd w:val="clear" w:color="auto" w:fill="auto"/>
            <w:vAlign w:val="center"/>
          </w:tcPr>
          <w:p w14:paraId="45E5673A">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标准19英寸2U设计，14槽机架，可插入14台光纤收发器，兼容单电口光收发器使用。</w:t>
            </w:r>
          </w:p>
        </w:tc>
        <w:tc>
          <w:tcPr>
            <w:tcW w:w="846" w:type="dxa"/>
            <w:shd w:val="clear" w:color="auto" w:fill="auto"/>
            <w:vAlign w:val="center"/>
          </w:tcPr>
          <w:p w14:paraId="527B5615">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w:t>
            </w:r>
          </w:p>
        </w:tc>
        <w:tc>
          <w:tcPr>
            <w:tcW w:w="465" w:type="dxa"/>
            <w:shd w:val="clear" w:color="auto" w:fill="auto"/>
            <w:vAlign w:val="center"/>
          </w:tcPr>
          <w:p w14:paraId="68654EFD">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套</w:t>
            </w:r>
          </w:p>
        </w:tc>
      </w:tr>
      <w:tr w14:paraId="60A5E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79171C18">
            <w:pPr>
              <w:widowControl w:val="0"/>
              <w:snapToGrid w:val="0"/>
              <w:jc w:val="center"/>
              <w:rPr>
                <w:rFonts w:hint="default"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24</w:t>
            </w:r>
          </w:p>
        </w:tc>
        <w:tc>
          <w:tcPr>
            <w:tcW w:w="1058" w:type="dxa"/>
            <w:shd w:val="clear" w:color="auto" w:fill="auto"/>
            <w:vAlign w:val="center"/>
          </w:tcPr>
          <w:p w14:paraId="5DD30392">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室外防水箱</w:t>
            </w:r>
          </w:p>
        </w:tc>
        <w:tc>
          <w:tcPr>
            <w:tcW w:w="7032" w:type="dxa"/>
            <w:shd w:val="clear" w:color="auto" w:fill="auto"/>
            <w:vAlign w:val="center"/>
          </w:tcPr>
          <w:p w14:paraId="76346634">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高470*宽350*深150  加厚铁箱，底部带锁，内含5孔排插</w:t>
            </w:r>
          </w:p>
        </w:tc>
        <w:tc>
          <w:tcPr>
            <w:tcW w:w="846" w:type="dxa"/>
            <w:shd w:val="clear" w:color="auto" w:fill="auto"/>
            <w:vAlign w:val="center"/>
          </w:tcPr>
          <w:p w14:paraId="53ABF47B">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5</w:t>
            </w:r>
          </w:p>
        </w:tc>
        <w:tc>
          <w:tcPr>
            <w:tcW w:w="465" w:type="dxa"/>
            <w:shd w:val="clear" w:color="auto" w:fill="auto"/>
            <w:vAlign w:val="center"/>
          </w:tcPr>
          <w:p w14:paraId="568CE8CA">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台</w:t>
            </w:r>
          </w:p>
        </w:tc>
      </w:tr>
      <w:tr w14:paraId="6DD19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4DC1F82D">
            <w:pPr>
              <w:widowControl w:val="0"/>
              <w:snapToGrid w:val="0"/>
              <w:jc w:val="center"/>
              <w:rPr>
                <w:rFonts w:hint="default"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25</w:t>
            </w:r>
          </w:p>
        </w:tc>
        <w:tc>
          <w:tcPr>
            <w:tcW w:w="1058" w:type="dxa"/>
            <w:shd w:val="clear" w:color="auto" w:fill="auto"/>
            <w:vAlign w:val="center"/>
          </w:tcPr>
          <w:p w14:paraId="7B197CDA">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22U网络机柜</w:t>
            </w:r>
          </w:p>
        </w:tc>
        <w:tc>
          <w:tcPr>
            <w:tcW w:w="7032" w:type="dxa"/>
            <w:shd w:val="clear" w:color="auto" w:fill="auto"/>
            <w:vAlign w:val="center"/>
          </w:tcPr>
          <w:p w14:paraId="08251D2F">
            <w:pPr>
              <w:pStyle w:val="8"/>
              <w:widowControl w:val="0"/>
              <w:snapToGrid w:val="0"/>
              <w:rPr>
                <w:rFonts w:ascii="宋体" w:eastAsia="宋体" w:cs="宋体"/>
                <w:color w:val="auto"/>
                <w:kern w:val="0"/>
                <w:szCs w:val="21"/>
              </w:rPr>
            </w:pPr>
            <w:r>
              <w:rPr>
                <w:rFonts w:hint="eastAsia" w:ascii="宋体" w:eastAsia="宋体" w:cs="宋体"/>
                <w:color w:val="auto"/>
                <w:kern w:val="0"/>
                <w:szCs w:val="21"/>
              </w:rPr>
              <w:t>22U机柜 600*600*1200mm</w:t>
            </w:r>
            <w:r>
              <w:rPr>
                <w:rFonts w:ascii="宋体" w:eastAsia="宋体" w:cs="宋体"/>
                <w:color w:val="auto"/>
                <w:kern w:val="0"/>
                <w:szCs w:val="21"/>
              </w:rPr>
              <w:t>(±</w:t>
            </w:r>
            <w:r>
              <w:rPr>
                <w:rFonts w:hint="eastAsia" w:ascii="宋体" w:eastAsia="宋体" w:cs="宋体"/>
                <w:color w:val="auto"/>
                <w:kern w:val="0"/>
                <w:szCs w:val="21"/>
              </w:rPr>
              <w:t>10mm</w:t>
            </w:r>
            <w:r>
              <w:rPr>
                <w:rFonts w:ascii="宋体" w:eastAsia="宋体" w:cs="宋体"/>
                <w:color w:val="auto"/>
                <w:kern w:val="0"/>
                <w:szCs w:val="21"/>
              </w:rPr>
              <w:t>)</w:t>
            </w:r>
          </w:p>
          <w:p w14:paraId="61673490">
            <w:pPr>
              <w:pStyle w:val="8"/>
              <w:widowControl w:val="0"/>
              <w:snapToGrid w:val="0"/>
              <w:rPr>
                <w:rFonts w:ascii="宋体" w:eastAsia="宋体" w:cs="宋体"/>
                <w:color w:val="auto"/>
                <w:kern w:val="0"/>
                <w:szCs w:val="21"/>
              </w:rPr>
            </w:pPr>
            <w:r>
              <w:rPr>
                <w:rFonts w:hint="eastAsia" w:ascii="宋体" w:eastAsia="宋体" w:cs="宋体"/>
                <w:color w:val="auto"/>
                <w:kern w:val="0"/>
                <w:szCs w:val="21"/>
              </w:rPr>
              <w:t>承载：静载800KG.</w:t>
            </w:r>
          </w:p>
          <w:p w14:paraId="0A125B9B">
            <w:pPr>
              <w:pStyle w:val="8"/>
              <w:widowControl w:val="0"/>
              <w:snapToGrid w:val="0"/>
              <w:rPr>
                <w:rFonts w:ascii="宋体" w:eastAsia="宋体" w:cs="宋体"/>
                <w:color w:val="auto"/>
                <w:kern w:val="0"/>
                <w:szCs w:val="21"/>
              </w:rPr>
            </w:pPr>
            <w:r>
              <w:rPr>
                <w:rFonts w:hint="eastAsia" w:ascii="宋体" w:eastAsia="宋体" w:cs="宋体"/>
                <w:color w:val="auto"/>
                <w:kern w:val="0"/>
                <w:szCs w:val="21"/>
              </w:rPr>
              <w:t xml:space="preserve">防护等级：IP20 </w:t>
            </w:r>
          </w:p>
          <w:p w14:paraId="385094ED">
            <w:pPr>
              <w:pStyle w:val="8"/>
              <w:widowControl w:val="0"/>
              <w:snapToGrid w:val="0"/>
              <w:rPr>
                <w:rFonts w:ascii="宋体" w:eastAsia="宋体" w:cs="宋体"/>
                <w:color w:val="auto"/>
                <w:kern w:val="0"/>
                <w:szCs w:val="21"/>
              </w:rPr>
            </w:pPr>
            <w:r>
              <w:rPr>
                <w:rFonts w:hint="eastAsia" w:ascii="宋体" w:eastAsia="宋体" w:cs="宋体"/>
                <w:color w:val="auto"/>
                <w:kern w:val="0"/>
                <w:szCs w:val="21"/>
              </w:rPr>
              <w:t>主要材料:</w:t>
            </w:r>
          </w:p>
          <w:p w14:paraId="424D01F4">
            <w:pPr>
              <w:pStyle w:val="8"/>
              <w:widowControl w:val="0"/>
              <w:snapToGrid w:val="0"/>
              <w:rPr>
                <w:rFonts w:ascii="宋体" w:eastAsia="宋体" w:cs="宋体"/>
                <w:color w:val="auto"/>
                <w:kern w:val="0"/>
                <w:szCs w:val="21"/>
              </w:rPr>
            </w:pPr>
            <w:r>
              <w:rPr>
                <w:rFonts w:hint="eastAsia" w:ascii="宋体" w:eastAsia="宋体" w:cs="宋体"/>
                <w:color w:val="auto"/>
                <w:kern w:val="0"/>
                <w:szCs w:val="21"/>
              </w:rPr>
              <w:t>方孔条与安装梁：无花钝化镀锌板</w:t>
            </w:r>
          </w:p>
          <w:p w14:paraId="746D02D2">
            <w:pPr>
              <w:pStyle w:val="8"/>
              <w:widowControl w:val="0"/>
              <w:snapToGrid w:val="0"/>
              <w:rPr>
                <w:rFonts w:ascii="宋体" w:eastAsia="宋体" w:cs="宋体"/>
                <w:color w:val="auto"/>
                <w:kern w:val="0"/>
                <w:szCs w:val="21"/>
              </w:rPr>
            </w:pPr>
            <w:r>
              <w:rPr>
                <w:rFonts w:hint="eastAsia" w:ascii="宋体" w:eastAsia="宋体" w:cs="宋体"/>
                <w:color w:val="auto"/>
                <w:kern w:val="0"/>
                <w:szCs w:val="21"/>
              </w:rPr>
              <w:t>其余：SPCC优质冷轧板；</w:t>
            </w:r>
          </w:p>
          <w:p w14:paraId="084CDC63">
            <w:pPr>
              <w:pStyle w:val="8"/>
              <w:widowControl w:val="0"/>
              <w:snapToGrid w:val="0"/>
              <w:rPr>
                <w:rFonts w:ascii="宋体" w:eastAsia="宋体" w:cs="宋体"/>
                <w:color w:val="auto"/>
                <w:kern w:val="0"/>
                <w:szCs w:val="21"/>
              </w:rPr>
            </w:pPr>
            <w:r>
              <w:rPr>
                <w:rFonts w:hint="eastAsia" w:ascii="宋体" w:eastAsia="宋体" w:cs="宋体"/>
                <w:color w:val="auto"/>
                <w:kern w:val="0"/>
                <w:szCs w:val="21"/>
              </w:rPr>
              <w:t>厚度：方孔条2.0mm；安装梁1.5mm；其余1.2mm。</w:t>
            </w:r>
          </w:p>
          <w:p w14:paraId="316DF1E1">
            <w:pPr>
              <w:pStyle w:val="8"/>
              <w:widowControl w:val="0"/>
              <w:snapToGrid w:val="0"/>
              <w:rPr>
                <w:rFonts w:ascii="宋体" w:eastAsia="宋体" w:cs="宋体"/>
                <w:color w:val="auto"/>
                <w:kern w:val="0"/>
                <w:szCs w:val="21"/>
              </w:rPr>
            </w:pPr>
            <w:r>
              <w:rPr>
                <w:rFonts w:hint="eastAsia" w:ascii="宋体" w:eastAsia="宋体" w:cs="宋体"/>
                <w:color w:val="auto"/>
                <w:kern w:val="0"/>
                <w:szCs w:val="21"/>
              </w:rPr>
              <w:t>表面处理：</w:t>
            </w:r>
          </w:p>
          <w:p w14:paraId="06C45E11">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脱脂、酸洗、陶化、静电喷塑.</w:t>
            </w:r>
          </w:p>
        </w:tc>
        <w:tc>
          <w:tcPr>
            <w:tcW w:w="846" w:type="dxa"/>
            <w:shd w:val="clear" w:color="auto" w:fill="auto"/>
            <w:vAlign w:val="center"/>
          </w:tcPr>
          <w:p w14:paraId="07BAF4FC">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w:t>
            </w:r>
          </w:p>
        </w:tc>
        <w:tc>
          <w:tcPr>
            <w:tcW w:w="465" w:type="dxa"/>
            <w:shd w:val="clear" w:color="auto" w:fill="auto"/>
            <w:vAlign w:val="center"/>
          </w:tcPr>
          <w:p w14:paraId="1C821223">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台</w:t>
            </w:r>
          </w:p>
        </w:tc>
      </w:tr>
      <w:tr w14:paraId="00370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3ED3CF40">
            <w:pPr>
              <w:widowControl w:val="0"/>
              <w:snapToGrid w:val="0"/>
              <w:jc w:val="center"/>
              <w:rPr>
                <w:rFonts w:hint="default"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26</w:t>
            </w:r>
          </w:p>
        </w:tc>
        <w:tc>
          <w:tcPr>
            <w:tcW w:w="1058" w:type="dxa"/>
            <w:shd w:val="clear" w:color="auto" w:fill="auto"/>
            <w:vAlign w:val="center"/>
          </w:tcPr>
          <w:p w14:paraId="62CFFDC2">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主干电源线</w:t>
            </w:r>
          </w:p>
        </w:tc>
        <w:tc>
          <w:tcPr>
            <w:tcW w:w="7032" w:type="dxa"/>
            <w:shd w:val="clear" w:color="auto" w:fill="auto"/>
            <w:vAlign w:val="center"/>
          </w:tcPr>
          <w:p w14:paraId="5F6CF207">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RVV3*2.5mm²</w:t>
            </w:r>
          </w:p>
        </w:tc>
        <w:tc>
          <w:tcPr>
            <w:tcW w:w="846" w:type="dxa"/>
            <w:shd w:val="clear" w:color="auto" w:fill="auto"/>
            <w:vAlign w:val="center"/>
          </w:tcPr>
          <w:p w14:paraId="7D9AAD8A">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200</w:t>
            </w:r>
          </w:p>
        </w:tc>
        <w:tc>
          <w:tcPr>
            <w:tcW w:w="465" w:type="dxa"/>
            <w:shd w:val="clear" w:color="auto" w:fill="auto"/>
            <w:vAlign w:val="center"/>
          </w:tcPr>
          <w:p w14:paraId="39CD91DD">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米</w:t>
            </w:r>
          </w:p>
        </w:tc>
      </w:tr>
      <w:tr w14:paraId="6293D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747A8AFF">
            <w:pPr>
              <w:widowControl w:val="0"/>
              <w:snapToGrid w:val="0"/>
              <w:jc w:val="center"/>
              <w:rPr>
                <w:rFonts w:hint="default"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27</w:t>
            </w:r>
          </w:p>
        </w:tc>
        <w:tc>
          <w:tcPr>
            <w:tcW w:w="1058" w:type="dxa"/>
            <w:shd w:val="clear" w:color="auto" w:fill="auto"/>
            <w:vAlign w:val="center"/>
          </w:tcPr>
          <w:p w14:paraId="79CD6B23">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PVC管(穿主干电源线)</w:t>
            </w:r>
          </w:p>
        </w:tc>
        <w:tc>
          <w:tcPr>
            <w:tcW w:w="7032" w:type="dxa"/>
            <w:shd w:val="clear" w:color="auto" w:fill="auto"/>
            <w:vAlign w:val="center"/>
          </w:tcPr>
          <w:p w14:paraId="7AF50783">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室外穿线管，PVC25含弯头、三通、直通、管卡、杯塑等配件，设备箱电源线从就近单元楼取电套管</w:t>
            </w:r>
          </w:p>
        </w:tc>
        <w:tc>
          <w:tcPr>
            <w:tcW w:w="846" w:type="dxa"/>
            <w:shd w:val="clear" w:color="auto" w:fill="auto"/>
            <w:vAlign w:val="center"/>
          </w:tcPr>
          <w:p w14:paraId="70041B14">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200</w:t>
            </w:r>
          </w:p>
        </w:tc>
        <w:tc>
          <w:tcPr>
            <w:tcW w:w="465" w:type="dxa"/>
            <w:shd w:val="clear" w:color="auto" w:fill="auto"/>
            <w:vAlign w:val="center"/>
          </w:tcPr>
          <w:p w14:paraId="5628B0FC">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米</w:t>
            </w:r>
          </w:p>
        </w:tc>
      </w:tr>
      <w:tr w14:paraId="1C6E8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5141BA03">
            <w:pPr>
              <w:widowControl w:val="0"/>
              <w:snapToGrid w:val="0"/>
              <w:jc w:val="center"/>
              <w:rPr>
                <w:rFonts w:hint="default"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28</w:t>
            </w:r>
          </w:p>
        </w:tc>
        <w:tc>
          <w:tcPr>
            <w:tcW w:w="1058" w:type="dxa"/>
            <w:shd w:val="clear" w:color="auto" w:fill="auto"/>
            <w:vAlign w:val="center"/>
          </w:tcPr>
          <w:p w14:paraId="5D8ED4CF">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室外开挖及恢复(人行通道)</w:t>
            </w:r>
          </w:p>
        </w:tc>
        <w:tc>
          <w:tcPr>
            <w:tcW w:w="7032" w:type="dxa"/>
            <w:shd w:val="clear" w:color="auto" w:fill="auto"/>
            <w:vAlign w:val="center"/>
          </w:tcPr>
          <w:p w14:paraId="0C7C7B09">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室外人行通道开挖敷设PE管，并回填完成</w:t>
            </w:r>
          </w:p>
        </w:tc>
        <w:tc>
          <w:tcPr>
            <w:tcW w:w="846" w:type="dxa"/>
            <w:shd w:val="clear" w:color="auto" w:fill="auto"/>
            <w:vAlign w:val="center"/>
          </w:tcPr>
          <w:p w14:paraId="58D496CB">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350</w:t>
            </w:r>
          </w:p>
        </w:tc>
        <w:tc>
          <w:tcPr>
            <w:tcW w:w="465" w:type="dxa"/>
            <w:shd w:val="clear" w:color="auto" w:fill="auto"/>
            <w:vAlign w:val="center"/>
          </w:tcPr>
          <w:p w14:paraId="5E09915F">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米</w:t>
            </w:r>
          </w:p>
        </w:tc>
      </w:tr>
      <w:tr w14:paraId="3E312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218F8809">
            <w:pPr>
              <w:widowControl w:val="0"/>
              <w:snapToGrid w:val="0"/>
              <w:jc w:val="center"/>
              <w:rPr>
                <w:rFonts w:hint="default"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29</w:t>
            </w:r>
          </w:p>
        </w:tc>
        <w:tc>
          <w:tcPr>
            <w:tcW w:w="1058" w:type="dxa"/>
            <w:shd w:val="clear" w:color="auto" w:fill="auto"/>
            <w:vAlign w:val="center"/>
          </w:tcPr>
          <w:p w14:paraId="1EEEE704">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室外开挖及恢复(过马路)</w:t>
            </w:r>
          </w:p>
        </w:tc>
        <w:tc>
          <w:tcPr>
            <w:tcW w:w="7032" w:type="dxa"/>
            <w:shd w:val="clear" w:color="auto" w:fill="auto"/>
            <w:vAlign w:val="center"/>
          </w:tcPr>
          <w:p w14:paraId="14E48A0E">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过马路区域开挖敷设PE管，并回填完成，再恢复路面</w:t>
            </w:r>
          </w:p>
        </w:tc>
        <w:tc>
          <w:tcPr>
            <w:tcW w:w="846" w:type="dxa"/>
            <w:shd w:val="clear" w:color="auto" w:fill="auto"/>
            <w:vAlign w:val="center"/>
          </w:tcPr>
          <w:p w14:paraId="206A90C4">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100</w:t>
            </w:r>
          </w:p>
        </w:tc>
        <w:tc>
          <w:tcPr>
            <w:tcW w:w="465" w:type="dxa"/>
            <w:shd w:val="clear" w:color="auto" w:fill="auto"/>
            <w:vAlign w:val="center"/>
          </w:tcPr>
          <w:p w14:paraId="57AE9900">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米</w:t>
            </w:r>
          </w:p>
        </w:tc>
      </w:tr>
      <w:tr w14:paraId="5C1CF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1744DC3A">
            <w:pPr>
              <w:widowControl w:val="0"/>
              <w:snapToGrid w:val="0"/>
              <w:jc w:val="center"/>
              <w:rPr>
                <w:rFonts w:hint="default"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30</w:t>
            </w:r>
          </w:p>
        </w:tc>
        <w:tc>
          <w:tcPr>
            <w:tcW w:w="1058" w:type="dxa"/>
            <w:shd w:val="clear" w:color="auto" w:fill="auto"/>
            <w:vAlign w:val="center"/>
          </w:tcPr>
          <w:p w14:paraId="60DE0103">
            <w:pPr>
              <w:widowControl w:val="0"/>
              <w:snapToGrid w:val="0"/>
              <w:jc w:val="center"/>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 w:val="15"/>
                <w:szCs w:val="15"/>
              </w:rPr>
              <w:t>系统集成与联调联</w:t>
            </w:r>
            <w:r>
              <w:rPr>
                <w:rFonts w:hint="eastAsia" w:ascii="宋体" w:hAnsi="宋体" w:eastAsia="宋体" w:cs="宋体"/>
                <w:color w:val="auto"/>
                <w:kern w:val="0"/>
                <w:sz w:val="15"/>
                <w:szCs w:val="15"/>
                <w:lang w:val="en-US" w:eastAsia="zh-CN"/>
              </w:rPr>
              <w:t>试</w:t>
            </w:r>
          </w:p>
        </w:tc>
        <w:tc>
          <w:tcPr>
            <w:tcW w:w="7032" w:type="dxa"/>
            <w:shd w:val="clear" w:color="auto" w:fill="auto"/>
            <w:vAlign w:val="center"/>
          </w:tcPr>
          <w:p w14:paraId="40EBEF04">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视频监控设备安装，联调联试、培训、售后服务费用；</w:t>
            </w:r>
          </w:p>
        </w:tc>
        <w:tc>
          <w:tcPr>
            <w:tcW w:w="846" w:type="dxa"/>
            <w:shd w:val="clear" w:color="auto" w:fill="auto"/>
            <w:vAlign w:val="center"/>
          </w:tcPr>
          <w:p w14:paraId="0C381E10">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w:t>
            </w:r>
          </w:p>
        </w:tc>
        <w:tc>
          <w:tcPr>
            <w:tcW w:w="465" w:type="dxa"/>
            <w:shd w:val="clear" w:color="auto" w:fill="auto"/>
            <w:vAlign w:val="center"/>
          </w:tcPr>
          <w:p w14:paraId="76462EAE">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项</w:t>
            </w:r>
          </w:p>
        </w:tc>
      </w:tr>
      <w:tr w14:paraId="7187A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54" w:type="dxa"/>
            <w:gridSpan w:val="5"/>
            <w:vAlign w:val="center"/>
          </w:tcPr>
          <w:p w14:paraId="0FD7DB2C">
            <w:pPr>
              <w:widowControl w:val="0"/>
              <w:snapToGrid w:val="0"/>
              <w:jc w:val="left"/>
              <w:rPr>
                <w:rFonts w:hint="eastAsia" w:ascii="宋体" w:hAnsi="宋体" w:eastAsia="宋体" w:cs="宋体"/>
                <w:color w:val="auto"/>
                <w:kern w:val="0"/>
                <w:szCs w:val="21"/>
              </w:rPr>
            </w:pPr>
            <w:r>
              <w:rPr>
                <w:rFonts w:hint="eastAsia" w:ascii="宋体" w:hAnsi="宋体" w:eastAsia="宋体" w:cs="宋体"/>
                <w:b/>
                <w:bCs/>
                <w:color w:val="auto"/>
                <w:kern w:val="0"/>
                <w:szCs w:val="21"/>
                <w:lang w:val="en-US" w:eastAsia="zh-CN"/>
              </w:rPr>
              <w:t>三、入户门拆除和换新</w:t>
            </w:r>
          </w:p>
        </w:tc>
      </w:tr>
      <w:tr w14:paraId="62AA0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457C2BAB">
            <w:pPr>
              <w:widowControl w:val="0"/>
              <w:snapToGrid w:val="0"/>
              <w:jc w:val="center"/>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snapToGrid w:val="0"/>
                <w:color w:val="auto"/>
                <w:kern w:val="0"/>
                <w:sz w:val="21"/>
                <w:szCs w:val="21"/>
                <w:lang w:val="en-US" w:eastAsia="zh-CN" w:bidi="ar-SA"/>
              </w:rPr>
              <w:t>1</w:t>
            </w:r>
          </w:p>
        </w:tc>
        <w:tc>
          <w:tcPr>
            <w:tcW w:w="1058" w:type="dxa"/>
            <w:shd w:val="clear" w:color="auto" w:fill="auto"/>
            <w:vAlign w:val="center"/>
          </w:tcPr>
          <w:p w14:paraId="31B54719">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入户门拆除和墙面修复</w:t>
            </w:r>
          </w:p>
        </w:tc>
        <w:tc>
          <w:tcPr>
            <w:tcW w:w="7032" w:type="dxa"/>
            <w:shd w:val="clear" w:color="auto" w:fill="auto"/>
            <w:vAlign w:val="center"/>
          </w:tcPr>
          <w:p w14:paraId="14B94E37">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将小区内入户门用机械拆除，运输至指定区域，墙面破坏部分用水泥修补，待水泥固化风干后再行下一步施工。(以便于安装新入户门，适配智能门锁安装需要)</w:t>
            </w:r>
          </w:p>
        </w:tc>
        <w:tc>
          <w:tcPr>
            <w:tcW w:w="846" w:type="dxa"/>
            <w:shd w:val="clear" w:color="auto" w:fill="auto"/>
            <w:vAlign w:val="center"/>
          </w:tcPr>
          <w:p w14:paraId="2624B4DC">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30</w:t>
            </w:r>
          </w:p>
        </w:tc>
        <w:tc>
          <w:tcPr>
            <w:tcW w:w="465" w:type="dxa"/>
            <w:shd w:val="clear" w:color="auto" w:fill="auto"/>
            <w:vAlign w:val="center"/>
          </w:tcPr>
          <w:p w14:paraId="1D20AA71">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套</w:t>
            </w:r>
          </w:p>
        </w:tc>
      </w:tr>
      <w:tr w14:paraId="3C1D7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55BF580E">
            <w:pPr>
              <w:widowControl w:val="0"/>
              <w:snapToGrid w:val="0"/>
              <w:jc w:val="center"/>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snapToGrid w:val="0"/>
                <w:color w:val="auto"/>
                <w:kern w:val="0"/>
                <w:sz w:val="21"/>
                <w:szCs w:val="21"/>
                <w:lang w:val="en-US" w:eastAsia="zh-CN" w:bidi="ar-SA"/>
              </w:rPr>
              <w:t>2</w:t>
            </w:r>
          </w:p>
        </w:tc>
        <w:tc>
          <w:tcPr>
            <w:tcW w:w="1058" w:type="dxa"/>
            <w:shd w:val="clear" w:color="auto" w:fill="auto"/>
            <w:vAlign w:val="center"/>
          </w:tcPr>
          <w:p w14:paraId="2A98D963">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入户门改造</w:t>
            </w:r>
          </w:p>
        </w:tc>
        <w:tc>
          <w:tcPr>
            <w:tcW w:w="7032" w:type="dxa"/>
            <w:shd w:val="clear" w:color="auto" w:fill="auto"/>
            <w:vAlign w:val="center"/>
          </w:tcPr>
          <w:p w14:paraId="50A24F4A">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安装入户门(含安装费)。</w:t>
            </w:r>
          </w:p>
        </w:tc>
        <w:tc>
          <w:tcPr>
            <w:tcW w:w="846" w:type="dxa"/>
            <w:shd w:val="clear" w:color="auto" w:fill="auto"/>
            <w:vAlign w:val="center"/>
          </w:tcPr>
          <w:p w14:paraId="08227B30">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30</w:t>
            </w:r>
          </w:p>
        </w:tc>
        <w:tc>
          <w:tcPr>
            <w:tcW w:w="465" w:type="dxa"/>
            <w:shd w:val="clear" w:color="auto" w:fill="auto"/>
            <w:vAlign w:val="center"/>
          </w:tcPr>
          <w:p w14:paraId="5B51E692">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套</w:t>
            </w:r>
          </w:p>
        </w:tc>
      </w:tr>
      <w:tr w14:paraId="6420A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54" w:type="dxa"/>
            <w:gridSpan w:val="5"/>
            <w:vAlign w:val="center"/>
          </w:tcPr>
          <w:p w14:paraId="1566C35F">
            <w:pPr>
              <w:widowControl w:val="0"/>
              <w:snapToGrid w:val="0"/>
              <w:jc w:val="left"/>
              <w:rPr>
                <w:rFonts w:hint="eastAsia" w:ascii="宋体" w:hAnsi="宋体" w:eastAsia="宋体" w:cs="宋体"/>
                <w:color w:val="auto"/>
                <w:kern w:val="0"/>
                <w:szCs w:val="21"/>
              </w:rPr>
            </w:pPr>
            <w:r>
              <w:rPr>
                <w:rFonts w:hint="eastAsia" w:ascii="宋体" w:hAnsi="宋体" w:eastAsia="宋体" w:cs="宋体"/>
                <w:b/>
                <w:bCs/>
                <w:color w:val="auto"/>
                <w:kern w:val="0"/>
                <w:szCs w:val="21"/>
                <w:lang w:val="en-US" w:eastAsia="zh-CN"/>
              </w:rPr>
              <w:t>四、智能门锁管理</w:t>
            </w:r>
          </w:p>
        </w:tc>
      </w:tr>
      <w:tr w14:paraId="5A1D0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3754A9D0">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w:t>
            </w:r>
          </w:p>
        </w:tc>
        <w:tc>
          <w:tcPr>
            <w:tcW w:w="1058" w:type="dxa"/>
            <w:shd w:val="clear" w:color="auto" w:fill="auto"/>
            <w:vAlign w:val="center"/>
          </w:tcPr>
          <w:p w14:paraId="32F602B5">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智能门锁</w:t>
            </w:r>
          </w:p>
        </w:tc>
        <w:tc>
          <w:tcPr>
            <w:tcW w:w="7032" w:type="dxa"/>
            <w:shd w:val="clear" w:color="auto" w:fill="auto"/>
            <w:vAlign w:val="center"/>
          </w:tcPr>
          <w:p w14:paraId="0631160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1.面板材质：铝合金压铸一体成型，厚度≥2mm；表面喷粉处理，整机表面盐雾测试需超过96小时；</w:t>
            </w:r>
          </w:p>
          <w:p w14:paraId="3C4E7FED">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2.锁体：6068标准锁体；主锁舌、反锁舌和锁体外壳均为304不锈钢材质（可选反锁）；锁舌挡板为304不锈钢，厚度≥2mm，防止关门冲击变形；</w:t>
            </w:r>
          </w:p>
          <w:p w14:paraId="67396E3F">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3.开锁方式：人脸、指纹、密码、卡片、机械钥匙，支持Web平台远程开门。</w:t>
            </w:r>
          </w:p>
          <w:p w14:paraId="636E39AF">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4.一步解锁设计：指纹识别模块位于前把手上，指纹解锁环节融入到手握把手的动作上，当手握住门把手时，大拇指顺势触摸指纹识别模块完成指纹识别，实现一步解锁开门；圆形半导体活体指纹模组设计，增加指纹识别有效面积；能识别皮肤温度、电容值，拒绝假指纹；</w:t>
            </w:r>
          </w:p>
          <w:p w14:paraId="198CD79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5.3D双目人脸识别技术，活体检测，视频，高仿真面具，日常生活常规打扮不影响开门，戴帽子，化浓妆，戴假发、戴眼镜都能精准识别;</w:t>
            </w:r>
          </w:p>
          <w:p w14:paraId="5062694C">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6.水平方向50度，垂直方向70度的大视场角(FOV)摄像头，支持从1.3米到2.0米的各种身高人体的人脸识别；</w:t>
            </w:r>
          </w:p>
          <w:p w14:paraId="33588AD5">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7.双目摄像头架构与3D活体识别技术，不管在任何光线环境下，都能完成精准的人脸检测和验证；</w:t>
            </w:r>
          </w:p>
          <w:p w14:paraId="3069185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8.人脸误识别率＜0.0001%；</w:t>
            </w:r>
          </w:p>
          <w:p w14:paraId="071FB606">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9.人脸数量≥100组；指纹数量≥100组;卡数量≥200组;密码数量≥200组;</w:t>
            </w:r>
          </w:p>
          <w:p w14:paraId="004959E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10.有效解锁距离为距离摄像头35.5~84.7cm (最佳距离50cm)；</w:t>
            </w:r>
          </w:p>
          <w:p w14:paraId="1DC8D8D7">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 xml:space="preserve">11.读卡类型：同时支持M1卡、cpu卡和NFC手机刷卡； </w:t>
            </w:r>
          </w:p>
          <w:p w14:paraId="3A5E83B6">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12.把手材质：铝合金+亚克力，表面工艺和面板相同；左右互换：支持把手左右方向随意切换；</w:t>
            </w:r>
          </w:p>
          <w:p w14:paraId="7DB555DC">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13.上提反锁：上提把手即可实现反锁；把手配置指纹模块;</w:t>
            </w:r>
          </w:p>
          <w:p w14:paraId="761884C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 xml:space="preserve">14.通信方式：CAT-1无线通信； </w:t>
            </w:r>
          </w:p>
          <w:p w14:paraId="5D0B2B8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 xml:space="preserve">15.供电方式：≥4200mAh充电锂电池; </w:t>
            </w:r>
          </w:p>
          <w:p w14:paraId="6115F26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16工作周期：电池工作周期要求6个月以上；</w:t>
            </w:r>
          </w:p>
          <w:p w14:paraId="4B253304">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17.时钟：通过网络自动校时;</w:t>
            </w:r>
          </w:p>
          <w:p w14:paraId="3378F09D">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18.开门响应时间：0.2秒——0.5秒（根据用户需要配置）；</w:t>
            </w:r>
          </w:p>
          <w:p w14:paraId="67C9F58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19.开关门测试：经过10万次严格测试，性能稳定；</w:t>
            </w:r>
          </w:p>
          <w:p w14:paraId="217BDF64">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20.数据存储：当网络不通时，支持脱机正常使用，门锁能脱机存储开门记录≥1024条，记录可采用循环覆盖方式存储；支持离线数据保存；</w:t>
            </w:r>
          </w:p>
          <w:p w14:paraId="419FB799">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21.感应卡工作频率：13.56MHz;</w:t>
            </w:r>
          </w:p>
          <w:p w14:paraId="27964135">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22.读写距离：≤20mm;</w:t>
            </w:r>
          </w:p>
          <w:p w14:paraId="592012CD">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23.防复制：智能门锁支持卡片防复制功能，提升门锁安全性。</w:t>
            </w:r>
          </w:p>
          <w:p w14:paraId="785603C4">
            <w:pPr>
              <w:pStyle w:val="18"/>
              <w:widowControl/>
              <w:snapToGrid w:val="0"/>
              <w:ind w:firstLine="0" w:firstLineChars="0"/>
              <w:jc w:val="left"/>
              <w:rPr>
                <w:rFonts w:hint="eastAsia" w:ascii="宋体" w:hAnsi="宋体" w:eastAsia="宋体" w:cs="宋体"/>
                <w:strike/>
                <w:snapToGrid w:val="0"/>
                <w:color w:val="auto"/>
                <w:kern w:val="0"/>
                <w:sz w:val="21"/>
                <w:szCs w:val="21"/>
                <w:lang w:val="en-US" w:eastAsia="en-US" w:bidi="ar-SA"/>
              </w:rPr>
            </w:pPr>
            <w:r>
              <w:rPr>
                <w:rFonts w:hint="eastAsia" w:ascii="宋体" w:hAnsi="宋体" w:eastAsia="宋体" w:cs="宋体"/>
                <w:color w:val="auto"/>
                <w:kern w:val="0"/>
                <w:szCs w:val="21"/>
              </w:rPr>
              <w:t>24.远程升级：智能锁内置嵌入式软件需提供无线远程升级，智能锁软件功能可根据要求在后续使用过程中实现升级；</w:t>
            </w:r>
          </w:p>
        </w:tc>
        <w:tc>
          <w:tcPr>
            <w:tcW w:w="846" w:type="dxa"/>
            <w:shd w:val="clear" w:color="auto" w:fill="auto"/>
            <w:vAlign w:val="center"/>
          </w:tcPr>
          <w:p w14:paraId="18FAF3F8">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1764</w:t>
            </w:r>
          </w:p>
        </w:tc>
        <w:tc>
          <w:tcPr>
            <w:tcW w:w="465" w:type="dxa"/>
            <w:shd w:val="clear" w:color="auto" w:fill="auto"/>
            <w:vAlign w:val="center"/>
          </w:tcPr>
          <w:p w14:paraId="1390DEFC">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套</w:t>
            </w:r>
          </w:p>
        </w:tc>
      </w:tr>
      <w:tr w14:paraId="30272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598D7854">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2</w:t>
            </w:r>
          </w:p>
        </w:tc>
        <w:tc>
          <w:tcPr>
            <w:tcW w:w="1058" w:type="dxa"/>
            <w:shd w:val="clear" w:color="auto" w:fill="auto"/>
            <w:vAlign w:val="center"/>
          </w:tcPr>
          <w:p w14:paraId="16B78E2A">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物联网卡</w:t>
            </w:r>
          </w:p>
        </w:tc>
        <w:tc>
          <w:tcPr>
            <w:tcW w:w="7032" w:type="dxa"/>
            <w:shd w:val="clear" w:color="auto" w:fill="auto"/>
            <w:vAlign w:val="center"/>
          </w:tcPr>
          <w:p w14:paraId="2DC779C6">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CAT1物联网流量卡，用于智能门锁的无线通信；至少包含1年流量。</w:t>
            </w:r>
          </w:p>
        </w:tc>
        <w:tc>
          <w:tcPr>
            <w:tcW w:w="846" w:type="dxa"/>
            <w:shd w:val="clear" w:color="auto" w:fill="auto"/>
            <w:vAlign w:val="center"/>
          </w:tcPr>
          <w:p w14:paraId="2780E413">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1764</w:t>
            </w:r>
          </w:p>
        </w:tc>
        <w:tc>
          <w:tcPr>
            <w:tcW w:w="465" w:type="dxa"/>
            <w:shd w:val="clear" w:color="auto" w:fill="auto"/>
            <w:vAlign w:val="center"/>
          </w:tcPr>
          <w:p w14:paraId="5B77ED18">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张</w:t>
            </w:r>
          </w:p>
        </w:tc>
      </w:tr>
      <w:tr w14:paraId="30608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71733567">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3</w:t>
            </w:r>
          </w:p>
        </w:tc>
        <w:tc>
          <w:tcPr>
            <w:tcW w:w="1058" w:type="dxa"/>
            <w:shd w:val="clear" w:color="auto" w:fill="auto"/>
            <w:vAlign w:val="center"/>
          </w:tcPr>
          <w:p w14:paraId="4427A98F">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门锁管理系统</w:t>
            </w:r>
          </w:p>
        </w:tc>
        <w:tc>
          <w:tcPr>
            <w:tcW w:w="7032" w:type="dxa"/>
            <w:shd w:val="clear" w:color="auto" w:fill="auto"/>
            <w:vAlign w:val="center"/>
          </w:tcPr>
          <w:p w14:paraId="7C1AC5FA">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（一）、平台基础要求</w:t>
            </w:r>
          </w:p>
          <w:p w14:paraId="22C19EB6">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1.门锁管理系统采用B/S架构，免安装，可远程维护，符合现代化信息建设整体规划;</w:t>
            </w:r>
          </w:p>
          <w:p w14:paraId="5B6AC1F2">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2.确保系统的可操作性（便捷性），所有管理界面给出帮助使用向导页面，方便管理员使用，使具备电脑初级水平的管理人员，达到能完成日常房间管理的操作水平;</w:t>
            </w:r>
          </w:p>
          <w:p w14:paraId="3A4ECA14">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 xml:space="preserve">（二）、建筑管理 </w:t>
            </w:r>
          </w:p>
          <w:p w14:paraId="2302590E">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1.系统支持手工录入及电子文档批量录入两种方式;支持多级树形部门管理，包括部门和房间信息; 管理系统所有的数据从数据中心同步取得，既可以同步全部数据，也可以动态实时同步变化的数据;</w:t>
            </w:r>
          </w:p>
          <w:p w14:paraId="24EB95D2">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2.支持对建筑的新增、删除、修改、查看; 可按规则批量创建楼层、房间，设置房间人数等;当建筑物超出显示页面时，可使用“&lt;”“&gt;”键切换显示;</w:t>
            </w:r>
          </w:p>
          <w:p w14:paraId="3132F35B">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3.单击片区可显示不同楼栋详细情况，如楼栋名称、楼栋编号、楼栋房间总数、楼栋入住情况、建筑类型等；单击楼栋可显示不同楼层详细情况，如楼层名称、楼层编号、楼层房间数、楼层入住情况等信息；单击楼层可显示不同房间详细情况，如名称、编号、别称、入住情况、入住性别等信息;</w:t>
            </w:r>
          </w:p>
          <w:p w14:paraId="7E6F5FFD">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 xml:space="preserve">（三）、房间人员管理  </w:t>
            </w:r>
          </w:p>
          <w:p w14:paraId="747C6B0E">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1.界面采用应平面化设计风格，页面初次登陆带页面引导功能，直观显示，可在一个页面图形化展示房间、人员信息、门锁状态、信息，并可办理入住、退房、房间调整、下发密码、查看房间刷卡流水等，方便管理员操控系统;</w:t>
            </w:r>
          </w:p>
          <w:p w14:paraId="26AEBBD9">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2.可查看房间人员名单状态，可对房间内名单挂失、生效、重载和删除操作；对于房间内人员名单离线，可重载名单、重载未生效名单、初始化名单、和初始化未生效名单等操作实现人员权限重新生效;</w:t>
            </w:r>
          </w:p>
          <w:p w14:paraId="2FB4A361">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 xml:space="preserve">3.可以根据楼栋，楼层查询房间使用情况，还提供根据主管部门份授权级别查询房间使用情况，提供批量处理按钮，实现某个团体的集体房间使用，方便管理; </w:t>
            </w:r>
          </w:p>
          <w:p w14:paraId="58E03D25">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 xml:space="preserve">4.提供快捷查询搜索窗口，支持姓名、手机号、身份证号、房间号及门锁号快速查找; </w:t>
            </w:r>
          </w:p>
          <w:p w14:paraId="2B21A9F4">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5.可按单一楼栋统计入住情况，按楼层显示每一层的房间容量、已入住人数和剩余容量，使用饼状图统计已入住和剩余容量;</w:t>
            </w:r>
          </w:p>
          <w:p w14:paraId="6B98542F">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6.房间调整功能可以一卡双开，房间调整操作原房间自动保留3天（可按要求定制），新房间立即开通，便于调房期间搬运个人物品;</w:t>
            </w:r>
          </w:p>
          <w:p w14:paraId="0CC4077B">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7.批量管理：管理系统所有输入的数据都可以通过EXCEL批量导入，含人员基本信息、人员入住信息、房间信息、卡信息、设备信息等等，支持将多个用户批量分配到整个片区或一栋楼或一层楼或多个房间，或者从整个片区或一栋楼或一层楼或多个房间批量退房，提高运维人员信息录入效率；</w:t>
            </w:r>
          </w:p>
          <w:p w14:paraId="2CE50C13">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8.人员批量分配：支持将用户批量分配到整个片区或一栋楼或一层楼或多个房间（按类型）。同时支持用户从整个片区或一栋楼或一层楼或多个房间批量退房。</w:t>
            </w:r>
          </w:p>
          <w:p w14:paraId="110499BA">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 xml:space="preserve">（四）、查询  </w:t>
            </w:r>
          </w:p>
          <w:p w14:paraId="6782E020">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1.支持对接大门门禁刷卡记录查询：提供查询接口，支持按照片区、楼栋查询大门门禁刷卡记录情况;</w:t>
            </w:r>
          </w:p>
          <w:p w14:paraId="1300D801">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 xml:space="preserve">2.时间查询：可分时间段设置；支持按照片区、楼栋、房间查询使用情况；支持根据片区、团体； 支持数据导出成电子文档; </w:t>
            </w:r>
          </w:p>
          <w:p w14:paraId="6D93CA22">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 xml:space="preserve">3.查询退房信息：支持通过片区、楼栋、楼层、房间、时间等条件筛选查询退房信息，可显示退房人员的相关信息。 </w:t>
            </w:r>
          </w:p>
          <w:p w14:paraId="69018060">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 xml:space="preserve">4.异动信息查询：通过指定时间段查询相关异动信息；如相关人员、异动类型、调整时间、房间等信息。 </w:t>
            </w:r>
          </w:p>
          <w:p w14:paraId="2533270C">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 xml:space="preserve">5.入住天数查询：支持通过片区、楼栋、楼层、房间和入住天数筛选查询相关信息，可对房间内异常人员进行办理退房操作。 </w:t>
            </w:r>
          </w:p>
          <w:p w14:paraId="6DDECD14">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6.电池电量异常查询：根据片区、楼栋、房间查询电量变化快的门锁，通过读取电池电压的方式，设置电量下降幅度及时间段阀值，保障电池正常供电;</w:t>
            </w:r>
          </w:p>
          <w:p w14:paraId="2C9AEB49">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 xml:space="preserve">（五）、系统监控管理模块  </w:t>
            </w:r>
          </w:p>
          <w:p w14:paraId="76369657">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1.智能安全策略:提供智能化数据分析功能，支持动态捕获轮循试探开门、设备告警、异常房间使用等数据推送;</w:t>
            </w:r>
          </w:p>
          <w:p w14:paraId="1DAF7671">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2.系统监控试探开门，钥匙开门告警，低电量告警信息;</w:t>
            </w:r>
          </w:p>
          <w:p w14:paraId="3D1810B1">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 xml:space="preserve">3.系统监控首页实时监控全小区锁刷卡情况，报警平台，门锁故障等统计情况; </w:t>
            </w:r>
          </w:p>
          <w:p w14:paraId="66855385">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 xml:space="preserve">（六）、设备管理模块  </w:t>
            </w:r>
          </w:p>
          <w:p w14:paraId="71DE95D6">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 xml:space="preserve">1.显示采集平台、网关、门禁、门锁等各模块的设备信息; </w:t>
            </w:r>
          </w:p>
          <w:p w14:paraId="579D7374">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 xml:space="preserve">2.动态显示所管理门锁详情信息，包括门锁电池电量、锁类型、状态、开门方式等信息; </w:t>
            </w:r>
          </w:p>
          <w:p w14:paraId="71D36A9E">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 xml:space="preserve">3.可显示每个门锁的电池电量，显示门锁的电池电量下降曲线图和每天开门次数曲线图; </w:t>
            </w:r>
          </w:p>
          <w:p w14:paraId="6E13D45D">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 xml:space="preserve">4.管理平台具备远程对门锁的监管，包括远程设置可用或禁用，设置开门方向; </w:t>
            </w:r>
          </w:p>
          <w:p w14:paraId="39EA5F53">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5.管理平台提供一键批量导入门锁信息功能，包括楼栋、楼层、房间、中继名称、中继IP等信息，实现门锁、网关和房间自动绑定;</w:t>
            </w:r>
          </w:p>
          <w:p w14:paraId="52FED344">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（七）、指令管理</w:t>
            </w:r>
          </w:p>
          <w:p w14:paraId="3578767E">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1.可通过片区、楼栋、楼层和房间进行窗口联动筛选查询相关房间门锁，支持对房间进行下发远程开门、门锁休眠、禁用/启用门锁某功能等指令;</w:t>
            </w:r>
          </w:p>
          <w:p w14:paraId="417662CB">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2.中继指令：可单选或多选设置中继网关的网络号、信道号等指令;</w:t>
            </w:r>
          </w:p>
          <w:p w14:paraId="2D376155">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 xml:space="preserve">（八）、权限管理 </w:t>
            </w:r>
          </w:p>
          <w:p w14:paraId="497177D6">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 xml:space="preserve">1.用户管理：可实现根据角色编辑用户名、密码、联系方式、部门、真实名称等资料; </w:t>
            </w:r>
          </w:p>
          <w:p w14:paraId="1DF893BC">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2.菜单管理：支持为用户角色进行分配不同管理功能菜单；</w:t>
            </w:r>
          </w:p>
          <w:p w14:paraId="3DBF25E9">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3.操作管理：可实现根据不同角色，分别配置平台内所有菜单、管理区域的查看和操作权限;</w:t>
            </w:r>
          </w:p>
          <w:p w14:paraId="1A43B8FF">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 xml:space="preserve">（九）、报修管理 </w:t>
            </w:r>
          </w:p>
          <w:p w14:paraId="6FA82232">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 xml:space="preserve">1.具备按照账号、姓名、片区、楼栋、楼层、房间、报修时间、报修种类、报修级别，快速查询报修记录，或添加报修单; </w:t>
            </w:r>
          </w:p>
          <w:p w14:paraId="2E363B5C">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2.实现分区分楼楼栋的保修记录查询，包括：今日报修、今日维修、今日未修、历史遗留、加急未处理等;</w:t>
            </w:r>
          </w:p>
          <w:p w14:paraId="1A9E34DB">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 xml:space="preserve">3.实现对所有故障进行分类统计，分类查询; </w:t>
            </w:r>
          </w:p>
          <w:p w14:paraId="1A3BF0E0">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 xml:space="preserve">4.实现维修人员维修情况的录入，包括姓名，电话，维修操作等信息，实现报修有记录，维修有跟踪，结果有反馈; </w:t>
            </w:r>
          </w:p>
          <w:p w14:paraId="69EBB1C7">
            <w:pPr>
              <w:widowControl w:val="0"/>
              <w:snapToGrid w:val="0"/>
              <w:jc w:val="left"/>
              <w:rPr>
                <w:rFonts w:ascii="宋体" w:hAnsi="宋体" w:eastAsia="宋体" w:cs="宋体"/>
                <w:color w:val="auto"/>
                <w:kern w:val="0"/>
                <w:szCs w:val="21"/>
              </w:rPr>
            </w:pPr>
            <w:r>
              <w:rPr>
                <w:rFonts w:hint="eastAsia" w:ascii="宋体" w:hAnsi="宋体" w:eastAsia="宋体" w:cs="宋体"/>
                <w:color w:val="auto"/>
                <w:kern w:val="0"/>
                <w:szCs w:val="21"/>
              </w:rPr>
              <w:t>（十）配置管理</w:t>
            </w:r>
          </w:p>
          <w:p w14:paraId="2AC8924E">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1.业务字典：支持创建业务字典、可修改不同的业务类型，如人员类型、锁类型、房间类型等；</w:t>
            </w:r>
          </w:p>
        </w:tc>
        <w:tc>
          <w:tcPr>
            <w:tcW w:w="846" w:type="dxa"/>
            <w:shd w:val="clear" w:color="auto" w:fill="auto"/>
            <w:vAlign w:val="center"/>
          </w:tcPr>
          <w:p w14:paraId="215AE560">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w:t>
            </w:r>
          </w:p>
        </w:tc>
        <w:tc>
          <w:tcPr>
            <w:tcW w:w="465" w:type="dxa"/>
            <w:shd w:val="clear" w:color="auto" w:fill="auto"/>
            <w:vAlign w:val="center"/>
          </w:tcPr>
          <w:p w14:paraId="2707D661">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套</w:t>
            </w:r>
          </w:p>
        </w:tc>
      </w:tr>
      <w:tr w14:paraId="02602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2314078F">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4</w:t>
            </w:r>
          </w:p>
        </w:tc>
        <w:tc>
          <w:tcPr>
            <w:tcW w:w="1058" w:type="dxa"/>
            <w:shd w:val="clear" w:color="auto" w:fill="auto"/>
            <w:vAlign w:val="center"/>
          </w:tcPr>
          <w:p w14:paraId="74861566">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软件系统对接</w:t>
            </w:r>
          </w:p>
        </w:tc>
        <w:tc>
          <w:tcPr>
            <w:tcW w:w="7032" w:type="dxa"/>
            <w:shd w:val="clear" w:color="auto" w:fill="auto"/>
            <w:vAlign w:val="center"/>
          </w:tcPr>
          <w:p w14:paraId="41ABC000">
            <w:pPr>
              <w:widowControl/>
              <w:snapToGrid w:val="0"/>
              <w:jc w:val="left"/>
              <w:rPr>
                <w:rFonts w:ascii="宋体" w:hAnsi="宋体" w:eastAsia="宋体" w:cs="宋体"/>
                <w:color w:val="auto"/>
                <w:kern w:val="0"/>
                <w:szCs w:val="21"/>
              </w:rPr>
            </w:pPr>
            <w:r>
              <w:rPr>
                <w:rFonts w:hint="eastAsia" w:ascii="宋体" w:hAnsi="宋体" w:eastAsia="宋体" w:cs="宋体"/>
                <w:color w:val="auto"/>
                <w:kern w:val="0"/>
                <w:szCs w:val="21"/>
              </w:rPr>
              <w:t>1.基础信息对接：</w:t>
            </w:r>
          </w:p>
          <w:p w14:paraId="5237284D">
            <w:pPr>
              <w:widowControl/>
              <w:snapToGrid w:val="0"/>
              <w:jc w:val="left"/>
              <w:rPr>
                <w:rFonts w:ascii="宋体" w:hAnsi="宋体" w:eastAsia="宋体" w:cs="宋体"/>
                <w:color w:val="auto"/>
                <w:kern w:val="0"/>
                <w:szCs w:val="21"/>
              </w:rPr>
            </w:pPr>
            <w:r>
              <w:rPr>
                <w:rFonts w:hint="eastAsia" w:ascii="宋体" w:hAnsi="宋体" w:eastAsia="宋体" w:cs="宋体"/>
                <w:color w:val="auto"/>
                <w:kern w:val="0"/>
                <w:szCs w:val="21"/>
              </w:rPr>
              <w:t>智能门锁管理系统与保障房租后管理平台对接，同步获取基础信息包括:人员信息（手机号、姓名、性别、身份证号、人脸照片），保障房入住信息（人员和房间的对应关系，收缴费时间等），房间信息（含片区、楼栋、楼层、房间名称、房间编号）等，实现人、锁、脸绑定，实现开门。</w:t>
            </w:r>
          </w:p>
          <w:p w14:paraId="3684B46A">
            <w:pPr>
              <w:pStyle w:val="8"/>
              <w:widowControl w:val="0"/>
              <w:snapToGrid w:val="0"/>
              <w:rPr>
                <w:rFonts w:ascii="宋体" w:eastAsia="宋体" w:cs="宋体"/>
                <w:color w:val="auto"/>
                <w:kern w:val="0"/>
                <w:szCs w:val="21"/>
              </w:rPr>
            </w:pPr>
            <w:r>
              <w:rPr>
                <w:rFonts w:hint="eastAsia" w:ascii="宋体" w:eastAsia="宋体" w:cs="宋体"/>
                <w:color w:val="auto"/>
                <w:kern w:val="0"/>
                <w:szCs w:val="21"/>
              </w:rPr>
              <w:t>2.推送开锁记录，长期未开锁记录，欠费入住等数据信息至保障房租后管理平台，用于智能事件预警分析；</w:t>
            </w:r>
          </w:p>
          <w:p w14:paraId="5FBB9836">
            <w:pPr>
              <w:pStyle w:val="8"/>
              <w:widowControl w:val="0"/>
              <w:snapToGrid w:val="0"/>
              <w:rPr>
                <w:rFonts w:hint="eastAsia" w:ascii="宋体" w:hAnsi="宋体" w:eastAsia="宋体" w:cs="宋体"/>
                <w:snapToGrid w:val="0"/>
                <w:color w:val="auto"/>
                <w:kern w:val="0"/>
                <w:sz w:val="21"/>
                <w:szCs w:val="21"/>
                <w:lang w:val="en-US" w:eastAsia="en-US" w:bidi="ar-SA"/>
              </w:rPr>
            </w:pPr>
            <w:r>
              <w:rPr>
                <w:rFonts w:hint="eastAsia" w:ascii="宋体" w:eastAsia="宋体" w:cs="宋体"/>
                <w:color w:val="auto"/>
                <w:kern w:val="0"/>
                <w:szCs w:val="21"/>
              </w:rPr>
              <w:t>3.项目全生命周期内，系统涉及网络安全、软件漏洞等方面的安全漏洞时，免费整改修复，免费维护系统安全。</w:t>
            </w:r>
          </w:p>
        </w:tc>
        <w:tc>
          <w:tcPr>
            <w:tcW w:w="846" w:type="dxa"/>
            <w:shd w:val="clear" w:color="auto" w:fill="auto"/>
            <w:vAlign w:val="center"/>
          </w:tcPr>
          <w:p w14:paraId="7B53CBF2">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w:t>
            </w:r>
          </w:p>
        </w:tc>
        <w:tc>
          <w:tcPr>
            <w:tcW w:w="465" w:type="dxa"/>
            <w:shd w:val="clear" w:color="auto" w:fill="auto"/>
            <w:vAlign w:val="center"/>
          </w:tcPr>
          <w:p w14:paraId="423623C6">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项</w:t>
            </w:r>
          </w:p>
        </w:tc>
      </w:tr>
      <w:tr w14:paraId="70DA44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54" w:type="dxa"/>
            <w:gridSpan w:val="5"/>
            <w:vAlign w:val="center"/>
          </w:tcPr>
          <w:p w14:paraId="5985CFC1">
            <w:pPr>
              <w:widowControl w:val="0"/>
              <w:snapToGrid w:val="0"/>
              <w:jc w:val="left"/>
              <w:rPr>
                <w:rFonts w:hint="eastAsia" w:ascii="宋体" w:hAnsi="宋体" w:eastAsia="宋体" w:cs="宋体"/>
                <w:color w:val="auto"/>
                <w:kern w:val="0"/>
                <w:szCs w:val="21"/>
              </w:rPr>
            </w:pPr>
            <w:r>
              <w:rPr>
                <w:rFonts w:hint="eastAsia" w:ascii="宋体" w:hAnsi="宋体" w:eastAsia="宋体" w:cs="宋体"/>
                <w:b/>
                <w:bCs/>
                <w:color w:val="auto"/>
                <w:kern w:val="0"/>
                <w:szCs w:val="21"/>
                <w:lang w:val="en-US" w:eastAsia="zh-CN"/>
              </w:rPr>
              <w:t>五、网络部分、公网固定IP</w:t>
            </w:r>
          </w:p>
        </w:tc>
      </w:tr>
      <w:tr w14:paraId="196F8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7789F4D9">
            <w:pPr>
              <w:widowControl w:val="0"/>
              <w:snapToGrid w:val="0"/>
              <w:jc w:val="center"/>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1</w:t>
            </w:r>
          </w:p>
        </w:tc>
        <w:tc>
          <w:tcPr>
            <w:tcW w:w="1058" w:type="dxa"/>
            <w:shd w:val="clear" w:color="auto" w:fill="auto"/>
            <w:vAlign w:val="center"/>
          </w:tcPr>
          <w:p w14:paraId="0BA39275">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云资源服务</w:t>
            </w:r>
          </w:p>
        </w:tc>
        <w:tc>
          <w:tcPr>
            <w:tcW w:w="7032" w:type="dxa"/>
            <w:shd w:val="clear" w:color="auto" w:fill="auto"/>
            <w:vAlign w:val="center"/>
          </w:tcPr>
          <w:p w14:paraId="62CD032C">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（物联网）应用服务器</w:t>
            </w:r>
          </w:p>
          <w:p w14:paraId="7DEBB29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CPU：32核 2.5GHz</w:t>
            </w:r>
          </w:p>
          <w:p w14:paraId="55171506">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内存：128G</w:t>
            </w:r>
          </w:p>
          <w:p w14:paraId="0C67D3CF">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系统硬盘：100G系统盘</w:t>
            </w:r>
          </w:p>
          <w:p w14:paraId="52AFA3E5">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存储：4750G</w:t>
            </w:r>
          </w:p>
          <w:p w14:paraId="40F368F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数据备份：2000G</w:t>
            </w:r>
          </w:p>
          <w:p w14:paraId="1F5F42A9">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提供增强漏洞扫描服务、提供统一的资产安全状况展示，实时安全威胁检测与响应功能；</w:t>
            </w:r>
          </w:p>
          <w:p w14:paraId="6ECC728D">
            <w:pPr>
              <w:pStyle w:val="18"/>
              <w:widowControl/>
              <w:snapToGrid w:val="0"/>
              <w:ind w:firstLine="0" w:firstLineChars="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服务器带宽20M</w:t>
            </w:r>
          </w:p>
        </w:tc>
        <w:tc>
          <w:tcPr>
            <w:tcW w:w="846" w:type="dxa"/>
            <w:shd w:val="clear" w:color="auto" w:fill="auto"/>
            <w:vAlign w:val="center"/>
          </w:tcPr>
          <w:p w14:paraId="04B56082">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3</w:t>
            </w:r>
          </w:p>
        </w:tc>
        <w:tc>
          <w:tcPr>
            <w:tcW w:w="465" w:type="dxa"/>
            <w:shd w:val="clear" w:color="auto" w:fill="auto"/>
            <w:vAlign w:val="center"/>
          </w:tcPr>
          <w:p w14:paraId="173FB547">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年</w:t>
            </w:r>
          </w:p>
        </w:tc>
      </w:tr>
      <w:tr w14:paraId="183D1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6D48303D">
            <w:pPr>
              <w:widowControl w:val="0"/>
              <w:snapToGrid w:val="0"/>
              <w:jc w:val="center"/>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2</w:t>
            </w:r>
          </w:p>
        </w:tc>
        <w:tc>
          <w:tcPr>
            <w:tcW w:w="1058" w:type="dxa"/>
            <w:shd w:val="clear" w:color="auto" w:fill="auto"/>
            <w:vAlign w:val="center"/>
          </w:tcPr>
          <w:p w14:paraId="5D0744AA">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路由器</w:t>
            </w:r>
          </w:p>
        </w:tc>
        <w:tc>
          <w:tcPr>
            <w:tcW w:w="7032" w:type="dxa"/>
            <w:shd w:val="clear" w:color="auto" w:fill="auto"/>
            <w:vAlign w:val="center"/>
          </w:tcPr>
          <w:p w14:paraId="6E7C8717">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1、固化千兆电口数量4个；固化 2.5G电口数量4个；固化万兆光口数量2个</w:t>
            </w:r>
          </w:p>
          <w:p w14:paraId="60268C20">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2、三层吞吐最大带宽3Gbps；</w:t>
            </w:r>
          </w:p>
          <w:p w14:paraId="708656F7">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 xml:space="preserve">3、典型配置功能全开最大带宽2Gbps（如流控、NAT、行为审计、本地防攻击、会话数限制、IPsec)  </w:t>
            </w:r>
          </w:p>
          <w:p w14:paraId="6AD59630">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4、推荐带机终端数量 500个</w:t>
            </w:r>
          </w:p>
          <w:p w14:paraId="0E4F4A72">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5、支持静态地址、DHCP、PPPoE等网络连接类型；支持静态路由、子接口、NAT等基础网络功能；</w:t>
            </w:r>
          </w:p>
          <w:p w14:paraId="5BC68BA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6、支持关键应用监控，包括对预置应用和自定义应用的网络体验质量监控；</w:t>
            </w:r>
          </w:p>
          <w:p w14:paraId="54052A6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7、支持关键角色监控，包括对单IP、IP网段的网络体验质量监控;支持呈现基础服务运行质量</w:t>
            </w:r>
          </w:p>
          <w:p w14:paraId="54D9E115">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8、支持基于关键应用体验质量的链路自动化切换</w:t>
            </w:r>
          </w:p>
          <w:p w14:paraId="21835E1C">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9、支持通过模板方式配置流控策略</w:t>
            </w:r>
          </w:p>
          <w:p w14:paraId="55B8846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10、支持基于接口的流量统计，呈现各应用用户的流量详细信息</w:t>
            </w:r>
          </w:p>
          <w:p w14:paraId="2E69DC95">
            <w:pPr>
              <w:pStyle w:val="18"/>
              <w:widowControl/>
              <w:snapToGrid w:val="0"/>
              <w:ind w:firstLine="0" w:firstLineChars="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11、支持设置行为审计策略，可根据对象、内容、区域等参数来自定义策略。</w:t>
            </w:r>
          </w:p>
        </w:tc>
        <w:tc>
          <w:tcPr>
            <w:tcW w:w="846" w:type="dxa"/>
            <w:shd w:val="clear" w:color="auto" w:fill="auto"/>
            <w:vAlign w:val="center"/>
          </w:tcPr>
          <w:p w14:paraId="7F0A9BFE">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w:t>
            </w:r>
          </w:p>
        </w:tc>
        <w:tc>
          <w:tcPr>
            <w:tcW w:w="465" w:type="dxa"/>
            <w:shd w:val="clear" w:color="auto" w:fill="auto"/>
            <w:vAlign w:val="center"/>
          </w:tcPr>
          <w:p w14:paraId="5F559DD6">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台</w:t>
            </w:r>
          </w:p>
        </w:tc>
      </w:tr>
      <w:tr w14:paraId="563357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208E6A98">
            <w:pPr>
              <w:widowControl w:val="0"/>
              <w:snapToGrid w:val="0"/>
              <w:jc w:val="center"/>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3</w:t>
            </w:r>
          </w:p>
        </w:tc>
        <w:tc>
          <w:tcPr>
            <w:tcW w:w="1058" w:type="dxa"/>
            <w:shd w:val="clear" w:color="auto" w:fill="auto"/>
            <w:vAlign w:val="center"/>
          </w:tcPr>
          <w:p w14:paraId="582CBE85">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中心办公室-专线链路</w:t>
            </w:r>
          </w:p>
        </w:tc>
        <w:tc>
          <w:tcPr>
            <w:tcW w:w="7032" w:type="dxa"/>
            <w:shd w:val="clear" w:color="auto" w:fill="auto"/>
            <w:vAlign w:val="center"/>
          </w:tcPr>
          <w:p w14:paraId="24F0D192">
            <w:pPr>
              <w:pStyle w:val="18"/>
              <w:widowControl/>
              <w:snapToGrid w:val="0"/>
              <w:ind w:firstLine="0" w:firstLineChars="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1条公网固定IP费用，30M专线链路，按年计费</w:t>
            </w:r>
          </w:p>
        </w:tc>
        <w:tc>
          <w:tcPr>
            <w:tcW w:w="846" w:type="dxa"/>
            <w:shd w:val="clear" w:color="auto" w:fill="auto"/>
            <w:vAlign w:val="center"/>
          </w:tcPr>
          <w:p w14:paraId="68968918">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3</w:t>
            </w:r>
          </w:p>
        </w:tc>
        <w:tc>
          <w:tcPr>
            <w:tcW w:w="465" w:type="dxa"/>
            <w:shd w:val="clear" w:color="auto" w:fill="auto"/>
            <w:vAlign w:val="center"/>
          </w:tcPr>
          <w:p w14:paraId="3192DB0E">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年</w:t>
            </w:r>
          </w:p>
        </w:tc>
      </w:tr>
      <w:tr w14:paraId="0CD9C6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4D3B120E">
            <w:pPr>
              <w:widowControl w:val="0"/>
              <w:snapToGrid w:val="0"/>
              <w:jc w:val="center"/>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color w:val="auto"/>
                <w:kern w:val="0"/>
                <w:szCs w:val="21"/>
                <w:lang w:val="en-US" w:eastAsia="zh-CN"/>
              </w:rPr>
              <w:t>4</w:t>
            </w:r>
          </w:p>
        </w:tc>
        <w:tc>
          <w:tcPr>
            <w:tcW w:w="1058" w:type="dxa"/>
            <w:shd w:val="clear" w:color="auto" w:fill="auto"/>
            <w:vAlign w:val="center"/>
          </w:tcPr>
          <w:p w14:paraId="583FDA64">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互联网链路</w:t>
            </w:r>
          </w:p>
        </w:tc>
        <w:tc>
          <w:tcPr>
            <w:tcW w:w="7032" w:type="dxa"/>
            <w:shd w:val="clear" w:color="auto" w:fill="auto"/>
            <w:vAlign w:val="center"/>
          </w:tcPr>
          <w:p w14:paraId="0D753AD8">
            <w:pPr>
              <w:pStyle w:val="18"/>
              <w:widowControl/>
              <w:snapToGrid w:val="0"/>
              <w:ind w:firstLine="0" w:firstLineChars="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1条商务专线500M链路,按年计费</w:t>
            </w:r>
          </w:p>
        </w:tc>
        <w:tc>
          <w:tcPr>
            <w:tcW w:w="846" w:type="dxa"/>
            <w:shd w:val="clear" w:color="auto" w:fill="auto"/>
            <w:vAlign w:val="center"/>
          </w:tcPr>
          <w:p w14:paraId="5A62E045">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3</w:t>
            </w:r>
          </w:p>
        </w:tc>
        <w:tc>
          <w:tcPr>
            <w:tcW w:w="465" w:type="dxa"/>
            <w:shd w:val="clear" w:color="auto" w:fill="auto"/>
            <w:vAlign w:val="center"/>
          </w:tcPr>
          <w:p w14:paraId="0BE274D4">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年</w:t>
            </w:r>
          </w:p>
        </w:tc>
      </w:tr>
      <w:tr w14:paraId="7BF52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54" w:type="dxa"/>
            <w:gridSpan w:val="5"/>
            <w:vAlign w:val="center"/>
          </w:tcPr>
          <w:p w14:paraId="126D245A">
            <w:pPr>
              <w:widowControl w:val="0"/>
              <w:snapToGrid w:val="0"/>
              <w:jc w:val="left"/>
              <w:rPr>
                <w:rFonts w:hint="eastAsia" w:ascii="宋体" w:hAnsi="宋体" w:eastAsia="宋体" w:cs="宋体"/>
                <w:color w:val="auto"/>
                <w:kern w:val="0"/>
                <w:szCs w:val="21"/>
              </w:rPr>
            </w:pPr>
            <w:r>
              <w:rPr>
                <w:rFonts w:hint="eastAsia" w:ascii="宋体" w:hAnsi="宋体" w:eastAsia="宋体" w:cs="宋体"/>
                <w:b/>
                <w:bCs/>
                <w:color w:val="auto"/>
                <w:kern w:val="0"/>
                <w:szCs w:val="21"/>
                <w:lang w:val="en-US" w:eastAsia="zh-CN"/>
              </w:rPr>
              <w:t>六、LED大屏显示及扩声系统</w:t>
            </w:r>
          </w:p>
        </w:tc>
      </w:tr>
      <w:tr w14:paraId="49BF6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6BF2D5FA">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w:t>
            </w:r>
          </w:p>
        </w:tc>
        <w:tc>
          <w:tcPr>
            <w:tcW w:w="1058" w:type="dxa"/>
            <w:shd w:val="clear" w:color="auto" w:fill="auto"/>
            <w:vAlign w:val="center"/>
          </w:tcPr>
          <w:p w14:paraId="4585CA08">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小间距LED显示屏</w:t>
            </w:r>
          </w:p>
        </w:tc>
        <w:tc>
          <w:tcPr>
            <w:tcW w:w="7032" w:type="dxa"/>
            <w:shd w:val="clear" w:color="auto" w:fill="auto"/>
            <w:vAlign w:val="center"/>
          </w:tcPr>
          <w:p w14:paraId="00C35F66">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1.像素点间距：≤1.538mm，模组尺寸：320mm*160mm，像素密度：≥422753Dots/㎡；</w:t>
            </w:r>
          </w:p>
          <w:p w14:paraId="4C75ED8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2.模块级数字校正储存技术，每个基本模块上都装有CPU,将亮度、色度、色温、刷新率、灰度等级等校正数据储存在模块上，更新模块同时也更换了校正数据，彻底消除因更换模块导致的花屏现象；</w:t>
            </w:r>
          </w:p>
          <w:p w14:paraId="0DDCC1B9">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3.灰度处理能力：红、绿、蓝各16384级，支持色彩和亮度自动调整，对色彩及亮度自动调整，保持色彩亮度一致性；</w:t>
            </w:r>
          </w:p>
          <w:p w14:paraId="1D876548">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4.LED灯内三基色光源采用一字型线性排列，有效扩大屏幕视角范围，确保在可视角度内不发生偏色现象；</w:t>
            </w:r>
          </w:p>
          <w:p w14:paraId="1928B359">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5.LED显示屏支持手机远程监测功能，可实时显示屏幕温湿度，支持远程开关显示屏播放系统功能；</w:t>
            </w:r>
          </w:p>
          <w:p w14:paraId="6CE7E62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6.支持对图像清晰度、饱和度、色度调节、对比度、亮度进行综合式一键视觉修正；</w:t>
            </w:r>
          </w:p>
          <w:p w14:paraId="0DF0685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7.信噪比≥60dB；</w:t>
            </w:r>
          </w:p>
          <w:p w14:paraId="6B2B97ED">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8.黑屏非均匀性：≤8％；</w:t>
            </w:r>
          </w:p>
          <w:p w14:paraId="7E3FB63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9.支持一键自检，实时监控显示屏工作状态，实现远程监督控制，对可能发生的潜在故障记录日志,并向操作员发出警报信号；</w:t>
            </w:r>
          </w:p>
          <w:p w14:paraId="44C36384">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10.LED显示屏具备单电源漏电电流≤0.3mA，杜绝多个电源形成的漏电电流对上级电箱造成跳闸等风险；</w:t>
            </w:r>
          </w:p>
          <w:p w14:paraId="691804A7">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11.防电离辐射≤0.1mR/h；</w:t>
            </w:r>
          </w:p>
          <w:p w14:paraId="7E085235">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12.LED显示屏运行时闪烁值≥-44.3db；</w:t>
            </w:r>
          </w:p>
          <w:p w14:paraId="65FCEA8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13.支持信源接入状态显示，可通过物理按键、客户端、遥控器、设备自带Web浏览器进行信源切换；</w:t>
            </w:r>
          </w:p>
          <w:p w14:paraId="0BB7E0B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14.具备一键开启或关闭背光灯功能，实现节能环保效果，具备有效监控、断电保护功能；</w:t>
            </w:r>
          </w:p>
          <w:p w14:paraId="16AC746C">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15.电源和信号I/O连接均采用高可靠性的防水插头；</w:t>
            </w:r>
          </w:p>
          <w:p w14:paraId="10C3F372">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16.散热系数≤200（W/m·K）；</w:t>
            </w:r>
          </w:p>
          <w:p w14:paraId="389F8834">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17.信号衰减≤200mV；</w:t>
            </w:r>
          </w:p>
          <w:p w14:paraId="108CE3B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18.具备OTP power功能，可实现RT检测；</w:t>
            </w:r>
          </w:p>
          <w:p w14:paraId="69B42997">
            <w:pPr>
              <w:pStyle w:val="18"/>
              <w:widowControl/>
              <w:snapToGrid w:val="0"/>
              <w:ind w:firstLine="0" w:firstLineChars="0"/>
              <w:jc w:val="left"/>
              <w:rPr>
                <w:rFonts w:hint="eastAsia" w:ascii="宋体" w:hAnsi="宋体" w:eastAsia="宋体" w:cs="宋体"/>
                <w:strike/>
                <w:snapToGrid w:val="0"/>
                <w:color w:val="auto"/>
                <w:kern w:val="0"/>
                <w:sz w:val="21"/>
                <w:szCs w:val="21"/>
                <w:lang w:val="en-US" w:eastAsia="en-US" w:bidi="ar-SA"/>
              </w:rPr>
            </w:pPr>
            <w:r>
              <w:rPr>
                <w:rFonts w:hint="eastAsia" w:ascii="宋体" w:hAnsi="宋体" w:eastAsia="宋体" w:cs="宋体"/>
                <w:color w:val="auto"/>
                <w:kern w:val="0"/>
                <w:szCs w:val="21"/>
              </w:rPr>
              <w:t>19.支持颜色增强功能，改善画质，画面变得更加真实；</w:t>
            </w:r>
          </w:p>
        </w:tc>
        <w:tc>
          <w:tcPr>
            <w:tcW w:w="846" w:type="dxa"/>
            <w:shd w:val="clear" w:color="auto" w:fill="auto"/>
            <w:vAlign w:val="center"/>
          </w:tcPr>
          <w:p w14:paraId="2ECDB413">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7.3216</w:t>
            </w:r>
          </w:p>
        </w:tc>
        <w:tc>
          <w:tcPr>
            <w:tcW w:w="465" w:type="dxa"/>
            <w:shd w:val="clear" w:color="auto" w:fill="auto"/>
            <w:vAlign w:val="center"/>
          </w:tcPr>
          <w:p w14:paraId="0EF9F176">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w:t>
            </w:r>
          </w:p>
        </w:tc>
      </w:tr>
      <w:tr w14:paraId="51C87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520EDCAD">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2</w:t>
            </w:r>
          </w:p>
        </w:tc>
        <w:tc>
          <w:tcPr>
            <w:tcW w:w="1058" w:type="dxa"/>
            <w:shd w:val="clear" w:color="auto" w:fill="auto"/>
            <w:vAlign w:val="center"/>
          </w:tcPr>
          <w:p w14:paraId="7EC56302">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视频处理器</w:t>
            </w:r>
          </w:p>
        </w:tc>
        <w:tc>
          <w:tcPr>
            <w:tcW w:w="7032" w:type="dxa"/>
            <w:shd w:val="clear" w:color="auto" w:fill="auto"/>
            <w:vAlign w:val="center"/>
          </w:tcPr>
          <w:p w14:paraId="2F1752D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1.集成 Android 应用系统和发送功能为一体，可添加第三方 APP 应用，具备强大的交互和播控能力。</w:t>
            </w:r>
          </w:p>
          <w:p w14:paraId="381D65A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2.支持 Windows、Mac OS、IOS、Android 多平台终端无线投屏，可实现 8m 距离延迟≤80ms，标准 1080P</w:t>
            </w:r>
          </w:p>
          <w:p w14:paraId="147FF5E8">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视频源最大每秒 60fps 无线投屏传输。</w:t>
            </w:r>
          </w:p>
          <w:p w14:paraId="3870F73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3.支持 2 路 HDMI 1.3 输入；3 路 USB 2.0 输入，可用于多媒体素材播放及功能扩展。</w:t>
            </w:r>
          </w:p>
          <w:p w14:paraId="39AE299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4.支持 6 路网口输出，最大带载 390 万像素；2 路音频输出，1xSPDIF 数字音频输出接口，1x3.5mm 音频输</w:t>
            </w:r>
          </w:p>
          <w:p w14:paraId="74EBE732">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出。</w:t>
            </w:r>
          </w:p>
          <w:p w14:paraId="6ED2B985">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5.支持显示屏输出画面缩放。宽度范围 800~4096。高度范围 600 ~ 1920，设备总带载&lt;390 万像素。</w:t>
            </w:r>
          </w:p>
          <w:p w14:paraId="2E2F9E7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6.镜像反控:演讲者通过终端反向控制 LED 会议屏进行操作。</w:t>
            </w:r>
          </w:p>
          <w:p w14:paraId="4C8D2DC2">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7.支持效果调节，提供标准、柔和、影院、会议 4 种场景模式，同时可自定义调节亮度、饱和度、对比度等参数。</w:t>
            </w:r>
          </w:p>
          <w:p w14:paraId="1A9C9506">
            <w:pPr>
              <w:pStyle w:val="18"/>
              <w:widowControl/>
              <w:snapToGrid w:val="0"/>
              <w:ind w:firstLine="0" w:firstLineChars="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8.无线发言:参会者通过终端麦克风直接发言声音可无线传输至会议屏的音响系统。</w:t>
            </w:r>
          </w:p>
        </w:tc>
        <w:tc>
          <w:tcPr>
            <w:tcW w:w="846" w:type="dxa"/>
            <w:shd w:val="clear" w:color="auto" w:fill="auto"/>
            <w:vAlign w:val="center"/>
          </w:tcPr>
          <w:p w14:paraId="464880B1">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w:t>
            </w:r>
          </w:p>
        </w:tc>
        <w:tc>
          <w:tcPr>
            <w:tcW w:w="465" w:type="dxa"/>
            <w:shd w:val="clear" w:color="auto" w:fill="auto"/>
            <w:vAlign w:val="center"/>
          </w:tcPr>
          <w:p w14:paraId="060A1549">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台</w:t>
            </w:r>
          </w:p>
        </w:tc>
      </w:tr>
      <w:tr w14:paraId="342D9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2FF4CF10">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3</w:t>
            </w:r>
          </w:p>
        </w:tc>
        <w:tc>
          <w:tcPr>
            <w:tcW w:w="1058" w:type="dxa"/>
            <w:shd w:val="clear" w:color="auto" w:fill="auto"/>
            <w:vAlign w:val="center"/>
          </w:tcPr>
          <w:p w14:paraId="24506B6D">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钢结构</w:t>
            </w:r>
          </w:p>
        </w:tc>
        <w:tc>
          <w:tcPr>
            <w:tcW w:w="7032" w:type="dxa"/>
            <w:shd w:val="clear" w:color="auto" w:fill="auto"/>
            <w:vAlign w:val="center"/>
          </w:tcPr>
          <w:p w14:paraId="4087493B">
            <w:pPr>
              <w:pStyle w:val="18"/>
              <w:widowControl/>
              <w:snapToGrid w:val="0"/>
              <w:ind w:firstLine="0" w:firstLineChars="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尺寸：长3.62m*高2.18m，4*2镀锌管，单边5公分边框</w:t>
            </w:r>
          </w:p>
        </w:tc>
        <w:tc>
          <w:tcPr>
            <w:tcW w:w="846" w:type="dxa"/>
            <w:shd w:val="clear" w:color="auto" w:fill="auto"/>
            <w:vAlign w:val="center"/>
          </w:tcPr>
          <w:p w14:paraId="547F6324">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7.8916</w:t>
            </w:r>
          </w:p>
        </w:tc>
        <w:tc>
          <w:tcPr>
            <w:tcW w:w="465" w:type="dxa"/>
            <w:shd w:val="clear" w:color="auto" w:fill="auto"/>
            <w:vAlign w:val="center"/>
          </w:tcPr>
          <w:p w14:paraId="1BFE66F5">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w:t>
            </w:r>
          </w:p>
        </w:tc>
      </w:tr>
      <w:tr w14:paraId="20997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0E946422">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4</w:t>
            </w:r>
          </w:p>
        </w:tc>
        <w:tc>
          <w:tcPr>
            <w:tcW w:w="1058" w:type="dxa"/>
            <w:shd w:val="clear" w:color="auto" w:fill="auto"/>
            <w:vAlign w:val="center"/>
          </w:tcPr>
          <w:p w14:paraId="1EA80D5A">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配电箱</w:t>
            </w:r>
          </w:p>
        </w:tc>
        <w:tc>
          <w:tcPr>
            <w:tcW w:w="7032" w:type="dxa"/>
            <w:shd w:val="clear" w:color="auto" w:fill="auto"/>
            <w:vAlign w:val="center"/>
          </w:tcPr>
          <w:p w14:paraId="6CEA5BC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安装方式：壁挂式</w:t>
            </w:r>
          </w:p>
          <w:p w14:paraId="09DB06A4">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输入接线:接线方式:国家3相5线</w:t>
            </w:r>
          </w:p>
          <w:p w14:paraId="4E0A47F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输入电压:3相 380V，50Hz</w:t>
            </w:r>
          </w:p>
          <w:p w14:paraId="158CA13D">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额定功率:10KW</w:t>
            </w:r>
          </w:p>
          <w:p w14:paraId="07F641EF">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输入电缆:YJV-5*4mm ²</w:t>
            </w:r>
          </w:p>
          <w:p w14:paraId="56EE2B8C">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输出接线:接线方式:单相3线，L、N、PE</w:t>
            </w:r>
          </w:p>
          <w:p w14:paraId="0618D196">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输出电压:单相 220V</w:t>
            </w:r>
          </w:p>
          <w:p w14:paraId="4CB852ED">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单路功率:3.5KW</w:t>
            </w:r>
          </w:p>
          <w:p w14:paraId="26795282">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输出路数:3</w:t>
            </w:r>
          </w:p>
          <w:p w14:paraId="3C53EEE3">
            <w:pPr>
              <w:pStyle w:val="18"/>
              <w:widowControl/>
              <w:snapToGrid w:val="0"/>
              <w:ind w:firstLine="0" w:firstLineChars="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输出电缆:RVV-3*2.5mm²</w:t>
            </w:r>
          </w:p>
        </w:tc>
        <w:tc>
          <w:tcPr>
            <w:tcW w:w="846" w:type="dxa"/>
            <w:shd w:val="clear" w:color="auto" w:fill="auto"/>
            <w:vAlign w:val="center"/>
          </w:tcPr>
          <w:p w14:paraId="4AB6EA49">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w:t>
            </w:r>
          </w:p>
        </w:tc>
        <w:tc>
          <w:tcPr>
            <w:tcW w:w="465" w:type="dxa"/>
            <w:shd w:val="clear" w:color="auto" w:fill="auto"/>
            <w:vAlign w:val="center"/>
          </w:tcPr>
          <w:p w14:paraId="15E67965">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台</w:t>
            </w:r>
          </w:p>
        </w:tc>
      </w:tr>
      <w:tr w14:paraId="59741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23273F71">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5</w:t>
            </w:r>
          </w:p>
        </w:tc>
        <w:tc>
          <w:tcPr>
            <w:tcW w:w="1058" w:type="dxa"/>
            <w:shd w:val="clear" w:color="auto" w:fill="auto"/>
            <w:vAlign w:val="center"/>
          </w:tcPr>
          <w:p w14:paraId="387F10E4">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大屏主干电缆</w:t>
            </w:r>
          </w:p>
        </w:tc>
        <w:tc>
          <w:tcPr>
            <w:tcW w:w="7032" w:type="dxa"/>
            <w:shd w:val="clear" w:color="auto" w:fill="auto"/>
            <w:vAlign w:val="center"/>
          </w:tcPr>
          <w:p w14:paraId="6ED84EFF">
            <w:pPr>
              <w:pStyle w:val="18"/>
              <w:widowControl/>
              <w:snapToGrid w:val="0"/>
              <w:ind w:firstLine="0" w:firstLineChars="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强电井到LED屏配电柜的主干进线电缆：ZCYJV-5*4</w:t>
            </w:r>
          </w:p>
        </w:tc>
        <w:tc>
          <w:tcPr>
            <w:tcW w:w="846" w:type="dxa"/>
            <w:shd w:val="clear" w:color="auto" w:fill="auto"/>
            <w:vAlign w:val="center"/>
          </w:tcPr>
          <w:p w14:paraId="1BD9AA15">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60</w:t>
            </w:r>
          </w:p>
        </w:tc>
        <w:tc>
          <w:tcPr>
            <w:tcW w:w="465" w:type="dxa"/>
            <w:shd w:val="clear" w:color="auto" w:fill="auto"/>
            <w:vAlign w:val="center"/>
          </w:tcPr>
          <w:p w14:paraId="1398DB76">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m</w:t>
            </w:r>
          </w:p>
        </w:tc>
      </w:tr>
      <w:tr w14:paraId="55E32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406B5EC2">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6</w:t>
            </w:r>
          </w:p>
        </w:tc>
        <w:tc>
          <w:tcPr>
            <w:tcW w:w="1058" w:type="dxa"/>
            <w:shd w:val="clear" w:color="auto" w:fill="auto"/>
            <w:vAlign w:val="center"/>
          </w:tcPr>
          <w:p w14:paraId="74B4FA2A">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电源线</w:t>
            </w:r>
          </w:p>
        </w:tc>
        <w:tc>
          <w:tcPr>
            <w:tcW w:w="7032" w:type="dxa"/>
            <w:shd w:val="clear" w:color="auto" w:fill="auto"/>
            <w:vAlign w:val="center"/>
          </w:tcPr>
          <w:p w14:paraId="2EE2E0BA">
            <w:pPr>
              <w:pStyle w:val="18"/>
              <w:widowControl/>
              <w:snapToGrid w:val="0"/>
              <w:ind w:firstLine="0" w:firstLineChars="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大屏配电柜输出到前端大屏电源线：RVV3*2.5铜芯护套线</w:t>
            </w:r>
          </w:p>
        </w:tc>
        <w:tc>
          <w:tcPr>
            <w:tcW w:w="846" w:type="dxa"/>
            <w:shd w:val="clear" w:color="auto" w:fill="auto"/>
            <w:vAlign w:val="center"/>
          </w:tcPr>
          <w:p w14:paraId="5A86730B">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120</w:t>
            </w:r>
          </w:p>
        </w:tc>
        <w:tc>
          <w:tcPr>
            <w:tcW w:w="465" w:type="dxa"/>
            <w:shd w:val="clear" w:color="auto" w:fill="auto"/>
            <w:vAlign w:val="center"/>
          </w:tcPr>
          <w:p w14:paraId="115319D8">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m</w:t>
            </w:r>
          </w:p>
        </w:tc>
      </w:tr>
      <w:tr w14:paraId="04684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64BB0F5D">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7</w:t>
            </w:r>
          </w:p>
        </w:tc>
        <w:tc>
          <w:tcPr>
            <w:tcW w:w="1058" w:type="dxa"/>
            <w:shd w:val="clear" w:color="auto" w:fill="auto"/>
            <w:vAlign w:val="center"/>
          </w:tcPr>
          <w:p w14:paraId="0B62BFE4">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六类非屏蔽双绞线</w:t>
            </w:r>
          </w:p>
        </w:tc>
        <w:tc>
          <w:tcPr>
            <w:tcW w:w="7032" w:type="dxa"/>
            <w:shd w:val="clear" w:color="auto" w:fill="auto"/>
            <w:vAlign w:val="center"/>
          </w:tcPr>
          <w:p w14:paraId="14A7A20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标准：YD/T1019，型式及规格代号：HSYV-6 4×2×0.57</w:t>
            </w:r>
          </w:p>
          <w:p w14:paraId="04DC3FD2">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通过标准最高传输频率250MHz测试</w:t>
            </w:r>
          </w:p>
          <w:p w14:paraId="2887B44F">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单根导体直流电阻：≤9.5Ω/100m</w:t>
            </w:r>
          </w:p>
          <w:p w14:paraId="63AEDB00">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 xml:space="preserve">标称线对数：4，导体标称直径：0.57mm，导体名称：软圆铜线，绝缘：HDPE </w:t>
            </w:r>
          </w:p>
          <w:p w14:paraId="5289D6F8">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屏蔽方式：U/UTP，线对采用“十”字骨架隔离</w:t>
            </w:r>
          </w:p>
          <w:p w14:paraId="57A37A3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护套材料：PVC，护套外径：6.3±0.3mm，护套颜色：灰色</w:t>
            </w:r>
          </w:p>
          <w:p w14:paraId="54008B46">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最小内弯曲半径：安装时：8倍电缆外径，安装后：4倍电缆外径，敷设方式：钢管或阻燃硬质PVC管内</w:t>
            </w:r>
          </w:p>
          <w:p w14:paraId="45ABAA0D">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包装方式：305米/易拉箱，2易拉箱/外箱</w:t>
            </w:r>
          </w:p>
          <w:p w14:paraId="684F80F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使用场景：室内</w:t>
            </w:r>
          </w:p>
          <w:p w14:paraId="559020AF">
            <w:pPr>
              <w:pStyle w:val="18"/>
              <w:widowControl/>
              <w:snapToGrid w:val="0"/>
              <w:ind w:firstLine="0" w:firstLineChars="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安装温度：不低于0℃，工作温度：-20℃～+60℃</w:t>
            </w:r>
          </w:p>
        </w:tc>
        <w:tc>
          <w:tcPr>
            <w:tcW w:w="846" w:type="dxa"/>
            <w:shd w:val="clear" w:color="auto" w:fill="auto"/>
            <w:vAlign w:val="center"/>
          </w:tcPr>
          <w:p w14:paraId="7EAEA57E">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300</w:t>
            </w:r>
          </w:p>
        </w:tc>
        <w:tc>
          <w:tcPr>
            <w:tcW w:w="465" w:type="dxa"/>
            <w:shd w:val="clear" w:color="auto" w:fill="auto"/>
            <w:vAlign w:val="center"/>
          </w:tcPr>
          <w:p w14:paraId="07FB29B8">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m</w:t>
            </w:r>
          </w:p>
        </w:tc>
      </w:tr>
      <w:tr w14:paraId="7D076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64D37164">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8</w:t>
            </w:r>
          </w:p>
        </w:tc>
        <w:tc>
          <w:tcPr>
            <w:tcW w:w="1058" w:type="dxa"/>
            <w:shd w:val="clear" w:color="auto" w:fill="auto"/>
            <w:vAlign w:val="center"/>
          </w:tcPr>
          <w:p w14:paraId="5BC2F66A">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PVC管</w:t>
            </w:r>
          </w:p>
        </w:tc>
        <w:tc>
          <w:tcPr>
            <w:tcW w:w="7032" w:type="dxa"/>
            <w:shd w:val="clear" w:color="auto" w:fill="auto"/>
            <w:vAlign w:val="center"/>
          </w:tcPr>
          <w:p w14:paraId="7E5EBBF6">
            <w:pPr>
              <w:pStyle w:val="18"/>
              <w:widowControl/>
              <w:snapToGrid w:val="0"/>
              <w:ind w:firstLine="0" w:firstLineChars="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PVC25含弯头、三通、直通、管卡、杯塑等配件</w:t>
            </w:r>
          </w:p>
        </w:tc>
        <w:tc>
          <w:tcPr>
            <w:tcW w:w="846" w:type="dxa"/>
            <w:shd w:val="clear" w:color="auto" w:fill="auto"/>
            <w:vAlign w:val="center"/>
          </w:tcPr>
          <w:p w14:paraId="2A5CEE36">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280</w:t>
            </w:r>
          </w:p>
        </w:tc>
        <w:tc>
          <w:tcPr>
            <w:tcW w:w="465" w:type="dxa"/>
            <w:shd w:val="clear" w:color="auto" w:fill="auto"/>
            <w:vAlign w:val="center"/>
          </w:tcPr>
          <w:p w14:paraId="276EE9E9">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m</w:t>
            </w:r>
          </w:p>
        </w:tc>
      </w:tr>
      <w:tr w14:paraId="3A1BC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5B9F4BF9">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9</w:t>
            </w:r>
          </w:p>
        </w:tc>
        <w:tc>
          <w:tcPr>
            <w:tcW w:w="1058" w:type="dxa"/>
            <w:shd w:val="clear" w:color="auto" w:fill="auto"/>
            <w:vAlign w:val="center"/>
          </w:tcPr>
          <w:p w14:paraId="2852B379">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控制设备</w:t>
            </w:r>
          </w:p>
        </w:tc>
        <w:tc>
          <w:tcPr>
            <w:tcW w:w="7032" w:type="dxa"/>
            <w:shd w:val="clear" w:color="auto" w:fill="auto"/>
            <w:vAlign w:val="center"/>
          </w:tcPr>
          <w:p w14:paraId="2F7BC86E">
            <w:pPr>
              <w:pStyle w:val="18"/>
              <w:widowControl/>
              <w:snapToGrid w:val="0"/>
              <w:ind w:firstLine="0" w:firstLineChars="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b/>
                <w:bCs/>
                <w:color w:val="auto"/>
                <w:kern w:val="0"/>
                <w:szCs w:val="21"/>
                <w:lang w:val="en-US" w:eastAsia="zh-CN"/>
              </w:rPr>
              <w:t>3.0G</w:t>
            </w:r>
            <w:r>
              <w:rPr>
                <w:rFonts w:hint="eastAsia" w:ascii="宋体" w:hAnsi="宋体" w:eastAsia="宋体" w:cs="宋体"/>
                <w:color w:val="auto"/>
                <w:kern w:val="0"/>
                <w:szCs w:val="21"/>
              </w:rPr>
              <w:t xml:space="preserve">/16G/1TSSD/集显/8L/W11 +21.5寸 </w:t>
            </w:r>
          </w:p>
        </w:tc>
        <w:tc>
          <w:tcPr>
            <w:tcW w:w="846" w:type="dxa"/>
            <w:shd w:val="clear" w:color="auto" w:fill="auto"/>
            <w:vAlign w:val="center"/>
          </w:tcPr>
          <w:p w14:paraId="639AB404">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w:t>
            </w:r>
          </w:p>
        </w:tc>
        <w:tc>
          <w:tcPr>
            <w:tcW w:w="465" w:type="dxa"/>
            <w:shd w:val="clear" w:color="auto" w:fill="auto"/>
            <w:vAlign w:val="center"/>
          </w:tcPr>
          <w:p w14:paraId="270FA4F9">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台</w:t>
            </w:r>
          </w:p>
        </w:tc>
      </w:tr>
      <w:tr w14:paraId="631E4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2B4F9C05">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10</w:t>
            </w:r>
          </w:p>
        </w:tc>
        <w:tc>
          <w:tcPr>
            <w:tcW w:w="1058" w:type="dxa"/>
            <w:shd w:val="clear" w:color="auto" w:fill="auto"/>
            <w:vAlign w:val="center"/>
          </w:tcPr>
          <w:p w14:paraId="7ADA7BA2">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数字合并式功放</w:t>
            </w:r>
          </w:p>
        </w:tc>
        <w:tc>
          <w:tcPr>
            <w:tcW w:w="7032" w:type="dxa"/>
            <w:shd w:val="clear" w:color="auto" w:fill="auto"/>
            <w:vAlign w:val="center"/>
          </w:tcPr>
          <w:p w14:paraId="2C03298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设备具有4路信号输入（2路线路，2路话筒）。</w:t>
            </w:r>
          </w:p>
          <w:p w14:paraId="1F47FF2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设备采用宽电压开关电源供电，AC100~260V均可正常工作；</w:t>
            </w:r>
          </w:p>
          <w:p w14:paraId="6511002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 xml:space="preserve">设备具有DC24V直流供电，可接应急电源使用，也可以双电源同时接入，AC交流无输入时自动切换至DC24V供电。       </w:t>
            </w:r>
          </w:p>
          <w:p w14:paraId="170D5827">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设备音频变压器采用纯铜EI变压器，频响宽，性能高效。</w:t>
            </w:r>
          </w:p>
          <w:p w14:paraId="3789FAD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设备具有完善的输出短路保护、直流保护、高温保护等功能。</w:t>
            </w:r>
          </w:p>
          <w:p w14:paraId="4AE2644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设备高效率电路设计，无需风扇冷却，绝对静音。</w:t>
            </w:r>
          </w:p>
          <w:p w14:paraId="5305332D">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设备面板采用高档铝质1.5U黑色拉丝面板，美观大方。</w:t>
            </w:r>
          </w:p>
          <w:p w14:paraId="191E6A3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技术参数：</w:t>
            </w:r>
          </w:p>
          <w:p w14:paraId="3ED25A7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额定输出功率：120W</w:t>
            </w:r>
          </w:p>
          <w:p w14:paraId="6440286D">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输出方式：4-16 ohms定阻输出，70V，100V定压输出</w:t>
            </w:r>
          </w:p>
          <w:p w14:paraId="5A19A5AC">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话筒输入：MIC1/MIC2：600 ohms(Ω) 5-10 mv ,非平衡</w:t>
            </w:r>
          </w:p>
          <w:p w14:paraId="20791E5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线路输入：LINE：10k ohms(Ω) 150-470 mv ,非平衡</w:t>
            </w:r>
          </w:p>
          <w:p w14:paraId="75F3354D">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辅助输出：0.775V (0dB)</w:t>
            </w:r>
          </w:p>
          <w:p w14:paraId="3D408356">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频率响应：90Hz-18kHz (±3dB)</w:t>
            </w:r>
          </w:p>
          <w:p w14:paraId="45A69B1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非线性失真THD：&lt;0.3% at 1kHz,1/3的额定输出功率</w:t>
            </w:r>
          </w:p>
          <w:p w14:paraId="7AFA73D8">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信号噪声比S/N：Line:85dB , MIC:&gt;72dB</w:t>
            </w:r>
          </w:p>
          <w:p w14:paraId="43D6DB17">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音调调整范围：BASS:100Hz (±10dB) , TREBLE:10kHz (±10dB)</w:t>
            </w:r>
          </w:p>
          <w:p w14:paraId="032E6C39">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输出调整率：&lt;3dB,从无信号静态工作状态到满负荷工作状态</w:t>
            </w:r>
          </w:p>
          <w:p w14:paraId="6CBA2630">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冷却方式：物理降温冷却</w:t>
            </w:r>
          </w:p>
          <w:p w14:paraId="707E81AA">
            <w:pPr>
              <w:pStyle w:val="18"/>
              <w:widowControl/>
              <w:snapToGrid w:val="0"/>
              <w:ind w:firstLine="0" w:firstLineChars="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保护：AC FUSE*1.5A，负载短路，直流保护，高温保护</w:t>
            </w:r>
          </w:p>
        </w:tc>
        <w:tc>
          <w:tcPr>
            <w:tcW w:w="846" w:type="dxa"/>
            <w:shd w:val="clear" w:color="auto" w:fill="auto"/>
            <w:vAlign w:val="center"/>
          </w:tcPr>
          <w:p w14:paraId="3811D60C">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w:t>
            </w:r>
          </w:p>
        </w:tc>
        <w:tc>
          <w:tcPr>
            <w:tcW w:w="465" w:type="dxa"/>
            <w:shd w:val="clear" w:color="auto" w:fill="auto"/>
            <w:vAlign w:val="center"/>
          </w:tcPr>
          <w:p w14:paraId="12EA1B0A">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只</w:t>
            </w:r>
          </w:p>
        </w:tc>
      </w:tr>
      <w:tr w14:paraId="49F2B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5222B3E0">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11</w:t>
            </w:r>
          </w:p>
        </w:tc>
        <w:tc>
          <w:tcPr>
            <w:tcW w:w="1058" w:type="dxa"/>
            <w:shd w:val="clear" w:color="auto" w:fill="auto"/>
            <w:vAlign w:val="center"/>
          </w:tcPr>
          <w:p w14:paraId="0DDB04CA">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音柱</w:t>
            </w:r>
          </w:p>
        </w:tc>
        <w:tc>
          <w:tcPr>
            <w:tcW w:w="7032" w:type="dxa"/>
            <w:shd w:val="clear" w:color="auto" w:fill="auto"/>
            <w:vAlign w:val="center"/>
          </w:tcPr>
          <w:p w14:paraId="5CA4ED79">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采用3只4英寸防水全频单元和1只1.5英寸防水高音单元组合，声音还原真实、清晰；外壳和网罩均采用高档铝合金材料一体冲压成型，全天候设计，寿命长，不变形，不褪色，室内外均宜，适应不同场合。</w:t>
            </w:r>
          </w:p>
          <w:p w14:paraId="297A22D9">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喇叭单元：4"*3+1.5"*1</w:t>
            </w:r>
          </w:p>
          <w:p w14:paraId="634BE00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额定功率：15W/30W可选</w:t>
            </w:r>
          </w:p>
          <w:p w14:paraId="3BD5C2AF">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峰值功率：60W</w:t>
            </w:r>
          </w:p>
          <w:p w14:paraId="69FA1897">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输入电压：70V/100V</w:t>
            </w:r>
          </w:p>
          <w:p w14:paraId="25AF89B0">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灵敏度(1m,1W)：90dB(±2dB)</w:t>
            </w:r>
          </w:p>
          <w:p w14:paraId="01A1E9B8">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最大声压级(1m)：108dB(±2dB)</w:t>
            </w:r>
          </w:p>
          <w:p w14:paraId="41A71905">
            <w:pPr>
              <w:pStyle w:val="18"/>
              <w:widowControl/>
              <w:snapToGrid w:val="0"/>
              <w:ind w:firstLine="0" w:firstLineChars="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频率响应：100-15kHz</w:t>
            </w:r>
          </w:p>
        </w:tc>
        <w:tc>
          <w:tcPr>
            <w:tcW w:w="846" w:type="dxa"/>
            <w:shd w:val="clear" w:color="auto" w:fill="auto"/>
            <w:vAlign w:val="center"/>
          </w:tcPr>
          <w:p w14:paraId="57A0818E">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2</w:t>
            </w:r>
          </w:p>
        </w:tc>
        <w:tc>
          <w:tcPr>
            <w:tcW w:w="465" w:type="dxa"/>
            <w:shd w:val="clear" w:color="auto" w:fill="auto"/>
            <w:vAlign w:val="center"/>
          </w:tcPr>
          <w:p w14:paraId="7FEEE238">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只</w:t>
            </w:r>
          </w:p>
        </w:tc>
      </w:tr>
      <w:tr w14:paraId="2AF1D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7D75E6ED">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12</w:t>
            </w:r>
          </w:p>
        </w:tc>
        <w:tc>
          <w:tcPr>
            <w:tcW w:w="1058" w:type="dxa"/>
            <w:shd w:val="clear" w:color="auto" w:fill="auto"/>
            <w:vAlign w:val="center"/>
          </w:tcPr>
          <w:p w14:paraId="24948D32">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22U机柜</w:t>
            </w:r>
          </w:p>
        </w:tc>
        <w:tc>
          <w:tcPr>
            <w:tcW w:w="7032" w:type="dxa"/>
            <w:shd w:val="clear" w:color="auto" w:fill="auto"/>
            <w:vAlign w:val="center"/>
          </w:tcPr>
          <w:p w14:paraId="109CA84F">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22U机柜 600*600*1200mm</w:t>
            </w:r>
            <w:r>
              <w:rPr>
                <w:rFonts w:ascii="宋体" w:hAnsi="宋体" w:eastAsia="宋体" w:cs="宋体"/>
                <w:color w:val="auto"/>
                <w:kern w:val="0"/>
                <w:szCs w:val="21"/>
              </w:rPr>
              <w:t>(±</w:t>
            </w:r>
            <w:r>
              <w:rPr>
                <w:rFonts w:hint="eastAsia" w:ascii="宋体" w:hAnsi="宋体" w:eastAsia="宋体" w:cs="宋体"/>
                <w:color w:val="auto"/>
                <w:kern w:val="0"/>
                <w:szCs w:val="21"/>
              </w:rPr>
              <w:t>10mm</w:t>
            </w:r>
            <w:r>
              <w:rPr>
                <w:rFonts w:ascii="宋体" w:hAnsi="宋体" w:eastAsia="宋体" w:cs="宋体"/>
                <w:color w:val="auto"/>
                <w:kern w:val="0"/>
                <w:szCs w:val="21"/>
              </w:rPr>
              <w:t>)</w:t>
            </w:r>
          </w:p>
          <w:p w14:paraId="18E00384">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承载：静载800KG.</w:t>
            </w:r>
          </w:p>
          <w:p w14:paraId="27B2AEC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 xml:space="preserve">防护等级：IP20 </w:t>
            </w:r>
          </w:p>
          <w:p w14:paraId="5D762E8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主要材料:</w:t>
            </w:r>
          </w:p>
          <w:p w14:paraId="4AA773F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方孔条与安装梁：无花钝化镀锌板</w:t>
            </w:r>
          </w:p>
          <w:p w14:paraId="04E4F336">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其余：SPCC优质冷轧板；</w:t>
            </w:r>
          </w:p>
          <w:p w14:paraId="18CE9129">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厚度：方孔条2.0mm；安装梁1.5mm；其余1.2mm。</w:t>
            </w:r>
          </w:p>
          <w:p w14:paraId="2FEA596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表面处理：</w:t>
            </w:r>
          </w:p>
          <w:p w14:paraId="2DA7D6BF">
            <w:pPr>
              <w:pStyle w:val="18"/>
              <w:widowControl/>
              <w:snapToGrid w:val="0"/>
              <w:ind w:firstLine="0" w:firstLineChars="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脱脂、酸洗、陶化、静电喷塑.</w:t>
            </w:r>
          </w:p>
        </w:tc>
        <w:tc>
          <w:tcPr>
            <w:tcW w:w="846" w:type="dxa"/>
            <w:shd w:val="clear" w:color="auto" w:fill="auto"/>
            <w:vAlign w:val="center"/>
          </w:tcPr>
          <w:p w14:paraId="7F07E2F9">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w:t>
            </w:r>
          </w:p>
        </w:tc>
        <w:tc>
          <w:tcPr>
            <w:tcW w:w="465" w:type="dxa"/>
            <w:shd w:val="clear" w:color="auto" w:fill="auto"/>
            <w:vAlign w:val="center"/>
          </w:tcPr>
          <w:p w14:paraId="65699041">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台</w:t>
            </w:r>
          </w:p>
        </w:tc>
      </w:tr>
      <w:tr w14:paraId="629475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0F2A4647">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13</w:t>
            </w:r>
          </w:p>
        </w:tc>
        <w:tc>
          <w:tcPr>
            <w:tcW w:w="1058" w:type="dxa"/>
            <w:shd w:val="clear" w:color="auto" w:fill="auto"/>
            <w:vAlign w:val="center"/>
          </w:tcPr>
          <w:p w14:paraId="1601A2F8">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主电源线</w:t>
            </w:r>
          </w:p>
        </w:tc>
        <w:tc>
          <w:tcPr>
            <w:tcW w:w="7032" w:type="dxa"/>
            <w:shd w:val="clear" w:color="auto" w:fill="auto"/>
            <w:vAlign w:val="center"/>
          </w:tcPr>
          <w:p w14:paraId="0B3457B9">
            <w:pPr>
              <w:pStyle w:val="18"/>
              <w:widowControl/>
              <w:snapToGrid w:val="0"/>
              <w:ind w:firstLine="0" w:firstLineChars="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机柜电源线RVV3*2.5mm²</w:t>
            </w:r>
          </w:p>
        </w:tc>
        <w:tc>
          <w:tcPr>
            <w:tcW w:w="846" w:type="dxa"/>
            <w:shd w:val="clear" w:color="auto" w:fill="auto"/>
            <w:vAlign w:val="center"/>
          </w:tcPr>
          <w:p w14:paraId="7865F60B">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60</w:t>
            </w:r>
          </w:p>
        </w:tc>
        <w:tc>
          <w:tcPr>
            <w:tcW w:w="465" w:type="dxa"/>
            <w:shd w:val="clear" w:color="auto" w:fill="auto"/>
            <w:vAlign w:val="center"/>
          </w:tcPr>
          <w:p w14:paraId="4A542BAC">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m</w:t>
            </w:r>
          </w:p>
        </w:tc>
      </w:tr>
      <w:tr w14:paraId="0B0D7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5E5EC296">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14</w:t>
            </w:r>
          </w:p>
        </w:tc>
        <w:tc>
          <w:tcPr>
            <w:tcW w:w="1058" w:type="dxa"/>
            <w:shd w:val="clear" w:color="auto" w:fill="auto"/>
            <w:vAlign w:val="center"/>
          </w:tcPr>
          <w:p w14:paraId="7F2CBDE1">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HDMI视频线</w:t>
            </w:r>
          </w:p>
        </w:tc>
        <w:tc>
          <w:tcPr>
            <w:tcW w:w="7032" w:type="dxa"/>
            <w:shd w:val="clear" w:color="auto" w:fill="auto"/>
            <w:vAlign w:val="center"/>
          </w:tcPr>
          <w:p w14:paraId="14A9B289">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1、版本：2.0版</w:t>
            </w:r>
          </w:p>
          <w:p w14:paraId="0B11140C">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2、线芯材质：无氧铜</w:t>
            </w:r>
          </w:p>
          <w:p w14:paraId="262B8DA4">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3、长度：15米</w:t>
            </w:r>
          </w:p>
          <w:p w14:paraId="3970B233">
            <w:pPr>
              <w:pStyle w:val="18"/>
              <w:widowControl/>
              <w:snapToGrid w:val="0"/>
              <w:ind w:firstLine="0" w:firstLineChars="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4、颜色：黑色</w:t>
            </w:r>
          </w:p>
        </w:tc>
        <w:tc>
          <w:tcPr>
            <w:tcW w:w="846" w:type="dxa"/>
            <w:shd w:val="clear" w:color="auto" w:fill="auto"/>
            <w:vAlign w:val="center"/>
          </w:tcPr>
          <w:p w14:paraId="3F5AB518">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w:t>
            </w:r>
          </w:p>
        </w:tc>
        <w:tc>
          <w:tcPr>
            <w:tcW w:w="465" w:type="dxa"/>
            <w:shd w:val="clear" w:color="auto" w:fill="auto"/>
            <w:vAlign w:val="center"/>
          </w:tcPr>
          <w:p w14:paraId="5D39BC52">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根</w:t>
            </w:r>
          </w:p>
        </w:tc>
      </w:tr>
      <w:tr w14:paraId="57F2F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7B3248D1">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15</w:t>
            </w:r>
          </w:p>
        </w:tc>
        <w:tc>
          <w:tcPr>
            <w:tcW w:w="1058" w:type="dxa"/>
            <w:shd w:val="clear" w:color="auto" w:fill="auto"/>
            <w:vAlign w:val="center"/>
          </w:tcPr>
          <w:p w14:paraId="4893BBF9">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音响线</w:t>
            </w:r>
          </w:p>
        </w:tc>
        <w:tc>
          <w:tcPr>
            <w:tcW w:w="7032" w:type="dxa"/>
            <w:shd w:val="clear" w:color="auto" w:fill="auto"/>
            <w:vAlign w:val="center"/>
          </w:tcPr>
          <w:p w14:paraId="12AE54BB">
            <w:pPr>
              <w:pStyle w:val="18"/>
              <w:widowControl/>
              <w:snapToGrid w:val="0"/>
              <w:ind w:firstLine="0" w:firstLineChars="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音响线RVV2*1.5</w:t>
            </w:r>
          </w:p>
        </w:tc>
        <w:tc>
          <w:tcPr>
            <w:tcW w:w="846" w:type="dxa"/>
            <w:shd w:val="clear" w:color="auto" w:fill="auto"/>
            <w:vAlign w:val="center"/>
          </w:tcPr>
          <w:p w14:paraId="065AF086">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80</w:t>
            </w:r>
          </w:p>
        </w:tc>
        <w:tc>
          <w:tcPr>
            <w:tcW w:w="465" w:type="dxa"/>
            <w:shd w:val="clear" w:color="auto" w:fill="auto"/>
            <w:vAlign w:val="center"/>
          </w:tcPr>
          <w:p w14:paraId="624425EF">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m</w:t>
            </w:r>
          </w:p>
        </w:tc>
      </w:tr>
      <w:tr w14:paraId="13B28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54" w:type="dxa"/>
            <w:gridSpan w:val="5"/>
            <w:vAlign w:val="center"/>
          </w:tcPr>
          <w:p w14:paraId="19DE4DA9">
            <w:pPr>
              <w:widowControl w:val="0"/>
              <w:snapToGrid w:val="0"/>
              <w:jc w:val="left"/>
              <w:rPr>
                <w:rFonts w:hint="eastAsia" w:ascii="宋体" w:hAnsi="宋体" w:eastAsia="宋体" w:cs="宋体"/>
                <w:color w:val="auto"/>
                <w:kern w:val="0"/>
                <w:szCs w:val="21"/>
              </w:rPr>
            </w:pPr>
            <w:r>
              <w:rPr>
                <w:rFonts w:hint="eastAsia" w:ascii="宋体" w:hAnsi="宋体" w:eastAsia="宋体" w:cs="宋体"/>
                <w:b/>
                <w:bCs/>
                <w:color w:val="auto"/>
                <w:kern w:val="0"/>
                <w:szCs w:val="21"/>
                <w:lang w:val="en-US" w:eastAsia="zh-CN"/>
              </w:rPr>
              <w:t>七、全周期智能化信息管理平台</w:t>
            </w:r>
          </w:p>
        </w:tc>
      </w:tr>
      <w:tr w14:paraId="30F43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1FB1A826">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w:t>
            </w:r>
          </w:p>
        </w:tc>
        <w:tc>
          <w:tcPr>
            <w:tcW w:w="1058" w:type="dxa"/>
            <w:shd w:val="clear" w:color="auto" w:fill="auto"/>
            <w:vAlign w:val="center"/>
          </w:tcPr>
          <w:p w14:paraId="73522217">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保障房租后管理平台</w:t>
            </w:r>
          </w:p>
        </w:tc>
        <w:tc>
          <w:tcPr>
            <w:tcW w:w="7032" w:type="dxa"/>
            <w:shd w:val="clear" w:color="auto" w:fill="auto"/>
            <w:vAlign w:val="center"/>
          </w:tcPr>
          <w:p w14:paraId="316C7AC6">
            <w:pPr>
              <w:pStyle w:val="18"/>
              <w:widowControl/>
              <w:snapToGrid w:val="0"/>
              <w:ind w:firstLine="0" w:firstLineChars="0"/>
              <w:jc w:val="left"/>
              <w:rPr>
                <w:rFonts w:ascii="宋体" w:hAnsi="宋体" w:eastAsia="宋体" w:cs="宋体"/>
                <w:b/>
                <w:bCs/>
                <w:color w:val="auto"/>
                <w:kern w:val="0"/>
                <w:szCs w:val="21"/>
              </w:rPr>
            </w:pPr>
            <w:r>
              <w:rPr>
                <w:rFonts w:hint="eastAsia" w:ascii="宋体" w:hAnsi="宋体" w:eastAsia="宋体" w:cs="宋体"/>
                <w:b/>
                <w:bCs/>
                <w:color w:val="auto"/>
                <w:kern w:val="0"/>
                <w:szCs w:val="21"/>
              </w:rPr>
              <w:t>一、公租房主控制台</w:t>
            </w:r>
          </w:p>
          <w:p w14:paraId="023CBA70">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1.自定义快捷入口、最近访问的菜单、平台通知、待办事项、通知消息、热门问题、项目数量、账号信息</w:t>
            </w:r>
          </w:p>
          <w:p w14:paraId="0F30032D">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2.智慧公租房大数据实时更新看板，公租房运营、收益图表化显示；老板、领导管理的好帮手，在家就可以知道整体公租房运营情况，公租房运营整体情况查看分析、趋势查询</w:t>
            </w:r>
          </w:p>
          <w:p w14:paraId="6BF4DAD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3.智慧停车大数据管理可视化中心；所有停车场的整体运营、收费实时更新查询；老板、领导管理的好帮手，在家就可以知道整体停车场运营情况，所有停车项目运营整体情况查看分析、趋势查询</w:t>
            </w:r>
          </w:p>
          <w:p w14:paraId="0036D0E2">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4.可以查看公租房租金的综合收入（年、本月、上月），本月的实时收入（日期），本月各个项目下的收入分析，本月各个项目的收缴率，本月各个项目的欠费分析，本月收费方式分析（银行转账、现金、银行托收、微信、支付宝、刷卡、其他）</w:t>
            </w:r>
          </w:p>
          <w:p w14:paraId="43923A0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5.可查看房铺总数量、总建筑面积、入住率、出租率、房屋用途、收房状态、户型情况、装修情况。</w:t>
            </w:r>
          </w:p>
          <w:p w14:paraId="49130FE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6.公租房人员性质分析。人口类型、居住类型、性别比例、总人口（党员占比）、人口年龄、国籍占比、人员审核来源、开门记录</w:t>
            </w:r>
          </w:p>
          <w:p w14:paraId="6BB811E7">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7.可查看工单的类型分析、满意率、及时率、审核率、月结单率、月及时率、月满意率、月返工率、超时工单、在线工单</w:t>
            </w:r>
          </w:p>
          <w:p w14:paraId="6C33007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8.巡更/巡检计划、巡更/巡检任务有效期、巡更/巡检异常任务分析、巡更/巡检完成率、异常率、处理率，巡更/巡检生成数量和完成情况</w:t>
            </w:r>
          </w:p>
          <w:p w14:paraId="251A397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9.各类平台消息的接收，查询</w:t>
            </w:r>
          </w:p>
          <w:p w14:paraId="1B58B13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10.需要完成的待办事件</w:t>
            </w:r>
          </w:p>
          <w:p w14:paraId="24DC383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11.平台升级等公告</w:t>
            </w:r>
          </w:p>
          <w:p w14:paraId="29A9D3E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12.可以修改账号的姓名、身份证、邮箱、性别。</w:t>
            </w:r>
          </w:p>
          <w:p w14:paraId="6B0ACB8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13.修改账号密码。</w:t>
            </w:r>
          </w:p>
          <w:p w14:paraId="5907328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14.查看、解绑账号绑定的微信号。</w:t>
            </w:r>
          </w:p>
          <w:p w14:paraId="2D139C36">
            <w:pPr>
              <w:pStyle w:val="18"/>
              <w:widowControl/>
              <w:snapToGrid w:val="0"/>
              <w:ind w:firstLine="0" w:firstLineChars="0"/>
              <w:jc w:val="left"/>
              <w:rPr>
                <w:rFonts w:ascii="宋体" w:hAnsi="宋体" w:eastAsia="宋体" w:cs="宋体"/>
                <w:b/>
                <w:bCs/>
                <w:color w:val="auto"/>
                <w:kern w:val="0"/>
                <w:szCs w:val="21"/>
              </w:rPr>
            </w:pPr>
            <w:r>
              <w:rPr>
                <w:rFonts w:hint="eastAsia" w:ascii="宋体" w:hAnsi="宋体" w:eastAsia="宋体" w:cs="宋体"/>
                <w:b/>
                <w:bCs/>
                <w:color w:val="auto"/>
                <w:kern w:val="0"/>
                <w:szCs w:val="21"/>
              </w:rPr>
              <w:t>二、公租房项目资源</w:t>
            </w:r>
          </w:p>
          <w:p w14:paraId="67247F25">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项目集团化分级管理：所有项目显示、项目集团化分级管理、项目新增新建、修改、编辑、删除；云密钥查询；生产单位、所属单位、维护单位选择、停车版本选择、项目地址地图点选；跳转人员、车辆、房铺管理、门禁授权项目工单等页面。</w:t>
            </w:r>
          </w:p>
          <w:p w14:paraId="1E8387ED">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楼栋列表：根据公租房小区情况建好相应的房屋楼栋单元，管理楼栋信息，查看楼栋下房间数据。</w:t>
            </w:r>
          </w:p>
          <w:p w14:paraId="18FF05D2">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单元列表：管理单元信息，可分楼栋查看单元数据，查看单元下的房间列表。</w:t>
            </w:r>
          </w:p>
          <w:p w14:paraId="15B11564">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楼层管理：管理楼层数据，用于设置梯控、收取分摊费用。</w:t>
            </w:r>
          </w:p>
          <w:p w14:paraId="7FF7509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户型管理：房屋/房铺的数据分析，管理房间的户型，如一室两厅等。</w:t>
            </w:r>
          </w:p>
          <w:p w14:paraId="7581946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空间管理：管理公租房小区内的空余场地、可出租广告位等空间。</w:t>
            </w:r>
          </w:p>
          <w:p w14:paraId="03B34C66">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房铺管理：房铺、房屋面积新增、编辑、删除、入住情况批量导入导出；公租房房屋情况列表</w:t>
            </w:r>
          </w:p>
          <w:p w14:paraId="4CD3A155">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房铺标签：特殊需要标记的房铺，可以为房铺设置标签。</w:t>
            </w:r>
          </w:p>
          <w:p w14:paraId="2F3F81B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房铺状态：房铺状态（已入住和未入住、自用、租赁、出售、空置），全部房铺数量、出租状态，筛选欠租金费的房铺。</w:t>
            </w:r>
          </w:p>
          <w:p w14:paraId="165879C2">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统计分析：房铺汇总分析、房铺的用途分析、入住状态分析、户型结构分析、使用情况分析、收房状态分析、装修状态分析、销售状态分析、出租状态分析</w:t>
            </w:r>
          </w:p>
          <w:p w14:paraId="5E37C05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人员列表：业主信息处理、业主手机APP权限设置，业主信息、人脸照片新增、添加、编辑、修改、删除、批量导入导出；户主添加家庭成员信息和审核功能开启或关闭；授权业主查看APP菜单可选；</w:t>
            </w:r>
          </w:p>
          <w:p w14:paraId="0EE3AFA7">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人员设置：根据不同的属性对住户分类管理，住户分组可以将同一类的住户归类分组，有效的管理住户信息；住户性质的分类（户主、家人、亲戚等），可自行编辑增加；重点关注的住户可以设置标签管理。</w:t>
            </w:r>
          </w:p>
          <w:p w14:paraId="6C24BD87">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人员登记审核：住户入住申请审核</w:t>
            </w:r>
          </w:p>
          <w:p w14:paraId="4696BC97">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人脸图片审核：人脸识别照片数据审核</w:t>
            </w:r>
          </w:p>
          <w:p w14:paraId="4F545E35">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人员分析：人口汇总报表、人口类型分析、居住类型分析、性别分析、年龄分析、国籍分析、党员分析</w:t>
            </w:r>
          </w:p>
          <w:p w14:paraId="2460B8E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车位列表：管理项目的实体车位，该数据也用于停车管理下的 车位池车的车位数据</w:t>
            </w:r>
          </w:p>
          <w:p w14:paraId="6AB684E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车位分组：对车位做分组管理，如公共车位、残疾人车位、私家车位等等</w:t>
            </w:r>
          </w:p>
          <w:p w14:paraId="0B983CBF">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设施列表：设施的新增、操作管理、设施分类、设施区域、二维码打印、设施的信息批量导入、可批量导出记录</w:t>
            </w:r>
          </w:p>
          <w:p w14:paraId="00FF97E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采购商：管理设备的采购商，便于管理设施采购商信息</w:t>
            </w:r>
          </w:p>
          <w:p w14:paraId="162CA8C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维护人员：维护人员是专业的设施维护人员，负责异常设施的维护工作。维护人员列表便于对设施日常维护人员信息的管理</w:t>
            </w:r>
          </w:p>
          <w:p w14:paraId="5F2A67F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设施分类：设施分类方便对设施进行管理，可以配置相关的检查事项。设施指定了设施分类，自动关联相应的检查事项）</w:t>
            </w:r>
          </w:p>
          <w:p w14:paraId="45868A94">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设施分组：设施组表示一次巡航计划需要检查的所有设施组合，由多个设施组成，可以根据巡检人员配置分组</w:t>
            </w:r>
          </w:p>
          <w:p w14:paraId="6344781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项目管理的基础设置：业主审核添加成员的权限；房屋的默认有效期；开启家庭密码；开通公租房审核人脸；选择门禁呼叫方式；开启短信服务。</w:t>
            </w:r>
          </w:p>
          <w:p w14:paraId="0BF882A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审核设置：审核权限的设置和人员关联，物品放行、人员登记申请后，系统根据配置推送给指定人员审核。</w:t>
            </w:r>
          </w:p>
          <w:p w14:paraId="33DC5FE2">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通知顺序为：先通知对应的楼栋单元人员，如果未找到对应的楼栋单元人员则通知当前公租房管理人员。</w:t>
            </w:r>
          </w:p>
          <w:p w14:paraId="30328CB9">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设置联系人：添加项目的联系人。</w:t>
            </w:r>
          </w:p>
          <w:p w14:paraId="1A2FD462">
            <w:pPr>
              <w:pStyle w:val="18"/>
              <w:widowControl/>
              <w:snapToGrid w:val="0"/>
              <w:ind w:firstLine="0" w:firstLineChars="0"/>
              <w:jc w:val="left"/>
              <w:rPr>
                <w:rFonts w:ascii="宋体" w:hAnsi="宋体" w:eastAsia="宋体" w:cs="宋体"/>
                <w:b/>
                <w:bCs/>
                <w:color w:val="auto"/>
                <w:kern w:val="0"/>
                <w:szCs w:val="21"/>
              </w:rPr>
            </w:pPr>
            <w:r>
              <w:rPr>
                <w:rFonts w:hint="eastAsia" w:ascii="宋体" w:hAnsi="宋体" w:eastAsia="宋体" w:cs="宋体"/>
                <w:b/>
                <w:bCs/>
                <w:color w:val="auto"/>
                <w:kern w:val="0"/>
                <w:szCs w:val="21"/>
              </w:rPr>
              <w:t>三、公租房物业服务</w:t>
            </w:r>
          </w:p>
          <w:p w14:paraId="21DBA88C">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门禁授权：为门禁通道授权卡片、人员的白名单，可查看通道下的卡片、人员白名单。</w:t>
            </w:r>
          </w:p>
          <w:p w14:paraId="71C5503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发卡管理：卡片列表：新增批量导入卡片信息，门禁授权</w:t>
            </w:r>
          </w:p>
          <w:p w14:paraId="2045D822">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卡片登记：录入卡片信息，门禁卡号，所属业主，有效结束日期，所选楼层</w:t>
            </w:r>
          </w:p>
          <w:p w14:paraId="1998699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卡片白名单：已授权卡片名单列表及编辑</w:t>
            </w:r>
          </w:p>
          <w:p w14:paraId="3E09E152">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卡片黑名单：卡片黑名单列表及编辑</w:t>
            </w:r>
          </w:p>
          <w:p w14:paraId="3E8E11D4">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人员名单：人员白名单：已授权人员信息列表及编辑</w:t>
            </w:r>
          </w:p>
          <w:p w14:paraId="035F3659">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人员黑名单：人员黑名单列表及编辑</w:t>
            </w:r>
          </w:p>
          <w:p w14:paraId="0870F624">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人脸注册失败记录：根据所属项目，通道名称，所属商铺，注册失败原因，住户名称，设备序列号，注册时间查看注册人脸的失败记录</w:t>
            </w:r>
          </w:p>
          <w:p w14:paraId="00693A3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开门记录：根据所属项目，开门通道，设备序列号，设备名称，开门时间，姓名，手机号，卡号，密码，开门类型，开门结果查看门禁的开门记录</w:t>
            </w:r>
          </w:p>
          <w:p w14:paraId="7D2FE9B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对讲通话记录：查看门禁可视对讲的记录，筛选条件：所属项目，呼叫方式，设别类型，被呼叫方，房间号，被呼叫人手机号，记录时间，通话时长</w:t>
            </w:r>
          </w:p>
          <w:p w14:paraId="35436315">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告警记录：通过日期选定时段查询告警事件</w:t>
            </w:r>
          </w:p>
          <w:p w14:paraId="1429733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通行规则列表：自定义编辑通行规则（周一到周天、分时间段）设置通行规则</w:t>
            </w:r>
          </w:p>
          <w:p w14:paraId="35E532E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节假日管理：针对节假日是否通行规则的设置与管理，支持节假日的新增（自定义节假日天数，开始和结束时间）临时通行申请记录：针对临时申请通行的记录查询，可生成报表导出车辆来访记录：访客车辆来访记录，为值班员在【收费机顶盒、或收费手持机上登记】录入的信息列表，可查询来访车辆的记录和时间邀请访客记录：业主邀请访客的记录查询，访客通过预约的记录查询访客机登记记录：访客使用访客机的登记记录限制邀请访客列表：限制的访客列表清单（黑名单）</w:t>
            </w:r>
          </w:p>
          <w:p w14:paraId="73CFB5BF">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参数设置：访客管理的功能权限以及有效期的设置</w:t>
            </w:r>
          </w:p>
          <w:p w14:paraId="6BF2305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投诉建议：列表展示业主的投诉建议，有相关业主联系方式，为业主处理难题等，增强公租房提供服务的印象。</w:t>
            </w:r>
          </w:p>
          <w:p w14:paraId="509E197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满意度调查：为业主和公租房管理人员提供互动通道，对公租房发布的信息内容，进行评价，提高信任度。</w:t>
            </w:r>
          </w:p>
          <w:p w14:paraId="64664E9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只有最新添加、已发布且业主尚未评价的记录才会在业主APP上显示；已经有评价的记录不能删除，但可以撤销发布。</w:t>
            </w:r>
          </w:p>
          <w:p w14:paraId="61CB4936">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投票管理：列出日常评价项目列表，方便看板试查看，筛选和查询，对业主心声和重点关心关注的话题，物业重点关注处理。提升业主和物业之间的良性互动。</w:t>
            </w:r>
          </w:p>
          <w:p w14:paraId="3A5294F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APP菜单授权：授权业主在APP上的操作权限，默认授权全部权限</w:t>
            </w:r>
          </w:p>
          <w:p w14:paraId="5AFA4AD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专属管家：设置楼栋的专属管家，只有选择了楼栋，才能看见专属管家</w:t>
            </w:r>
          </w:p>
          <w:p w14:paraId="1D44FEE0">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楼栋长设置：为每一栋楼设置楼栋管家</w:t>
            </w:r>
          </w:p>
          <w:p w14:paraId="4B99D6C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公租房客服电话：公租房公司的客服电话</w:t>
            </w:r>
          </w:p>
          <w:p w14:paraId="1D56DD4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人员关怀：推送重点关注人员的出行记录给业主或公租房管理人员</w:t>
            </w:r>
          </w:p>
          <w:p w14:paraId="626238CF">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通知公告：设置门禁通知、室内分机的通知（可以上传本地图片，指定楼栋、编辑文字、指定时间在业主用的APP显眼位置显示公告）</w:t>
            </w:r>
          </w:p>
          <w:p w14:paraId="19D4BF54">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宣传栏：此宣传栏在业主APP首页服务菜单栏底部轮播展示，最多支持6张展示。</w:t>
            </w:r>
          </w:p>
          <w:p w14:paraId="19F5613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活动管理：在业主APP首页【活动】中展示，优先展示最新5条，可批量发布在其他的项目中。</w:t>
            </w:r>
          </w:p>
          <w:p w14:paraId="218CAB5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管家推荐：在业主APP首页【推荐】中展示，最多展示6条推荐内容；支持：APP公告、服务快报、生活服务、活动 、团队风采、自定义内容。</w:t>
            </w:r>
          </w:p>
          <w:p w14:paraId="56EFD590">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项目介绍：项目的宣传推广，项目封面图将在业主APP首页顶部轮播图展示，默认第一张；如编辑了详情，点击封面图会跳转到项目介绍。</w:t>
            </w:r>
          </w:p>
          <w:p w14:paraId="204442B2">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公租房单位介绍：公租房单位对于公司形象的推广。展示图将在业主APP物业版块顶部展示；如编辑了详情，点击展示图会跳转到项目公司介绍。</w:t>
            </w:r>
          </w:p>
          <w:p w14:paraId="74829A50">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服务团队：展示团队精英形象。您可从组织架构的成员列表中选择人员。添加的服务人员将在业主APP生活版块【服务团队】展示。</w:t>
            </w:r>
          </w:p>
          <w:p w14:paraId="76E8350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团队动态：发布的风采展示信息将在业主APP公租房版块【团队风采】展示，优先展示最新的一条。</w:t>
            </w:r>
          </w:p>
          <w:p w14:paraId="6AFD9082">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客户管理：管理与公租房单位合作的合作客户，如租赁场地的客户，或服务外包客户。</w:t>
            </w:r>
          </w:p>
          <w:p w14:paraId="569207A4">
            <w:pPr>
              <w:pStyle w:val="18"/>
              <w:widowControl/>
              <w:snapToGrid w:val="0"/>
              <w:ind w:firstLine="0" w:firstLineChars="0"/>
              <w:jc w:val="left"/>
              <w:rPr>
                <w:rFonts w:ascii="宋体" w:hAnsi="宋体" w:eastAsia="宋体" w:cs="宋体"/>
                <w:b/>
                <w:bCs/>
                <w:color w:val="auto"/>
                <w:kern w:val="0"/>
                <w:szCs w:val="21"/>
              </w:rPr>
            </w:pPr>
            <w:r>
              <w:rPr>
                <w:rFonts w:hint="eastAsia" w:ascii="宋体" w:hAnsi="宋体" w:eastAsia="宋体" w:cs="宋体"/>
                <w:b/>
                <w:bCs/>
                <w:color w:val="auto"/>
                <w:kern w:val="0"/>
                <w:szCs w:val="21"/>
              </w:rPr>
              <w:t>四、公租房停车管理</w:t>
            </w:r>
          </w:p>
          <w:p w14:paraId="22C836D9">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车辆信息列表：此页面是登记注册以后的车辆信息全面统计展示，对车辆当前是否在场等状态可筛选，筛选内容十分丰富，可以通过某一个信息查到对应车的各方面信息，对管理人员后台查询非常方便。</w:t>
            </w:r>
          </w:p>
          <w:p w14:paraId="1FEB61D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新车登记注册：为车辆信息管理人员提供登记通道，支持其他系统或者老系统数据批量导入，VIP车辆批量注册，页面提供信息录入项目，非常丰富多样，也为有批量操作需求的项目提供方便。</w:t>
            </w:r>
          </w:p>
          <w:p w14:paraId="0ECD28DD">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自主登记车辆审核：车主自主登记后，物业对车辆的审核列表。（选中项目后通过姓名、手机号、车牌号进行车辆查询审核情况）</w:t>
            </w:r>
          </w:p>
          <w:p w14:paraId="636BC406">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车库授权：支持不同车辆，按照车辆分组到指定车库或者将该停车场所属所有车辆授权到指定车库，对车辆信息管理人员起到很大的便捷作用。</w:t>
            </w:r>
          </w:p>
          <w:p w14:paraId="5FDC72AC">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车辆分组：为不同车辆类型进行分组，支持：月票车、临时车、储值票车、贵宾车、免费车、时租车、车位池车、公务车、月结车。</w:t>
            </w:r>
          </w:p>
          <w:p w14:paraId="2448E21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车辆类型：提供多种车辆类型，为不同项目不同收费类型车辆提供多种收费标准。总共6种车类型可选：小型车、摩托车、中型车、大型车、运输车、备用车</w:t>
            </w:r>
          </w:p>
          <w:p w14:paraId="2FD28C77">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黑名单车：支持停车场运营方可以直接后台设置黑名单车牌，选择所属停车场，限制黑名单车辆通行。此功能提高系统管控能力。</w:t>
            </w:r>
          </w:p>
          <w:p w14:paraId="583816F8">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预约车辆列表：用于解决预约车辆系统自动管理，可设置最晚到访时间，访客信息等。类似车主到医院、政府单位办理业务等，控制车流量，减少拥堵。</w:t>
            </w:r>
          </w:p>
          <w:p w14:paraId="551E7AB9">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车位池设置：解决一位多车管理问题，例如一个车位多个车辆捆绑，先到的车先进场，后到车不给进场，或都可以进场，收费可以设置：先出收费 或 后进收费等。此功能页面是车位池号添加页面。</w:t>
            </w:r>
          </w:p>
          <w:p w14:paraId="660C8AF5">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车位池-车位管理：用于新增车位池车位号设置，可以设置有效期，也可以点击进入车位池缴费页面，功能页面简单易懂，操作显得人性化。</w:t>
            </w:r>
          </w:p>
          <w:p w14:paraId="3588175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临停车费率：车库、计费类型、车类型、收费类型、费率设置、费率测试等设置</w:t>
            </w:r>
          </w:p>
          <w:p w14:paraId="3891E92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节假日：可自定义节假日名称、时间、节假日类型分为普通节假日和特殊节假日两种类型</w:t>
            </w:r>
          </w:p>
          <w:p w14:paraId="786F5549">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固定车费率：固定车添加缴费规则、是否启用固定车辆在线支付、否支持在线注册月票车、是否支持延期页面注册车票车、过期月票车在线缴费规则、可延期最大期限等设置</w:t>
            </w:r>
          </w:p>
          <w:p w14:paraId="5A36F437">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停车打折：停车打折：方式一：可在此页面对在场的车辆进行打折，出场时即可享受优惠；   方式二：为商户提供打折账号，商户通过打折平台给车辆打折，请到【商户管理】中进行添加账号</w:t>
            </w:r>
          </w:p>
          <w:p w14:paraId="03078D0D">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车辆出入记录：可实时查看车辆的入场、出场纪录 免费放行纪录 手动开闸纪录 车牌修改纪录、车辆锁车纪录</w:t>
            </w:r>
          </w:p>
          <w:p w14:paraId="36236A6D">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停车打折记录：可查看在场停车打折记录、有效期内免单车辆列表和商户打折统计</w:t>
            </w:r>
          </w:p>
          <w:p w14:paraId="62BB5DC8">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车辆管理记录：场内违章停车记录:可针对违章未停车辆 罚款、列入黑名单、批评教育、车辆盘点操作记录:记录值班员的每次盘点起始时间 和盘点状态。</w:t>
            </w:r>
          </w:p>
          <w:p w14:paraId="6105C9A6">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充电对接记录：可查看充电桩可对接到我司平台，享受在车场充电 停车费打折的优惠。</w:t>
            </w:r>
          </w:p>
          <w:p w14:paraId="3611561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车辆来访记录：可查看访客车辆的访问记录。</w:t>
            </w:r>
          </w:p>
          <w:p w14:paraId="3C33FBD2">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车流量分析报表：可根据每日、周、月、年报表统计车流量报表。更直接的了解车流量</w:t>
            </w:r>
          </w:p>
          <w:p w14:paraId="5A3E4898">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各车场车流汇总报表：汇总了该账号管理的所有车场项目的车流汇总和占比统计。</w:t>
            </w:r>
          </w:p>
          <w:p w14:paraId="2AE2F14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区域车流分析报表：可统计每个按城市/省份，选择时间段统计车流量的入场总数、出场总数的车流量，特别适用于景区。</w:t>
            </w:r>
          </w:p>
          <w:p w14:paraId="3123F8F4">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在场车辆数分析报表：可以通过筛选时间，查看实时的在场车辆车辆类型占比分析。</w:t>
            </w:r>
          </w:p>
          <w:p w14:paraId="1CD4AE9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放行标签统计：可对特殊车辆打标签管理，设置标签分组，添加标签。</w:t>
            </w:r>
          </w:p>
          <w:p w14:paraId="4011193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五、公租房安防中心</w:t>
            </w:r>
          </w:p>
          <w:p w14:paraId="73A01480">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中控机列表：显示项目中控机在线状态、IP地址，可以远程升级</w:t>
            </w:r>
          </w:p>
          <w:p w14:paraId="528A25A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中控机通话记录：显示项目中控机通话记录</w:t>
            </w:r>
          </w:p>
          <w:p w14:paraId="3954A790">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通道管理：添加门禁通道、所属楼栋单元、设置通道类型和访客密码使用次数，绑定值班门卫</w:t>
            </w:r>
          </w:p>
          <w:p w14:paraId="33CFECB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门禁设备：查看项目绑定的门禁设备，查看设备的白名单、版本号，升级设备</w:t>
            </w:r>
          </w:p>
          <w:p w14:paraId="55F91204">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通道闸：查看通道闸，通道闸下的白名单，升级设备</w:t>
            </w:r>
          </w:p>
          <w:p w14:paraId="4BD5FECD">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分机告警记录：查看分机的告警记录。</w:t>
            </w:r>
          </w:p>
          <w:p w14:paraId="11B1257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通知设置：添加异常事件人员通知</w:t>
            </w:r>
          </w:p>
          <w:p w14:paraId="178ABF92">
            <w:pPr>
              <w:pStyle w:val="18"/>
              <w:widowControl/>
              <w:snapToGrid w:val="0"/>
              <w:ind w:firstLine="0" w:firstLineChars="0"/>
              <w:jc w:val="left"/>
              <w:rPr>
                <w:rFonts w:ascii="宋体" w:hAnsi="宋体" w:eastAsia="宋体" w:cs="宋体"/>
                <w:b/>
                <w:bCs/>
                <w:color w:val="auto"/>
                <w:kern w:val="0"/>
                <w:szCs w:val="21"/>
              </w:rPr>
            </w:pPr>
            <w:r>
              <w:rPr>
                <w:rFonts w:hint="eastAsia" w:ascii="宋体" w:hAnsi="宋体" w:eastAsia="宋体" w:cs="宋体"/>
                <w:b/>
                <w:bCs/>
                <w:color w:val="auto"/>
                <w:kern w:val="0"/>
                <w:szCs w:val="21"/>
              </w:rPr>
              <w:t>六、公租房项目工单</w:t>
            </w:r>
          </w:p>
          <w:p w14:paraId="391D767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工单设置</w:t>
            </w:r>
          </w:p>
          <w:p w14:paraId="6D9A9AED">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1、服务开通（选择开通APP功能：投诉建议、室内维修、公共报修、安保服务、清洁绿化、土建/墙体报修、公共报障、小区安全、任务下达、其他服务），</w:t>
            </w:r>
          </w:p>
          <w:p w14:paraId="24CB759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2、工作组（用于可视化，工单开始到结束各个阶段查询：派单组、接单组、工单审核组、回访组、一级督办组、二级督办组、三级督办组、审核组（关单/审核挂起）、转单组），</w:t>
            </w:r>
          </w:p>
          <w:p w14:paraId="5ED01E27">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3、超时设置（用于后台服务管理人员，对派出的工单中超时单据进行可视化看板查看和处理；包含：派单、接单、处理、审核、评价、回访、服务名称、一级超时时间、二级超时时间、三级超时时间、操作记录等。支持EXCELL表导出和批量导入）</w:t>
            </w:r>
          </w:p>
          <w:p w14:paraId="20385CA2">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4、快速录单设置：设置经常出现的问题，提单是可以一键录入工单内容。</w:t>
            </w:r>
          </w:p>
          <w:p w14:paraId="6CB875B0">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5、推送设置：产生工单可在企业微信提醒工作人员。</w:t>
            </w:r>
          </w:p>
          <w:p w14:paraId="69EA9988">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收费设置：设置工单的收费标准，可设置人工费、材料费等，用于在德物管APP上展示。</w:t>
            </w:r>
          </w:p>
          <w:p w14:paraId="737F8FE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项目录单：物业人员内部录单、帮助业主代客录单</w:t>
            </w:r>
          </w:p>
          <w:p w14:paraId="03A4D14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工单列表</w:t>
            </w:r>
          </w:p>
          <w:p w14:paraId="3249DCD4">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1.工单列表（可以查询工单的清单和各个工单的状态，可筛选服务名称，日期，工单来源等），</w:t>
            </w:r>
          </w:p>
          <w:p w14:paraId="39497B2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2.超时工单（超时工单查询记录）</w:t>
            </w:r>
          </w:p>
          <w:p w14:paraId="3D76FFB0">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3.收费工单的信息查询，导出</w:t>
            </w:r>
          </w:p>
          <w:p w14:paraId="51BF5F5D">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4.我的工单</w:t>
            </w:r>
          </w:p>
          <w:p w14:paraId="0668B4F2">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工单分析：结单率报表、及时率报表、满意率报表、返工率报表、审核率报表、实收报表、工单类型报表，所有报表都可以通过项目和时间段进行查询，图文并茂，并形成趋势图，数据可以导出</w:t>
            </w:r>
          </w:p>
          <w:p w14:paraId="76C81028">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统计报表：工单信息报表、服务结果报表、服务评价报表、数量统计报表、处理统计报表，所有统计报表都可以通过EXCEL进行导出</w:t>
            </w:r>
          </w:p>
          <w:p w14:paraId="167CE3C7">
            <w:pPr>
              <w:pStyle w:val="18"/>
              <w:widowControl/>
              <w:snapToGrid w:val="0"/>
              <w:ind w:firstLine="0" w:firstLineChars="0"/>
              <w:jc w:val="left"/>
              <w:rPr>
                <w:rFonts w:ascii="宋体" w:hAnsi="宋体" w:eastAsia="宋体" w:cs="宋体"/>
                <w:b/>
                <w:bCs/>
                <w:color w:val="auto"/>
                <w:kern w:val="0"/>
                <w:szCs w:val="21"/>
              </w:rPr>
            </w:pPr>
            <w:r>
              <w:rPr>
                <w:rFonts w:hint="eastAsia" w:ascii="宋体" w:hAnsi="宋体" w:eastAsia="宋体" w:cs="宋体"/>
                <w:b/>
                <w:bCs/>
                <w:color w:val="auto"/>
                <w:kern w:val="0"/>
                <w:szCs w:val="21"/>
              </w:rPr>
              <w:t>七、公租房入户信息巡更/巡检</w:t>
            </w:r>
          </w:p>
          <w:p w14:paraId="43250C5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巡更点列表：新增和删除巡更点的名称和类型，设置巡更点所在区域，打印巡更点的二维码。巡更点分为蓝牙和二维码两种类型。只有蓝牙巡更点可以绑定设施，给设施提供签到点。编辑区域方便管理巡更点</w:t>
            </w:r>
          </w:p>
          <w:p w14:paraId="498866E0">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巡更路线：设置巡更路线，巡更路线分为有序和无序。</w:t>
            </w:r>
          </w:p>
          <w:p w14:paraId="79000152">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签到记录：根据项目名称，巡更点，签到日期，签到人员查看签到历史，并可以导出报表</w:t>
            </w:r>
          </w:p>
          <w:p w14:paraId="5C46820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巡航任务列表：查看并导出巡航记录，可以按照项目名称，记录开始时间，计划名称，计划类别，领班，巡航人员，任务状态，检查结果，异常状态查询，巡航记录已增加批量导出功能；平台和物管APP操作巡航记录（删除，关闭）增加了权限限制，您可通过【组织管理&gt;权限设置&gt;角色管理&gt;菜单授权】里的巡航记录菜单授权。巡航记录已增加批量导出功能；平台和物管APP操作巡航记录（删除，关闭）增加了权限限制，您可通过【组织管理&gt;权限设置&gt;角色管理&gt;菜单授权】里的巡航记录菜单授权。</w:t>
            </w:r>
          </w:p>
          <w:p w14:paraId="5AE67676">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分组管理：新增和删除检查事项分组，对检查事项进行分组，可用于检查事项的快速查询和管理</w:t>
            </w:r>
          </w:p>
          <w:p w14:paraId="1678489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事项列表：新增和删除检查事项列表，可以设置检验标准和显示方式。检查事项是检查巡更点，设施时的具体检查内容，有单选或文本输入两种方式</w:t>
            </w:r>
          </w:p>
          <w:p w14:paraId="59CF4399">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检查记录：设施巡检的记录查询、导出数据</w:t>
            </w:r>
          </w:p>
          <w:p w14:paraId="31D80FA0">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计划列表：航计划用来定时生成巡航任务，分为巡更、巡检两种。点击“启用”按钮，后台将在晚上根据配置自动生成第二天的记录。点击“关闭”后，则停止自动生成。可以选择“临时生成”来生成当天的记录</w:t>
            </w:r>
          </w:p>
          <w:p w14:paraId="5D474B5F">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计划日历表：巡航计划可以按照日历选择日期生成计划</w:t>
            </w:r>
          </w:p>
          <w:p w14:paraId="683692BF">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排班工作组：巡航人员分组</w:t>
            </w:r>
          </w:p>
          <w:p w14:paraId="6F046B7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班次设置：巡航班次的新增、查询、计划</w:t>
            </w:r>
          </w:p>
          <w:p w14:paraId="6A586605">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节假日：设置节假日，在进行计划排班的时候即可看到对应的假期安排，</w:t>
            </w:r>
          </w:p>
          <w:p w14:paraId="4C79B48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统计报表：巡航统计报表的查询、导出</w:t>
            </w:r>
          </w:p>
          <w:p w14:paraId="4D60966B">
            <w:pPr>
              <w:pStyle w:val="18"/>
              <w:widowControl/>
              <w:snapToGrid w:val="0"/>
              <w:ind w:firstLine="0" w:firstLineChars="0"/>
              <w:jc w:val="left"/>
              <w:rPr>
                <w:rFonts w:ascii="宋体" w:hAnsi="宋体" w:eastAsia="宋体" w:cs="宋体"/>
                <w:b/>
                <w:bCs/>
                <w:color w:val="auto"/>
                <w:kern w:val="0"/>
                <w:szCs w:val="21"/>
              </w:rPr>
            </w:pPr>
            <w:r>
              <w:rPr>
                <w:rFonts w:hint="eastAsia" w:ascii="宋体" w:hAnsi="宋体" w:eastAsia="宋体" w:cs="宋体"/>
                <w:b/>
                <w:bCs/>
                <w:color w:val="auto"/>
                <w:kern w:val="0"/>
                <w:szCs w:val="21"/>
              </w:rPr>
              <w:t>八、收费管理</w:t>
            </w:r>
          </w:p>
          <w:p w14:paraId="3EE83DB8">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停车缴费：月票车缴费、储值票车缴费、车位池-车位缴费、续费登记审核，各种车型的缴费和充值，特点：月卡车的批量延期；支付方式有现金、银行托收、微信支付、支付宝支付、刷卡支付的支付方式。</w:t>
            </w:r>
          </w:p>
          <w:p w14:paraId="7480ED0D">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车辆收费记录：临时车收费记录、月票车缴费记录、储值票车缴费记录、储值票车消费记录、车位池-车位缴费记录、月结车消费记录、自助缴费机缴费记录、路边停车欠费记录、车辆共享账户缴费记录、车辆共享账户消费记录</w:t>
            </w:r>
          </w:p>
          <w:p w14:paraId="0BE3A5C8">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停车收费汇总报表：详细的统计报表，按时间、按项目、按车型、按收费员进行查询数据，有圆柱图（按日期）和占比圆饼图（车辆类型缴费），可以查询和导出数据</w:t>
            </w:r>
          </w:p>
          <w:p w14:paraId="49C64A55">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各车场临停汇总报表：按停车场统计，按日期统计详细的统计报表，按时间、按项目、按车型、按收费员进行查询数据，每日收费金额圆柱图（按日期）和占比圆饼图（收费金额占比），可以查询和导出数据</w:t>
            </w:r>
          </w:p>
          <w:p w14:paraId="5ECCDBF0">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临停收费报表：可以按停车场、按日期、按收费方式、按收费方式、按值班员来查询和打印报表</w:t>
            </w:r>
          </w:p>
          <w:p w14:paraId="67211414">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设置支付：后台设立收款账户：物业或者运营公司账户，不设立资金池；支持主扫（手机扫二维码）和被扫（二维码读头感应），平台设置支持多支付入口：建设银行、工商银行、农业银行、中国银行、银联支付、招商银行、招商停车云(所有银行支持电子支付：微信、支付宝、ETC+和该银行的)</w:t>
            </w:r>
          </w:p>
          <w:p w14:paraId="59A824AF">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开通支付宝收款账号：目前平台已获得支付宝代理资质，可为客户代签约并设置成收款账号，只需线上提交资料即可一次办理。所收资金直达绑定的支付宝账号。</w:t>
            </w:r>
          </w:p>
          <w:p w14:paraId="28A78144">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在线支付订单记录：可以查询近2个月的订单记录和历史订单记录；（可以按停车场、订单类型、车牌号、车位号、支付方式、下单时间、支付时间、订单来源、商户号等进行查询记录）</w:t>
            </w:r>
          </w:p>
          <w:p w14:paraId="3FB3F98D">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客户对接支付记录：客户对接的支付方式支付记录</w:t>
            </w:r>
          </w:p>
          <w:p w14:paraId="37DA315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订单统计报表：订单的统计报表，可以导出，此报表统计的金额为，已支付订单的实收金额</w:t>
            </w:r>
          </w:p>
          <w:p w14:paraId="4B925041">
            <w:pPr>
              <w:pStyle w:val="18"/>
              <w:widowControl/>
              <w:snapToGrid w:val="0"/>
              <w:ind w:firstLine="0" w:firstLineChars="0"/>
              <w:jc w:val="left"/>
              <w:rPr>
                <w:rFonts w:ascii="宋体" w:hAnsi="宋体" w:eastAsia="宋体" w:cs="宋体"/>
                <w:b/>
                <w:bCs/>
                <w:color w:val="auto"/>
                <w:kern w:val="0"/>
                <w:szCs w:val="21"/>
              </w:rPr>
            </w:pPr>
            <w:r>
              <w:rPr>
                <w:rFonts w:hint="eastAsia" w:ascii="宋体" w:hAnsi="宋体" w:eastAsia="宋体" w:cs="宋体"/>
                <w:b/>
                <w:bCs/>
                <w:color w:val="auto"/>
                <w:kern w:val="0"/>
                <w:szCs w:val="21"/>
              </w:rPr>
              <w:t>九、公租房租金（财务会计）</w:t>
            </w:r>
          </w:p>
          <w:p w14:paraId="152736F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1、设置物业收费款项。</w:t>
            </w:r>
          </w:p>
          <w:p w14:paraId="72936010">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2、针对住宅和商铺等设置不同的收费标准</w:t>
            </w:r>
          </w:p>
          <w:p w14:paraId="09C6C5A0">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3、导入物业之前欠款数据、预收金、押金余额数据</w:t>
            </w:r>
          </w:p>
          <w:p w14:paraId="0F5C2EC5">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4、可以开启APP缴费功能，收款通知单可以显示付款二维码</w:t>
            </w:r>
          </w:p>
          <w:p w14:paraId="21BC3F72">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5、设置多个收款方、自定义单据编号</w:t>
            </w:r>
          </w:p>
          <w:p w14:paraId="37CB8AE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6、联动门禁欠费提醒功能，打印收据等功能</w:t>
            </w:r>
          </w:p>
          <w:p w14:paraId="778EDF1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应收单据：物业管理的新增费用生成。特点：批量生成和查询日志，冲抵、减免违约金、作废收据</w:t>
            </w:r>
          </w:p>
          <w:p w14:paraId="387D3E2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收款收据：查看收款收据、可以撤销、作废、退款、红冲收据。</w:t>
            </w:r>
          </w:p>
          <w:p w14:paraId="4DC62067">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预收单据：查看预收金的收费记录。</w:t>
            </w:r>
          </w:p>
          <w:p w14:paraId="4841769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退款单据：查看退款记录，审核退款</w:t>
            </w:r>
          </w:p>
          <w:p w14:paraId="7A09B9C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催缴管理：对欠费业主进行欠费催缴，可以APP信息、短信提醒</w:t>
            </w:r>
          </w:p>
          <w:p w14:paraId="709F1DA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分析管理：查看预收金、押金的余额。</w:t>
            </w:r>
          </w:p>
          <w:p w14:paraId="07033FC9">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应收报表：实收统计报表、欠费统计报表、按户统计报表、抄表统计报表、收费/客户统计、收缴率统计报表、房铺费用汇总、各项目汇总分析</w:t>
            </w:r>
          </w:p>
          <w:p w14:paraId="3B29906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应付款项设置：设置公司应付款项。</w:t>
            </w:r>
          </w:p>
          <w:p w14:paraId="7F9DFF9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应付费用列表：查看公司的支出记录。</w:t>
            </w:r>
          </w:p>
          <w:p w14:paraId="3B959577">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收银台：物业收银人员可以在收银台生成欠费账单、现金收费、查看退款单据、押金余额等。</w:t>
            </w:r>
          </w:p>
          <w:p w14:paraId="72E99AC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合同收款：多经收入管理，可以收取不基于房间产生的多经费用</w:t>
            </w:r>
          </w:p>
          <w:p w14:paraId="70279A86">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会计账本：启用会计账本、查看会计凭证、查看日记账薄</w:t>
            </w:r>
          </w:p>
          <w:p w14:paraId="3EDF6534">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会计科目：设置会计科目、税率、会计银行账号、</w:t>
            </w:r>
          </w:p>
          <w:p w14:paraId="48572D5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工作组：授权财务人员在财务会计下的操作权限，如，指定财务人员审核单据。</w:t>
            </w:r>
          </w:p>
          <w:p w14:paraId="1A0E42A7">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操作日志：查看财务会计下的工作人员的操作记录</w:t>
            </w:r>
          </w:p>
          <w:p w14:paraId="3BCB536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角色岗位：根据员工不同的工作属性做分类，便于区分管理；停车场运营过程中根据不同的岗位分配相应的权限；建立账号前要先建立角色；</w:t>
            </w:r>
          </w:p>
          <w:p w14:paraId="40F99F00">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组织架构：根据公司的架构，录入上下级部门信息</w:t>
            </w:r>
          </w:p>
          <w:p w14:paraId="144614E4">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组织成员/账号：根据企业的组织架构、工作职责，建立相对应的权限分配构架，理清每个人的权责关系；为工作人员建立登录账号、个人信息录入、编辑、管理、删除；登录云平台能看到的菜单权限选择；</w:t>
            </w:r>
          </w:p>
          <w:p w14:paraId="52B25E65">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登录记录：所有账号在某个时间、某个城市、某台电脑上登录过停车云平台都有记录，便于事后查询</w:t>
            </w:r>
          </w:p>
          <w:p w14:paraId="5323755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系统操作记录：可以查看系统所有账号的操作记录，包括登录、修改数据等。</w:t>
            </w:r>
          </w:p>
          <w:p w14:paraId="2B4FEF56">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短信管理：查看短信的发送记录，短信费用的余额，可以将项目余额转存为短信条数</w:t>
            </w:r>
          </w:p>
          <w:p w14:paraId="63DABC3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公司信息：查询公司在平台上的编号；录入公司基本信息；为自己登录的云平台更改显示的LOGO；</w:t>
            </w:r>
          </w:p>
          <w:p w14:paraId="565CB958">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开发接口AccessKey：需要数据对接，需要创建该接口，相当于给停车场创建了一个接口对接的地址；</w:t>
            </w:r>
          </w:p>
          <w:p w14:paraId="34E4CE6F">
            <w:pPr>
              <w:pStyle w:val="18"/>
              <w:widowControl/>
              <w:snapToGrid w:val="0"/>
              <w:ind w:firstLine="0" w:firstLineChars="0"/>
              <w:jc w:val="left"/>
              <w:rPr>
                <w:rFonts w:ascii="宋体" w:hAnsi="宋体" w:eastAsia="宋体" w:cs="宋体"/>
                <w:b/>
                <w:bCs/>
                <w:color w:val="auto"/>
                <w:kern w:val="0"/>
                <w:szCs w:val="21"/>
              </w:rPr>
            </w:pPr>
            <w:r>
              <w:rPr>
                <w:rFonts w:hint="eastAsia" w:ascii="宋体" w:hAnsi="宋体" w:eastAsia="宋体" w:cs="宋体"/>
                <w:b/>
                <w:bCs/>
                <w:color w:val="auto"/>
                <w:kern w:val="0"/>
                <w:szCs w:val="21"/>
              </w:rPr>
              <w:t>十、公租房平台人事管理</w:t>
            </w:r>
          </w:p>
          <w:p w14:paraId="57F4731C">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员工管理：管理公司的员工档案。</w:t>
            </w:r>
          </w:p>
          <w:p w14:paraId="10CEA0C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入职离职：管理员工的入职、转正、离职等工作，以及公司的岗位信息</w:t>
            </w:r>
          </w:p>
          <w:p w14:paraId="4236378C">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招聘管理：添加招聘计划、内推人才、面试人员简历档案、面试情况</w:t>
            </w:r>
          </w:p>
          <w:p w14:paraId="0A895DC5">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调岗管理：调动员工的工作岗位</w:t>
            </w:r>
          </w:p>
          <w:p w14:paraId="08F5B56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奖惩管理：提交员工的奖励、惩罚申请</w:t>
            </w:r>
          </w:p>
          <w:p w14:paraId="59785A4F">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薪酬配置：配置员工的工资组成</w:t>
            </w:r>
          </w:p>
          <w:p w14:paraId="3615120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工资档案：记录每个员工的工资档案、记录员工的工资调整记录</w:t>
            </w:r>
          </w:p>
          <w:p w14:paraId="7EA75EB6">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工资核算：进行每个月的工资核算</w:t>
            </w:r>
          </w:p>
          <w:p w14:paraId="4B606142">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社保&amp;公积金：添加公司的社保&amp;公积金方案，查看公司的缴纳记录</w:t>
            </w:r>
          </w:p>
          <w:p w14:paraId="78AC1B3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人事合同管理：查看公司员工签订的人事合同，合同到期提醒</w:t>
            </w:r>
          </w:p>
          <w:p w14:paraId="2C5EBFF8">
            <w:pPr>
              <w:pStyle w:val="18"/>
              <w:widowControl/>
              <w:snapToGrid w:val="0"/>
              <w:ind w:firstLine="0" w:firstLineChars="0"/>
              <w:jc w:val="left"/>
              <w:rPr>
                <w:rFonts w:ascii="宋体" w:hAnsi="宋体" w:eastAsia="宋体" w:cs="宋体"/>
                <w:b/>
                <w:bCs/>
                <w:color w:val="auto"/>
                <w:kern w:val="0"/>
                <w:szCs w:val="21"/>
              </w:rPr>
            </w:pPr>
            <w:r>
              <w:rPr>
                <w:rFonts w:hint="eastAsia" w:ascii="宋体" w:hAnsi="宋体" w:eastAsia="宋体" w:cs="宋体"/>
                <w:b/>
                <w:bCs/>
                <w:color w:val="auto"/>
                <w:kern w:val="0"/>
                <w:szCs w:val="21"/>
              </w:rPr>
              <w:t>十一、平台系统设置</w:t>
            </w:r>
          </w:p>
          <w:p w14:paraId="127181A2">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角色岗位：根据员工不同的工作属性做分类，便于区分管理；停车场运营过程中根据不同的岗位分配相应的权限；建立账号前要先建立角色；</w:t>
            </w:r>
          </w:p>
          <w:p w14:paraId="56ED9B05">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组织架构：根据公司的架构，录入上下级部门信息</w:t>
            </w:r>
          </w:p>
          <w:p w14:paraId="50A2A4A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组织成员/账号：根据企业的组织架构、工作职责，建立相对应的权限分配构架，理清每个人的权责关系；为工作人员建立登录账号、个人信息录入、编辑、管理、删除；登录云平台能看到的菜单权限选择；</w:t>
            </w:r>
          </w:p>
          <w:p w14:paraId="6BC72C35">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登录记录：所有账号在某个时间、某个城市、某台电脑上登录过停车云平台都有记录，便于事后查询</w:t>
            </w:r>
          </w:p>
          <w:p w14:paraId="65980A92">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系统操作记录：可以查看系统所有账号的操作记录，包括登录、修改数据等。</w:t>
            </w:r>
          </w:p>
          <w:p w14:paraId="687F188F">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短信管理:查看短信的发送记录，短信费用的余额，可以将项目余额转存为短信条数</w:t>
            </w:r>
          </w:p>
          <w:p w14:paraId="1BA63A3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公司信息：查询公司在平台上的编号；录入公司基本信息；为自己登录的云平台更改显示的LOGO；</w:t>
            </w:r>
          </w:p>
          <w:p w14:paraId="713AC4E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通知设置：设置各类消息要通知给哪个账号。</w:t>
            </w:r>
          </w:p>
          <w:p w14:paraId="2DEB8C20">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个性化设置：平台顶部自定义菜单、自定义BI中心标题、APP自定义菜单（可以设置跳转的小程序）</w:t>
            </w:r>
          </w:p>
          <w:p w14:paraId="1BF2A3F5">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开发接口AccessKey：需要数据对接，需要创建该接口，相当于给停车场创建了一个接口对接的地址；</w:t>
            </w:r>
          </w:p>
          <w:p w14:paraId="1D31008E">
            <w:pPr>
              <w:pStyle w:val="18"/>
              <w:widowControl/>
              <w:snapToGrid w:val="0"/>
              <w:ind w:firstLine="0" w:firstLineChars="0"/>
              <w:jc w:val="left"/>
              <w:rPr>
                <w:rFonts w:ascii="宋体" w:hAnsi="宋体" w:eastAsia="宋体" w:cs="宋体"/>
                <w:b/>
                <w:bCs/>
                <w:color w:val="auto"/>
                <w:kern w:val="0"/>
                <w:szCs w:val="21"/>
              </w:rPr>
            </w:pPr>
            <w:r>
              <w:rPr>
                <w:rFonts w:hint="eastAsia" w:ascii="宋体" w:hAnsi="宋体" w:eastAsia="宋体" w:cs="宋体"/>
                <w:b/>
                <w:bCs/>
                <w:color w:val="auto"/>
                <w:kern w:val="0"/>
                <w:szCs w:val="21"/>
              </w:rPr>
              <w:t>十二、平台数据对接</w:t>
            </w:r>
          </w:p>
          <w:p w14:paraId="3821BA6D">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平台开放端口与第三方租前业务平台，按要求实现功能业务对接</w:t>
            </w:r>
          </w:p>
          <w:p w14:paraId="1319FF4C">
            <w:pPr>
              <w:pStyle w:val="18"/>
              <w:widowControl/>
              <w:snapToGrid w:val="0"/>
              <w:ind w:firstLine="0" w:firstLineChars="0"/>
              <w:jc w:val="left"/>
              <w:rPr>
                <w:rFonts w:ascii="宋体" w:hAnsi="宋体" w:eastAsia="宋体" w:cs="宋体"/>
                <w:b/>
                <w:bCs/>
                <w:color w:val="auto"/>
                <w:kern w:val="0"/>
                <w:szCs w:val="21"/>
              </w:rPr>
            </w:pPr>
            <w:r>
              <w:rPr>
                <w:rFonts w:hint="eastAsia" w:ascii="宋体" w:hAnsi="宋体" w:eastAsia="宋体" w:cs="宋体"/>
                <w:b/>
                <w:bCs/>
                <w:color w:val="auto"/>
                <w:kern w:val="0"/>
                <w:szCs w:val="21"/>
              </w:rPr>
              <w:t>十三、智能门锁对接</w:t>
            </w:r>
          </w:p>
          <w:p w14:paraId="161AE933">
            <w:pPr>
              <w:pStyle w:val="18"/>
              <w:widowControl/>
              <w:snapToGrid w:val="0"/>
              <w:ind w:firstLine="0" w:firstLineChars="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对接第三方锁平台，API对接或SDK协议</w:t>
            </w:r>
          </w:p>
        </w:tc>
        <w:tc>
          <w:tcPr>
            <w:tcW w:w="846" w:type="dxa"/>
            <w:shd w:val="clear" w:color="auto" w:fill="auto"/>
            <w:vAlign w:val="center"/>
          </w:tcPr>
          <w:p w14:paraId="270FD6EE">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w:t>
            </w:r>
          </w:p>
        </w:tc>
        <w:tc>
          <w:tcPr>
            <w:tcW w:w="465" w:type="dxa"/>
            <w:shd w:val="clear" w:color="auto" w:fill="auto"/>
            <w:vAlign w:val="center"/>
          </w:tcPr>
          <w:p w14:paraId="7971ED9B">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套</w:t>
            </w:r>
          </w:p>
        </w:tc>
      </w:tr>
      <w:tr w14:paraId="3826D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4FF79F92">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2</w:t>
            </w:r>
          </w:p>
        </w:tc>
        <w:tc>
          <w:tcPr>
            <w:tcW w:w="1058" w:type="dxa"/>
            <w:shd w:val="clear" w:color="auto" w:fill="auto"/>
            <w:vAlign w:val="center"/>
          </w:tcPr>
          <w:p w14:paraId="42F98A28">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业主端APP/小程序端</w:t>
            </w:r>
          </w:p>
        </w:tc>
        <w:tc>
          <w:tcPr>
            <w:tcW w:w="7032" w:type="dxa"/>
            <w:shd w:val="clear" w:color="auto" w:fill="auto"/>
            <w:vAlign w:val="center"/>
          </w:tcPr>
          <w:p w14:paraId="2D8E5DA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1.为业主提供更多展示团队风采机会，让业主更便捷了解社区、物业和公租房管理单位的基本情况。</w:t>
            </w:r>
          </w:p>
          <w:p w14:paraId="0E7D338D">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2.一键开门通过手机蓝牙直接开门。</w:t>
            </w:r>
          </w:p>
          <w:p w14:paraId="65990137">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3.乘坐电梯可以点击授权楼层启动电梯。</w:t>
            </w:r>
          </w:p>
          <w:p w14:paraId="26989CFD">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4.输入访客姓名和手机号码后系统将通过微信或短信方式发送二维码+密码，也可以录入访客的人脸，访客通过人脸识别进出门禁。</w:t>
            </w:r>
          </w:p>
          <w:p w14:paraId="0B25E959">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5.业主可以进行居家问题或者公共问题的报修。并提交投诉建议。</w:t>
            </w:r>
          </w:p>
          <w:p w14:paraId="601A4C6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6.方便快捷地缴公租房费，可以查看各个费用项的详情和历史账单。</w:t>
            </w:r>
          </w:p>
          <w:p w14:paraId="33EBD465">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7.业主要搬离小区的物品，可在app上进行登记，物业审核后，将放行码出示给小区保安进行放行。</w:t>
            </w:r>
          </w:p>
          <w:p w14:paraId="01620A4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8.可以进行临时车缴费和月票车续期缴费。也可代客缴停车费</w:t>
            </w:r>
          </w:p>
          <w:p w14:paraId="7209909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9.可以在后台添加商铺增加收益，在业主APP上建立社区商场</w:t>
            </w:r>
          </w:p>
          <w:p w14:paraId="45C8E666">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10.让业主可以方便快捷联系物业或公租房管理单位。</w:t>
            </w:r>
          </w:p>
          <w:p w14:paraId="120E11D7">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11.查看公告信息。</w:t>
            </w:r>
          </w:p>
          <w:p w14:paraId="22982F18">
            <w:pPr>
              <w:pStyle w:val="18"/>
              <w:widowControl/>
              <w:snapToGrid w:val="0"/>
              <w:ind w:firstLine="0" w:firstLineChars="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12.在我的爱车处绑定车辆后，车辆进入停车场后可以进行上锁操作，上锁后车辆出场时将无法自动出场（需解锁后才能出场）。</w:t>
            </w:r>
          </w:p>
        </w:tc>
        <w:tc>
          <w:tcPr>
            <w:tcW w:w="846" w:type="dxa"/>
            <w:shd w:val="clear" w:color="auto" w:fill="auto"/>
            <w:vAlign w:val="center"/>
          </w:tcPr>
          <w:p w14:paraId="49151D8B">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w:t>
            </w:r>
          </w:p>
        </w:tc>
        <w:tc>
          <w:tcPr>
            <w:tcW w:w="465" w:type="dxa"/>
            <w:shd w:val="clear" w:color="auto" w:fill="auto"/>
            <w:vAlign w:val="center"/>
          </w:tcPr>
          <w:p w14:paraId="23B3DBE1">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项</w:t>
            </w:r>
          </w:p>
        </w:tc>
      </w:tr>
      <w:tr w14:paraId="096B52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 w:type="dxa"/>
            <w:shd w:val="clear" w:color="auto" w:fill="auto"/>
            <w:vAlign w:val="center"/>
          </w:tcPr>
          <w:p w14:paraId="384E45A6">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3</w:t>
            </w:r>
          </w:p>
        </w:tc>
        <w:tc>
          <w:tcPr>
            <w:tcW w:w="1058" w:type="dxa"/>
            <w:shd w:val="clear" w:color="auto" w:fill="auto"/>
            <w:vAlign w:val="center"/>
          </w:tcPr>
          <w:p w14:paraId="17463799">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公租房管理人员手机端</w:t>
            </w:r>
          </w:p>
        </w:tc>
        <w:tc>
          <w:tcPr>
            <w:tcW w:w="7032" w:type="dxa"/>
            <w:shd w:val="clear" w:color="auto" w:fill="auto"/>
            <w:vAlign w:val="center"/>
          </w:tcPr>
          <w:p w14:paraId="6C2D5827">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1.点击放行条，查看业主申请的放行条记录，点击查看详情可以对放行条进行审核。</w:t>
            </w:r>
          </w:p>
          <w:p w14:paraId="38CDEE6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2.房屋审核：点击房屋审核，查看业主申请的房屋信息，点击通过按钮进行审核。</w:t>
            </w:r>
          </w:p>
          <w:p w14:paraId="2D3F7BB3">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3.点击内部公告，可以查看公租房内部通知。</w:t>
            </w:r>
          </w:p>
          <w:p w14:paraId="1BF9E5E9">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4.点击住户管理可以查询房间下的住户，和对住户信息进行编辑，人脸图片更新和删除住户的操作，可以在该房间下新增住户。</w:t>
            </w:r>
          </w:p>
          <w:p w14:paraId="4664C6DA">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5.录单：点击录单可以进行公租房内部的工单录入和代客录单。</w:t>
            </w:r>
          </w:p>
          <w:p w14:paraId="2D610192">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6.处理业主的投诉报修等工单，派单跟跟踪管理。</w:t>
            </w:r>
          </w:p>
          <w:p w14:paraId="664DAFEB">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7.点击通讯录可以查看公租房员工的已登记号码，点击可以进行拨号。</w:t>
            </w:r>
          </w:p>
          <w:p w14:paraId="4478C9F1">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8.访客信息下可以查看所有业主邀请访客的记录。</w:t>
            </w:r>
          </w:p>
          <w:p w14:paraId="633B072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9.点击抄表可以选择楼顶房间后抄入水电表读数。</w:t>
            </w:r>
          </w:p>
          <w:p w14:paraId="1AE3AD68">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10.巡航管理下可以巡更、巡检任务进行签到检查和查看记录。</w:t>
            </w:r>
          </w:p>
          <w:p w14:paraId="1AF75EEE">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11.设备管理下可以对门禁、室内分机、巡航基站进行绑定和设置。</w:t>
            </w:r>
          </w:p>
          <w:p w14:paraId="3D628ED6">
            <w:pPr>
              <w:pStyle w:val="18"/>
              <w:widowControl/>
              <w:snapToGrid w:val="0"/>
              <w:ind w:firstLine="0" w:firstLineChars="0"/>
              <w:jc w:val="left"/>
              <w:rPr>
                <w:rFonts w:ascii="宋体" w:hAnsi="宋体" w:eastAsia="宋体" w:cs="宋体"/>
                <w:color w:val="auto"/>
                <w:kern w:val="0"/>
                <w:szCs w:val="21"/>
              </w:rPr>
            </w:pPr>
            <w:r>
              <w:rPr>
                <w:rFonts w:hint="eastAsia" w:ascii="宋体" w:hAnsi="宋体" w:eastAsia="宋体" w:cs="宋体"/>
                <w:color w:val="auto"/>
                <w:kern w:val="0"/>
                <w:szCs w:val="21"/>
              </w:rPr>
              <w:t>12.点击场景监控可以查看已经绑定在平台的监控列表，点击监控后可以进行开关门和查看回放。</w:t>
            </w:r>
          </w:p>
          <w:p w14:paraId="3830F684">
            <w:pPr>
              <w:pStyle w:val="18"/>
              <w:widowControl/>
              <w:snapToGrid w:val="0"/>
              <w:ind w:firstLine="0" w:firstLineChars="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13.点击门禁授权可以将查看该帐号所管理的项目，选择项目后将该帐号的权限进行下发。</w:t>
            </w:r>
          </w:p>
        </w:tc>
        <w:tc>
          <w:tcPr>
            <w:tcW w:w="846" w:type="dxa"/>
            <w:shd w:val="clear" w:color="auto" w:fill="auto"/>
            <w:vAlign w:val="center"/>
          </w:tcPr>
          <w:p w14:paraId="345A532D">
            <w:pPr>
              <w:widowControl w:val="0"/>
              <w:snapToGrid w:val="0"/>
              <w:jc w:val="left"/>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1</w:t>
            </w:r>
          </w:p>
        </w:tc>
        <w:tc>
          <w:tcPr>
            <w:tcW w:w="465" w:type="dxa"/>
            <w:shd w:val="clear" w:color="auto" w:fill="auto"/>
            <w:vAlign w:val="center"/>
          </w:tcPr>
          <w:p w14:paraId="7EFEC886">
            <w:pPr>
              <w:widowControl w:val="0"/>
              <w:snapToGrid w:val="0"/>
              <w:jc w:val="center"/>
              <w:rPr>
                <w:rFonts w:hint="eastAsia" w:ascii="宋体" w:hAnsi="宋体" w:eastAsia="宋体" w:cs="宋体"/>
                <w:snapToGrid w:val="0"/>
                <w:color w:val="auto"/>
                <w:kern w:val="0"/>
                <w:sz w:val="21"/>
                <w:szCs w:val="21"/>
                <w:lang w:val="en-US" w:eastAsia="en-US" w:bidi="ar-SA"/>
              </w:rPr>
            </w:pPr>
            <w:r>
              <w:rPr>
                <w:rFonts w:hint="eastAsia" w:ascii="宋体" w:hAnsi="宋体" w:eastAsia="宋体" w:cs="宋体"/>
                <w:color w:val="auto"/>
                <w:kern w:val="0"/>
                <w:szCs w:val="21"/>
              </w:rPr>
              <w:t>项</w:t>
            </w:r>
          </w:p>
        </w:tc>
      </w:tr>
    </w:tbl>
    <w:p w14:paraId="228EC5CB">
      <w:pPr>
        <w:numPr>
          <w:ilvl w:val="0"/>
          <w:numId w:val="0"/>
        </w:numPr>
        <w:spacing w:before="78" w:line="211" w:lineRule="auto"/>
        <w:rPr>
          <w:rFonts w:ascii="宋体" w:hAnsi="宋体" w:eastAsia="宋体" w:cs="宋体"/>
          <w:color w:val="auto"/>
          <w:spacing w:val="-2"/>
          <w:sz w:val="24"/>
          <w:szCs w:val="24"/>
        </w:rPr>
      </w:pPr>
    </w:p>
    <w:p w14:paraId="3B635D16">
      <w:pPr>
        <w:spacing w:before="37" w:line="219" w:lineRule="auto"/>
        <w:ind w:left="195"/>
        <w:rPr>
          <w:rFonts w:ascii="宋体" w:hAnsi="宋体" w:eastAsia="宋体" w:cs="宋体"/>
          <w:color w:val="auto"/>
          <w:sz w:val="24"/>
          <w:szCs w:val="24"/>
        </w:rPr>
      </w:pPr>
      <w:r>
        <w:rPr>
          <w:rFonts w:ascii="宋体" w:hAnsi="宋体" w:eastAsia="宋体" w:cs="宋体"/>
          <w:color w:val="auto"/>
          <w:spacing w:val="-1"/>
          <w:sz w:val="24"/>
          <w:szCs w:val="24"/>
        </w:rPr>
        <w:t>注</w:t>
      </w:r>
      <w:r>
        <w:rPr>
          <w:rFonts w:ascii="宋体" w:hAnsi="宋体" w:eastAsia="宋体" w:cs="宋体"/>
          <w:color w:val="auto"/>
          <w:spacing w:val="-15"/>
          <w:sz w:val="24"/>
          <w:szCs w:val="24"/>
        </w:rPr>
        <w:t>：（</w:t>
      </w:r>
      <w:r>
        <w:rPr>
          <w:rFonts w:ascii="宋体" w:hAnsi="宋体" w:eastAsia="宋体" w:cs="宋体"/>
          <w:color w:val="auto"/>
          <w:spacing w:val="-1"/>
          <w:sz w:val="24"/>
          <w:szCs w:val="24"/>
        </w:rPr>
        <w:t>1）文件中凡涉及规格尺寸的产品正负偏差不能超过</w:t>
      </w:r>
      <w:r>
        <w:rPr>
          <w:rFonts w:ascii="宋体" w:hAnsi="宋体" w:eastAsia="宋体" w:cs="宋体"/>
          <w:color w:val="auto"/>
          <w:spacing w:val="37"/>
          <w:sz w:val="24"/>
          <w:szCs w:val="24"/>
        </w:rPr>
        <w:t xml:space="preserve"> </w:t>
      </w:r>
      <w:r>
        <w:rPr>
          <w:rFonts w:ascii="宋体" w:hAnsi="宋体" w:eastAsia="宋体" w:cs="宋体"/>
          <w:color w:val="auto"/>
          <w:spacing w:val="-1"/>
          <w:sz w:val="24"/>
          <w:szCs w:val="24"/>
        </w:rPr>
        <w:t xml:space="preserve">1% </w:t>
      </w:r>
      <w:r>
        <w:rPr>
          <w:rFonts w:ascii="宋体" w:hAnsi="宋体" w:eastAsia="宋体" w:cs="宋体"/>
          <w:color w:val="auto"/>
          <w:spacing w:val="-2"/>
          <w:sz w:val="24"/>
          <w:szCs w:val="24"/>
        </w:rPr>
        <w:t>(≥、≤、±除外）。</w:t>
      </w:r>
    </w:p>
    <w:p w14:paraId="0C71787D">
      <w:pPr>
        <w:spacing w:before="27" w:line="241" w:lineRule="auto"/>
        <w:ind w:left="217" w:right="630" w:hanging="16"/>
        <w:rPr>
          <w:rFonts w:ascii="宋体" w:hAnsi="宋体" w:eastAsia="宋体" w:cs="宋体"/>
          <w:color w:val="auto"/>
          <w:sz w:val="24"/>
          <w:szCs w:val="24"/>
        </w:rPr>
      </w:pPr>
      <w:r>
        <w:rPr>
          <w:rFonts w:ascii="宋体" w:hAnsi="宋体" w:eastAsia="宋体" w:cs="宋体"/>
          <w:color w:val="auto"/>
          <w:sz w:val="24"/>
          <w:szCs w:val="24"/>
        </w:rPr>
        <w:t>（</w:t>
      </w:r>
      <w:r>
        <w:rPr>
          <w:rFonts w:hint="eastAsia" w:ascii="宋体" w:hAnsi="宋体" w:eastAsia="宋体" w:cs="宋体"/>
          <w:color w:val="auto"/>
          <w:sz w:val="24"/>
          <w:szCs w:val="24"/>
          <w:lang w:val="en-US" w:eastAsia="zh-CN"/>
        </w:rPr>
        <w:t>2</w:t>
      </w:r>
      <w:r>
        <w:rPr>
          <w:rFonts w:ascii="宋体" w:hAnsi="宋体" w:eastAsia="宋体" w:cs="宋体"/>
          <w:color w:val="auto"/>
          <w:sz w:val="24"/>
          <w:szCs w:val="24"/>
        </w:rPr>
        <w:t>）本项目采购的产品（含设备、配件、材料）属于中国强制性产品认证的，供货时须向采购</w:t>
      </w:r>
      <w:r>
        <w:rPr>
          <w:rFonts w:ascii="宋体" w:hAnsi="宋体" w:eastAsia="宋体" w:cs="宋体"/>
          <w:color w:val="auto"/>
          <w:spacing w:val="-1"/>
          <w:sz w:val="24"/>
          <w:szCs w:val="24"/>
        </w:rPr>
        <w:t>人提供所投产品通过 3C 认证的证</w:t>
      </w:r>
      <w:r>
        <w:rPr>
          <w:rFonts w:ascii="宋体" w:hAnsi="宋体" w:eastAsia="宋体" w:cs="宋体"/>
          <w:color w:val="auto"/>
          <w:spacing w:val="-13"/>
          <w:sz w:val="24"/>
          <w:szCs w:val="24"/>
        </w:rPr>
        <w:t>明材料。</w:t>
      </w:r>
    </w:p>
    <w:p w14:paraId="2886682D">
      <w:pPr>
        <w:spacing w:line="241" w:lineRule="auto"/>
        <w:rPr>
          <w:rFonts w:ascii="宋体" w:hAnsi="宋体" w:eastAsia="宋体" w:cs="宋体"/>
          <w:color w:val="auto"/>
          <w:sz w:val="24"/>
          <w:szCs w:val="24"/>
        </w:rPr>
        <w:sectPr>
          <w:footerReference r:id="rId8" w:type="default"/>
          <w:pgSz w:w="11906" w:h="16840"/>
          <w:pgMar w:top="1231" w:right="1422" w:bottom="1231" w:left="1417" w:header="0" w:footer="1176" w:gutter="0"/>
          <w:pgNumType w:fmt="decimal"/>
          <w:cols w:space="720" w:num="1"/>
        </w:sectPr>
      </w:pPr>
    </w:p>
    <w:p w14:paraId="5D2645EE">
      <w:pPr>
        <w:pStyle w:val="4"/>
        <w:spacing w:line="257" w:lineRule="auto"/>
        <w:rPr>
          <w:color w:val="auto"/>
        </w:rPr>
      </w:pPr>
    </w:p>
    <w:p w14:paraId="4CFD927A">
      <w:pPr>
        <w:spacing w:before="78" w:line="220" w:lineRule="auto"/>
        <w:ind w:left="3" w:leftChars="0"/>
        <w:outlineLvl w:val="0"/>
        <w:rPr>
          <w:rFonts w:ascii="宋体" w:hAnsi="宋体" w:eastAsia="宋体" w:cs="宋体"/>
          <w:b/>
          <w:bCs/>
          <w:color w:val="auto"/>
          <w:sz w:val="24"/>
          <w:szCs w:val="24"/>
        </w:rPr>
      </w:pPr>
      <w:bookmarkStart w:id="3" w:name="_Toc30166"/>
      <w:r>
        <w:rPr>
          <w:rFonts w:ascii="宋体" w:hAnsi="宋体" w:eastAsia="宋体" w:cs="宋体"/>
          <w:b/>
          <w:bCs/>
          <w:color w:val="auto"/>
          <w:spacing w:val="-4"/>
          <w:sz w:val="24"/>
          <w:szCs w:val="24"/>
        </w:rPr>
        <w:t>六、商务条件</w:t>
      </w:r>
      <w:bookmarkEnd w:id="3"/>
    </w:p>
    <w:p w14:paraId="1071A374">
      <w:pPr>
        <w:spacing w:before="1" w:line="372" w:lineRule="auto"/>
        <w:ind w:left="15" w:right="204" w:firstLine="467"/>
        <w:rPr>
          <w:rFonts w:ascii="宋体" w:hAnsi="宋体" w:eastAsia="宋体" w:cs="宋体"/>
          <w:color w:val="auto"/>
          <w:spacing w:val="2"/>
          <w:sz w:val="24"/>
          <w:szCs w:val="24"/>
        </w:rPr>
      </w:pPr>
      <w:r>
        <w:rPr>
          <w:rFonts w:ascii="宋体" w:hAnsi="宋体" w:eastAsia="宋体" w:cs="宋体"/>
          <w:color w:val="auto"/>
          <w:spacing w:val="2"/>
          <w:sz w:val="24"/>
          <w:szCs w:val="24"/>
        </w:rPr>
        <w:t>（1）履约期限：签订合同之日起</w:t>
      </w:r>
      <w:r>
        <w:rPr>
          <w:rFonts w:hint="eastAsia" w:ascii="宋体" w:hAnsi="宋体" w:eastAsia="宋体" w:cs="宋体"/>
          <w:b/>
          <w:bCs/>
          <w:color w:val="auto"/>
          <w:spacing w:val="2"/>
          <w:sz w:val="24"/>
          <w:szCs w:val="24"/>
          <w:lang w:val="en-US" w:eastAsia="zh-CN"/>
        </w:rPr>
        <w:t>60</w:t>
      </w:r>
      <w:r>
        <w:rPr>
          <w:rFonts w:ascii="宋体" w:hAnsi="宋体" w:eastAsia="宋体" w:cs="宋体"/>
          <w:b/>
          <w:bCs/>
          <w:color w:val="auto"/>
          <w:spacing w:val="2"/>
          <w:sz w:val="24"/>
          <w:szCs w:val="24"/>
        </w:rPr>
        <w:t>日历</w:t>
      </w:r>
      <w:r>
        <w:rPr>
          <w:rFonts w:ascii="宋体" w:hAnsi="宋体" w:eastAsia="宋体" w:cs="宋体"/>
          <w:color w:val="auto"/>
          <w:spacing w:val="2"/>
          <w:sz w:val="24"/>
          <w:szCs w:val="24"/>
        </w:rPr>
        <w:t>天内完成全部货物安装调试并交付给采购人确保能正常使用。</w:t>
      </w:r>
    </w:p>
    <w:p w14:paraId="5401FE90">
      <w:pPr>
        <w:spacing w:before="1" w:line="372" w:lineRule="auto"/>
        <w:ind w:left="15" w:right="204" w:firstLine="467"/>
        <w:rPr>
          <w:rFonts w:ascii="宋体" w:hAnsi="宋体" w:eastAsia="宋体" w:cs="宋体"/>
          <w:color w:val="auto"/>
          <w:spacing w:val="2"/>
          <w:sz w:val="24"/>
          <w:szCs w:val="24"/>
        </w:rPr>
      </w:pPr>
      <w:r>
        <w:rPr>
          <w:rFonts w:ascii="宋体" w:hAnsi="宋体" w:eastAsia="宋体" w:cs="宋体"/>
          <w:color w:val="auto"/>
          <w:spacing w:val="2"/>
          <w:sz w:val="24"/>
          <w:szCs w:val="24"/>
        </w:rPr>
        <w:t>中标人应保证在要求时间内完成全部货物的供货、施工、安装、调试和培训工作，验收合格。符合国家标准、行业规范和合同等相关文件的要求。</w:t>
      </w:r>
    </w:p>
    <w:p w14:paraId="6249C330">
      <w:pPr>
        <w:spacing w:before="1" w:line="372" w:lineRule="auto"/>
        <w:ind w:left="15" w:right="204" w:firstLine="467"/>
        <w:rPr>
          <w:rFonts w:ascii="宋体" w:hAnsi="宋体" w:eastAsia="宋体" w:cs="宋体"/>
          <w:color w:val="auto"/>
          <w:spacing w:val="2"/>
          <w:sz w:val="24"/>
          <w:szCs w:val="24"/>
        </w:rPr>
      </w:pPr>
      <w:r>
        <w:rPr>
          <w:rFonts w:ascii="宋体" w:hAnsi="宋体" w:eastAsia="宋体" w:cs="宋体"/>
          <w:color w:val="auto"/>
          <w:spacing w:val="2"/>
          <w:sz w:val="24"/>
          <w:szCs w:val="24"/>
        </w:rPr>
        <w:t>（2）履行地点：采购人指定地点。</w:t>
      </w:r>
    </w:p>
    <w:p w14:paraId="7FF814FD">
      <w:pPr>
        <w:spacing w:before="1" w:line="372" w:lineRule="auto"/>
        <w:ind w:left="15" w:right="204" w:firstLine="467"/>
        <w:rPr>
          <w:rFonts w:hint="default" w:ascii="宋体" w:hAnsi="宋体" w:eastAsia="宋体" w:cs="宋体"/>
          <w:b/>
          <w:bCs/>
          <w:color w:val="auto"/>
          <w:spacing w:val="2"/>
          <w:sz w:val="24"/>
          <w:szCs w:val="24"/>
          <w:lang w:val="en-US" w:eastAsia="zh-CN"/>
        </w:rPr>
      </w:pPr>
      <w:r>
        <w:rPr>
          <w:rFonts w:ascii="宋体" w:hAnsi="宋体" w:eastAsia="宋体" w:cs="宋体"/>
          <w:b/>
          <w:bCs/>
          <w:color w:val="auto"/>
          <w:spacing w:val="2"/>
          <w:sz w:val="24"/>
          <w:szCs w:val="24"/>
        </w:rPr>
        <w:t>（3）付款方式：</w:t>
      </w:r>
    </w:p>
    <w:p w14:paraId="2EA69328">
      <w:pPr>
        <w:spacing w:before="204" w:line="385" w:lineRule="auto"/>
        <w:ind w:left="1" w:right="21" w:firstLine="485"/>
        <w:jc w:val="both"/>
        <w:rPr>
          <w:rFonts w:hint="eastAsia" w:ascii="宋体" w:hAnsi="宋体" w:eastAsia="宋体" w:cs="宋体"/>
          <w:color w:val="auto"/>
          <w:spacing w:val="2"/>
          <w:sz w:val="24"/>
          <w:szCs w:val="24"/>
          <w:lang w:val="en-US" w:eastAsia="zh-CN"/>
        </w:rPr>
      </w:pPr>
      <w:r>
        <w:rPr>
          <w:rFonts w:hint="eastAsia" w:ascii="宋体" w:hAnsi="宋体" w:eastAsia="宋体" w:cs="宋体"/>
          <w:color w:val="auto"/>
          <w:spacing w:val="2"/>
          <w:sz w:val="24"/>
          <w:szCs w:val="24"/>
          <w:lang w:val="en-US" w:eastAsia="zh-CN"/>
        </w:rPr>
        <w:t>1.货物硬件设备全部到场并经甲方初步验收无误后30个工作日内，甲方支付乙方合同总金额50%；安装完成、调试验收合格后30个工作日内，甲方支付乙方合同总金额的95%；剩余5%合同金额，在3年维护保养及系统升级、正常稳定运行服务期满一年甲方支付乙方合同总金额的97%;满二年甲方支付乙方合同总金额的98%;满三年甲方支付乙方合同总金额的100% 。</w:t>
      </w:r>
    </w:p>
    <w:p w14:paraId="403047A8">
      <w:pPr>
        <w:spacing w:before="1" w:line="372" w:lineRule="auto"/>
        <w:ind w:left="15" w:right="204" w:firstLine="467"/>
        <w:rPr>
          <w:rFonts w:ascii="宋体" w:hAnsi="宋体" w:eastAsia="宋体" w:cs="宋体"/>
          <w:color w:val="auto"/>
          <w:sz w:val="24"/>
          <w:szCs w:val="24"/>
        </w:rPr>
      </w:pPr>
      <w:r>
        <w:rPr>
          <w:rFonts w:ascii="宋体" w:hAnsi="宋体" w:eastAsia="宋体" w:cs="宋体"/>
          <w:color w:val="auto"/>
          <w:spacing w:val="2"/>
          <w:sz w:val="24"/>
          <w:szCs w:val="24"/>
        </w:rPr>
        <w:t>本次采购预算金额包含货物、运输、安装调试、相关部门验收、培训、各项税</w:t>
      </w:r>
      <w:r>
        <w:rPr>
          <w:rFonts w:ascii="宋体" w:hAnsi="宋体" w:eastAsia="宋体" w:cs="宋体"/>
          <w:color w:val="auto"/>
          <w:spacing w:val="-3"/>
          <w:sz w:val="24"/>
          <w:szCs w:val="24"/>
        </w:rPr>
        <w:t>费及</w:t>
      </w:r>
      <w:r>
        <w:rPr>
          <w:rFonts w:hint="eastAsia" w:ascii="宋体" w:hAnsi="宋体" w:eastAsia="宋体" w:cs="宋体"/>
          <w:b/>
          <w:bCs/>
          <w:color w:val="auto"/>
          <w:spacing w:val="-3"/>
          <w:sz w:val="24"/>
          <w:szCs w:val="24"/>
          <w:lang w:val="en-US" w:eastAsia="zh-CN"/>
        </w:rPr>
        <w:t>3</w:t>
      </w:r>
      <w:r>
        <w:rPr>
          <w:rFonts w:ascii="宋体" w:hAnsi="宋体" w:eastAsia="宋体" w:cs="宋体"/>
          <w:b/>
          <w:bCs/>
          <w:color w:val="auto"/>
          <w:spacing w:val="-3"/>
          <w:sz w:val="24"/>
          <w:szCs w:val="24"/>
        </w:rPr>
        <w:t>年维护</w:t>
      </w:r>
      <w:r>
        <w:rPr>
          <w:rFonts w:ascii="宋体" w:hAnsi="宋体" w:eastAsia="宋体" w:cs="宋体"/>
          <w:color w:val="auto"/>
          <w:spacing w:val="-3"/>
          <w:sz w:val="24"/>
          <w:szCs w:val="24"/>
        </w:rPr>
        <w:t>保养及系统升级、正常稳定运行服务费用。</w:t>
      </w:r>
    </w:p>
    <w:p w14:paraId="4914DEC4">
      <w:pPr>
        <w:spacing w:before="4" w:line="353" w:lineRule="auto"/>
        <w:ind w:right="204" w:firstLine="481"/>
        <w:rPr>
          <w:rFonts w:ascii="宋体" w:hAnsi="宋体" w:eastAsia="宋体" w:cs="宋体"/>
          <w:color w:val="auto"/>
          <w:sz w:val="24"/>
          <w:szCs w:val="24"/>
        </w:rPr>
      </w:pPr>
      <w:r>
        <w:rPr>
          <w:rFonts w:ascii="宋体" w:hAnsi="宋体" w:eastAsia="宋体" w:cs="宋体"/>
          <w:color w:val="auto"/>
          <w:spacing w:val="1"/>
          <w:sz w:val="24"/>
          <w:szCs w:val="24"/>
        </w:rPr>
        <w:t>本次采购招标所列设备清单为项目的主要设备，不足部分由中标人自行补齐。</w:t>
      </w:r>
      <w:r>
        <w:rPr>
          <w:rFonts w:ascii="宋体" w:hAnsi="宋体" w:eastAsia="宋体" w:cs="宋体"/>
          <w:color w:val="auto"/>
          <w:spacing w:val="2"/>
          <w:sz w:val="24"/>
          <w:szCs w:val="24"/>
        </w:rPr>
        <w:t>采购人如有未描述的细节，导致影响采购人使用的，中标人应予以解决。中标人补</w:t>
      </w:r>
      <w:r>
        <w:rPr>
          <w:rFonts w:ascii="宋体" w:hAnsi="宋体" w:eastAsia="宋体" w:cs="宋体"/>
          <w:color w:val="auto"/>
          <w:spacing w:val="-3"/>
          <w:sz w:val="24"/>
          <w:szCs w:val="24"/>
        </w:rPr>
        <w:t>齐设备的所有费用包含在中标金额中。</w:t>
      </w:r>
    </w:p>
    <w:p w14:paraId="08489328">
      <w:pPr>
        <w:spacing w:before="2" w:line="353" w:lineRule="auto"/>
        <w:ind w:left="3" w:right="204" w:firstLine="477"/>
        <w:rPr>
          <w:rFonts w:ascii="宋体" w:hAnsi="宋体" w:eastAsia="宋体" w:cs="宋体"/>
          <w:color w:val="auto"/>
          <w:sz w:val="24"/>
          <w:szCs w:val="24"/>
        </w:rPr>
      </w:pPr>
      <w:r>
        <w:rPr>
          <w:rFonts w:ascii="宋体" w:hAnsi="宋体" w:eastAsia="宋体" w:cs="宋体"/>
          <w:color w:val="auto"/>
          <w:spacing w:val="2"/>
          <w:sz w:val="24"/>
          <w:szCs w:val="24"/>
        </w:rPr>
        <w:t>对于满足合同约定支付条件的，甲方应当自收到与支付金额相等的有效正式发</w:t>
      </w:r>
      <w:r>
        <w:rPr>
          <w:rFonts w:ascii="宋体" w:hAnsi="宋体" w:eastAsia="宋体" w:cs="宋体"/>
          <w:color w:val="auto"/>
          <w:spacing w:val="-3"/>
          <w:sz w:val="24"/>
          <w:szCs w:val="24"/>
        </w:rPr>
        <w:t>票后7个工作日内办理支付手续。</w:t>
      </w:r>
    </w:p>
    <w:p w14:paraId="6AC1DA97">
      <w:pPr>
        <w:spacing w:before="3" w:line="353" w:lineRule="auto"/>
        <w:ind w:left="2" w:firstLine="485"/>
        <w:jc w:val="both"/>
        <w:rPr>
          <w:rFonts w:ascii="宋体" w:hAnsi="宋体" w:eastAsia="宋体" w:cs="宋体"/>
          <w:color w:val="auto"/>
          <w:sz w:val="24"/>
          <w:szCs w:val="24"/>
        </w:rPr>
      </w:pPr>
      <w:r>
        <w:rPr>
          <w:rFonts w:ascii="宋体" w:hAnsi="宋体" w:eastAsia="宋体" w:cs="宋体"/>
          <w:color w:val="auto"/>
          <w:spacing w:val="5"/>
          <w:sz w:val="24"/>
          <w:szCs w:val="24"/>
        </w:rPr>
        <w:t>（4）包装运输及交货：中标人提供的全部</w:t>
      </w:r>
      <w:r>
        <w:rPr>
          <w:rFonts w:ascii="宋体" w:hAnsi="宋体" w:eastAsia="宋体" w:cs="宋体"/>
          <w:color w:val="auto"/>
          <w:spacing w:val="4"/>
          <w:sz w:val="24"/>
          <w:szCs w:val="24"/>
        </w:rPr>
        <w:t>货物均应按标准保护措施进行包装，</w:t>
      </w:r>
      <w:r>
        <w:rPr>
          <w:rFonts w:ascii="宋体" w:hAnsi="宋体" w:eastAsia="宋体" w:cs="宋体"/>
          <w:color w:val="auto"/>
          <w:spacing w:val="2"/>
          <w:sz w:val="24"/>
          <w:szCs w:val="24"/>
        </w:rPr>
        <w:t>这类包装应适应于远距离运输、防潮、防震、防锈和防野蛮装卸，以确保货物安全</w:t>
      </w:r>
      <w:r>
        <w:rPr>
          <w:rFonts w:ascii="宋体" w:hAnsi="宋体" w:eastAsia="宋体" w:cs="宋体"/>
          <w:color w:val="auto"/>
          <w:spacing w:val="1"/>
          <w:sz w:val="24"/>
          <w:szCs w:val="24"/>
        </w:rPr>
        <w:t>无损运抵指定现场。由于包装不善所引起的货物锈蚀、损坏和损失均由中标人负责。</w:t>
      </w:r>
    </w:p>
    <w:p w14:paraId="1B32B968">
      <w:pPr>
        <w:spacing w:before="3" w:line="353" w:lineRule="auto"/>
        <w:ind w:left="1" w:right="204" w:firstLine="502"/>
        <w:jc w:val="both"/>
        <w:rPr>
          <w:rFonts w:ascii="宋体" w:hAnsi="宋体" w:eastAsia="宋体" w:cs="宋体"/>
          <w:color w:val="auto"/>
          <w:sz w:val="24"/>
          <w:szCs w:val="24"/>
        </w:rPr>
      </w:pPr>
      <w:r>
        <w:rPr>
          <w:rFonts w:ascii="宋体" w:hAnsi="宋体" w:eastAsia="宋体" w:cs="宋体"/>
          <w:color w:val="auto"/>
          <w:spacing w:val="2"/>
          <w:sz w:val="24"/>
          <w:szCs w:val="24"/>
        </w:rPr>
        <w:t>中标人提供的中标产品必须最新生产的设备，产品生产</w:t>
      </w:r>
      <w:r>
        <w:rPr>
          <w:rFonts w:ascii="宋体" w:hAnsi="宋体" w:eastAsia="宋体" w:cs="宋体"/>
          <w:color w:val="auto"/>
          <w:spacing w:val="1"/>
          <w:sz w:val="24"/>
          <w:szCs w:val="24"/>
        </w:rPr>
        <w:t>日期必须距采购人收货</w:t>
      </w:r>
      <w:r>
        <w:rPr>
          <w:rFonts w:ascii="宋体" w:hAnsi="宋体" w:eastAsia="宋体" w:cs="宋体"/>
          <w:color w:val="auto"/>
          <w:spacing w:val="-1"/>
          <w:sz w:val="24"/>
          <w:szCs w:val="24"/>
        </w:rPr>
        <w:t>日期6个月内。提供的全部货物所有附件必须都配备齐全，所供货物外包箱注明</w:t>
      </w:r>
      <w:r>
        <w:rPr>
          <w:rFonts w:ascii="宋体" w:hAnsi="宋体" w:eastAsia="宋体" w:cs="宋体"/>
          <w:color w:val="auto"/>
          <w:spacing w:val="-2"/>
          <w:sz w:val="24"/>
          <w:szCs w:val="24"/>
        </w:rPr>
        <w:t>用户</w:t>
      </w:r>
      <w:r>
        <w:rPr>
          <w:rFonts w:ascii="宋体" w:hAnsi="宋体" w:eastAsia="宋体" w:cs="宋体"/>
          <w:color w:val="auto"/>
          <w:spacing w:val="-3"/>
          <w:sz w:val="24"/>
          <w:szCs w:val="24"/>
        </w:rPr>
        <w:t>信息，原厂货物完整，不得折封。</w:t>
      </w:r>
    </w:p>
    <w:p w14:paraId="0AC2F3AE">
      <w:pPr>
        <w:spacing w:before="3" w:line="353" w:lineRule="auto"/>
        <w:ind w:left="6" w:right="204" w:firstLine="480"/>
        <w:rPr>
          <w:rFonts w:ascii="宋体" w:hAnsi="宋体" w:eastAsia="宋体" w:cs="宋体"/>
          <w:color w:val="auto"/>
          <w:sz w:val="24"/>
          <w:szCs w:val="24"/>
        </w:rPr>
      </w:pPr>
      <w:r>
        <w:rPr>
          <w:rFonts w:ascii="宋体" w:hAnsi="宋体" w:eastAsia="宋体" w:cs="宋体"/>
          <w:color w:val="auto"/>
          <w:spacing w:val="2"/>
          <w:sz w:val="24"/>
          <w:szCs w:val="24"/>
        </w:rPr>
        <w:t>货物的拆箱、安装等工作由中标人负责，但必须在采购人或用户指定人员的参</w:t>
      </w:r>
      <w:r>
        <w:rPr>
          <w:rFonts w:ascii="宋体" w:hAnsi="宋体" w:eastAsia="宋体" w:cs="宋体"/>
          <w:color w:val="auto"/>
          <w:spacing w:val="-2"/>
          <w:sz w:val="24"/>
          <w:szCs w:val="24"/>
        </w:rPr>
        <w:t>与下进行。中标人施工前必须先经采购人或用户同意方可进行。</w:t>
      </w:r>
    </w:p>
    <w:p w14:paraId="1DB3AEEB">
      <w:pPr>
        <w:spacing w:before="4" w:line="331" w:lineRule="auto"/>
        <w:ind w:left="2" w:right="204" w:firstLine="479"/>
        <w:jc w:val="both"/>
        <w:rPr>
          <w:color w:val="auto"/>
        </w:rPr>
      </w:pPr>
      <w:r>
        <w:rPr>
          <w:rFonts w:ascii="宋体" w:hAnsi="宋体" w:eastAsia="宋体" w:cs="宋体"/>
          <w:color w:val="auto"/>
          <w:spacing w:val="2"/>
          <w:sz w:val="24"/>
          <w:szCs w:val="24"/>
        </w:rPr>
        <w:t>所有货物、材料均须由中标人送货到现场并负责安装，必须出示产品合格证和原厂随货清单。中标人应派熟练的工程师现场进行安装，若发生任一项指标不符合</w:t>
      </w:r>
      <w:r>
        <w:rPr>
          <w:rFonts w:ascii="宋体" w:hAnsi="宋体" w:eastAsia="宋体" w:cs="宋体"/>
          <w:color w:val="auto"/>
          <w:spacing w:val="6"/>
          <w:sz w:val="24"/>
          <w:szCs w:val="24"/>
        </w:rPr>
        <w:t>招标文件要求的，中标人应在3天内免费更换</w:t>
      </w:r>
      <w:r>
        <w:rPr>
          <w:rFonts w:ascii="宋体" w:hAnsi="宋体" w:eastAsia="宋体" w:cs="宋体"/>
          <w:color w:val="auto"/>
          <w:spacing w:val="5"/>
          <w:sz w:val="24"/>
          <w:szCs w:val="24"/>
        </w:rPr>
        <w:t>其不合格产品，使之达到招标文件要</w:t>
      </w:r>
      <w:r>
        <w:rPr>
          <w:rFonts w:ascii="宋体" w:hAnsi="宋体" w:eastAsia="宋体" w:cs="宋体"/>
          <w:color w:val="auto"/>
          <w:spacing w:val="-4"/>
          <w:sz w:val="24"/>
          <w:szCs w:val="24"/>
        </w:rPr>
        <w:t>求，所有费用由中标人承担。</w:t>
      </w:r>
    </w:p>
    <w:p w14:paraId="09AC619B">
      <w:pPr>
        <w:spacing w:before="78" w:line="354" w:lineRule="auto"/>
        <w:ind w:left="3" w:right="205" w:firstLine="483"/>
        <w:jc w:val="both"/>
        <w:rPr>
          <w:rFonts w:ascii="宋体" w:hAnsi="宋体" w:eastAsia="宋体" w:cs="宋体"/>
          <w:color w:val="auto"/>
          <w:sz w:val="24"/>
          <w:szCs w:val="24"/>
        </w:rPr>
      </w:pPr>
      <w:r>
        <w:rPr>
          <w:rFonts w:ascii="宋体" w:hAnsi="宋体" w:eastAsia="宋体" w:cs="宋体"/>
          <w:color w:val="auto"/>
          <w:spacing w:val="2"/>
          <w:sz w:val="24"/>
          <w:szCs w:val="24"/>
        </w:rPr>
        <w:t>（5）验收：项目完成后由中标人提出申请验收，采购人在收到验收申请后7个工作日内组织验收，中标人配合进行。验收小组根据招标文件、投标文件、合同等</w:t>
      </w:r>
      <w:r>
        <w:rPr>
          <w:rFonts w:ascii="宋体" w:hAnsi="宋体" w:eastAsia="宋体" w:cs="宋体"/>
          <w:color w:val="auto"/>
          <w:spacing w:val="-3"/>
          <w:sz w:val="24"/>
          <w:szCs w:val="24"/>
        </w:rPr>
        <w:t>项目文件约定内容对项目进行综合运行验收。</w:t>
      </w:r>
    </w:p>
    <w:p w14:paraId="3D28F69D">
      <w:pPr>
        <w:spacing w:before="2" w:line="353" w:lineRule="auto"/>
        <w:ind w:left="14" w:right="205" w:firstLine="465"/>
        <w:rPr>
          <w:rFonts w:ascii="宋体" w:hAnsi="宋体" w:eastAsia="宋体" w:cs="宋体"/>
          <w:color w:val="auto"/>
          <w:sz w:val="24"/>
          <w:szCs w:val="24"/>
        </w:rPr>
      </w:pPr>
      <w:r>
        <w:rPr>
          <w:rFonts w:ascii="宋体" w:hAnsi="宋体" w:eastAsia="宋体" w:cs="宋体"/>
          <w:color w:val="auto"/>
          <w:spacing w:val="2"/>
          <w:sz w:val="24"/>
          <w:szCs w:val="24"/>
        </w:rPr>
        <w:t>验收费用：本次采购将由采购单位负责组织人员或聘请专业人员验收，如产生</w:t>
      </w:r>
      <w:r>
        <w:rPr>
          <w:rFonts w:ascii="宋体" w:hAnsi="宋体" w:eastAsia="宋体" w:cs="宋体"/>
          <w:color w:val="auto"/>
          <w:spacing w:val="-4"/>
          <w:sz w:val="24"/>
          <w:szCs w:val="24"/>
        </w:rPr>
        <w:t>费用，验收费用由中标人支付。</w:t>
      </w:r>
    </w:p>
    <w:p w14:paraId="569586E2">
      <w:pPr>
        <w:spacing w:before="3" w:line="353" w:lineRule="auto"/>
        <w:ind w:firstLine="479"/>
        <w:rPr>
          <w:rFonts w:ascii="宋体" w:hAnsi="宋体" w:eastAsia="宋体" w:cs="宋体"/>
          <w:color w:val="auto"/>
          <w:sz w:val="24"/>
          <w:szCs w:val="24"/>
        </w:rPr>
      </w:pPr>
      <w:r>
        <w:rPr>
          <w:rFonts w:ascii="宋体" w:hAnsi="宋体" w:eastAsia="宋体" w:cs="宋体"/>
          <w:color w:val="auto"/>
          <w:spacing w:val="1"/>
          <w:sz w:val="24"/>
          <w:szCs w:val="24"/>
        </w:rPr>
        <w:t>验收按国家有关的规定、规范进行。验收时如发现所交付的货物有短装、次品、</w:t>
      </w:r>
      <w:r>
        <w:rPr>
          <w:rFonts w:ascii="宋体" w:hAnsi="宋体" w:eastAsia="宋体" w:cs="宋体"/>
          <w:color w:val="auto"/>
          <w:spacing w:val="2"/>
          <w:sz w:val="24"/>
          <w:szCs w:val="24"/>
        </w:rPr>
        <w:t>损坏或其它不符合本合同规定之情形者，采购人应做出详尽的现场记录，或由双方签署备忘录。此现场记录或备忘录可用作补充、缺失和更换损坏部件的有效证据。</w:t>
      </w:r>
    </w:p>
    <w:p w14:paraId="302EDD33">
      <w:pPr>
        <w:spacing w:line="219" w:lineRule="auto"/>
        <w:ind w:left="30"/>
        <w:rPr>
          <w:rFonts w:ascii="宋体" w:hAnsi="宋体" w:eastAsia="宋体" w:cs="宋体"/>
          <w:color w:val="auto"/>
          <w:sz w:val="24"/>
          <w:szCs w:val="24"/>
        </w:rPr>
      </w:pPr>
      <w:r>
        <w:rPr>
          <w:rFonts w:ascii="宋体" w:hAnsi="宋体" w:eastAsia="宋体" w:cs="宋体"/>
          <w:color w:val="auto"/>
          <w:spacing w:val="-5"/>
          <w:sz w:val="24"/>
          <w:szCs w:val="24"/>
        </w:rPr>
        <w:t>由此产生的有关费用由中标人承担。</w:t>
      </w:r>
    </w:p>
    <w:p w14:paraId="6AE00413">
      <w:pPr>
        <w:spacing w:before="174" w:line="354" w:lineRule="auto"/>
        <w:ind w:right="18" w:firstLine="484"/>
        <w:rPr>
          <w:rFonts w:ascii="宋体" w:hAnsi="宋体" w:eastAsia="宋体" w:cs="宋体"/>
          <w:color w:val="auto"/>
          <w:sz w:val="24"/>
          <w:szCs w:val="24"/>
        </w:rPr>
      </w:pPr>
      <w:r>
        <w:rPr>
          <w:rFonts w:ascii="宋体" w:hAnsi="宋体" w:eastAsia="宋体" w:cs="宋体"/>
          <w:color w:val="auto"/>
          <w:spacing w:val="1"/>
          <w:sz w:val="24"/>
          <w:szCs w:val="24"/>
        </w:rPr>
        <w:t>如验收达不到规定要求，采购人有权要求更换货物或拒</w:t>
      </w:r>
      <w:r>
        <w:rPr>
          <w:rFonts w:ascii="宋体" w:hAnsi="宋体" w:eastAsia="宋体" w:cs="宋体"/>
          <w:color w:val="auto"/>
          <w:sz w:val="24"/>
          <w:szCs w:val="24"/>
        </w:rPr>
        <w:t>绝付款，中标人若违约，</w:t>
      </w:r>
      <w:r>
        <w:rPr>
          <w:rFonts w:ascii="宋体" w:hAnsi="宋体" w:eastAsia="宋体" w:cs="宋体"/>
          <w:color w:val="auto"/>
          <w:spacing w:val="-3"/>
          <w:sz w:val="24"/>
          <w:szCs w:val="24"/>
        </w:rPr>
        <w:t>采购人将依法追究相应法律责任。</w:t>
      </w:r>
    </w:p>
    <w:p w14:paraId="4D72DE87">
      <w:pPr>
        <w:spacing w:before="2" w:line="353" w:lineRule="auto"/>
        <w:ind w:left="2" w:right="205" w:firstLine="500"/>
        <w:rPr>
          <w:rFonts w:ascii="宋体" w:hAnsi="宋体" w:eastAsia="宋体" w:cs="宋体"/>
          <w:color w:val="auto"/>
          <w:sz w:val="24"/>
          <w:szCs w:val="24"/>
        </w:rPr>
      </w:pPr>
      <w:r>
        <w:rPr>
          <w:rFonts w:ascii="宋体" w:hAnsi="宋体" w:eastAsia="宋体" w:cs="宋体"/>
          <w:color w:val="auto"/>
          <w:spacing w:val="2"/>
          <w:sz w:val="24"/>
          <w:szCs w:val="24"/>
        </w:rPr>
        <w:t>中标人应负责在项目验收时将全部有关技术文件、资料</w:t>
      </w:r>
      <w:r>
        <w:rPr>
          <w:rFonts w:ascii="宋体" w:hAnsi="宋体" w:eastAsia="宋体" w:cs="宋体"/>
          <w:color w:val="auto"/>
          <w:spacing w:val="1"/>
          <w:sz w:val="24"/>
          <w:szCs w:val="24"/>
        </w:rPr>
        <w:t>、验收报告等文档汇集</w:t>
      </w:r>
      <w:r>
        <w:rPr>
          <w:rFonts w:ascii="宋体" w:hAnsi="宋体" w:eastAsia="宋体" w:cs="宋体"/>
          <w:color w:val="auto"/>
          <w:spacing w:val="-4"/>
          <w:sz w:val="24"/>
          <w:szCs w:val="24"/>
        </w:rPr>
        <w:t>成册交付采购人或用户。</w:t>
      </w:r>
    </w:p>
    <w:p w14:paraId="4B0D470B">
      <w:pPr>
        <w:spacing w:before="3" w:line="353" w:lineRule="auto"/>
        <w:ind w:right="205" w:firstLine="487"/>
        <w:jc w:val="both"/>
        <w:rPr>
          <w:rFonts w:ascii="宋体" w:hAnsi="宋体" w:eastAsia="宋体" w:cs="宋体"/>
          <w:color w:val="auto"/>
          <w:sz w:val="24"/>
          <w:szCs w:val="24"/>
        </w:rPr>
      </w:pPr>
      <w:r>
        <w:rPr>
          <w:rFonts w:ascii="宋体" w:hAnsi="宋体" w:eastAsia="宋体" w:cs="宋体"/>
          <w:color w:val="auto"/>
          <w:spacing w:val="6"/>
          <w:sz w:val="24"/>
          <w:szCs w:val="24"/>
        </w:rPr>
        <w:t>（6）质量保证期：货物通过验收合格、签署验收合格证</w:t>
      </w:r>
      <w:r>
        <w:rPr>
          <w:rFonts w:ascii="宋体" w:hAnsi="宋体" w:eastAsia="宋体" w:cs="宋体"/>
          <w:color w:val="auto"/>
          <w:spacing w:val="5"/>
          <w:sz w:val="24"/>
          <w:szCs w:val="24"/>
        </w:rPr>
        <w:t>书并办理移交手续之</w:t>
      </w:r>
      <w:r>
        <w:rPr>
          <w:rFonts w:ascii="宋体" w:hAnsi="宋体" w:eastAsia="宋体" w:cs="宋体"/>
          <w:color w:val="auto"/>
          <w:spacing w:val="-1"/>
          <w:sz w:val="24"/>
          <w:szCs w:val="24"/>
        </w:rPr>
        <w:t>日起</w:t>
      </w:r>
      <w:r>
        <w:rPr>
          <w:rFonts w:ascii="宋体" w:hAnsi="宋体" w:eastAsia="宋体" w:cs="宋体"/>
          <w:b/>
          <w:bCs/>
          <w:color w:val="auto"/>
          <w:spacing w:val="-1"/>
          <w:sz w:val="24"/>
          <w:szCs w:val="24"/>
          <w:u w:val="single" w:color="auto"/>
        </w:rPr>
        <w:t xml:space="preserve"> </w:t>
      </w:r>
      <w:r>
        <w:rPr>
          <w:rFonts w:hint="eastAsia" w:ascii="宋体" w:hAnsi="宋体" w:eastAsia="宋体" w:cs="宋体"/>
          <w:b/>
          <w:bCs/>
          <w:color w:val="auto"/>
          <w:spacing w:val="-1"/>
          <w:sz w:val="24"/>
          <w:szCs w:val="24"/>
          <w:u w:val="single" w:color="auto"/>
          <w:lang w:val="en-US" w:eastAsia="zh-CN"/>
        </w:rPr>
        <w:t>3</w:t>
      </w:r>
      <w:r>
        <w:rPr>
          <w:rFonts w:ascii="宋体" w:hAnsi="宋体" w:eastAsia="宋体" w:cs="宋体"/>
          <w:b/>
          <w:bCs/>
          <w:color w:val="auto"/>
          <w:spacing w:val="-1"/>
          <w:sz w:val="24"/>
          <w:szCs w:val="24"/>
          <w:u w:val="single" w:color="auto"/>
        </w:rPr>
        <w:t xml:space="preserve"> </w:t>
      </w:r>
      <w:r>
        <w:rPr>
          <w:rFonts w:ascii="宋体" w:hAnsi="宋体" w:eastAsia="宋体" w:cs="宋体"/>
          <w:b/>
          <w:bCs/>
          <w:color w:val="auto"/>
          <w:spacing w:val="-1"/>
          <w:sz w:val="24"/>
          <w:szCs w:val="24"/>
        </w:rPr>
        <w:t>年的</w:t>
      </w:r>
      <w:r>
        <w:rPr>
          <w:rFonts w:ascii="宋体" w:hAnsi="宋体" w:eastAsia="宋体" w:cs="宋体"/>
          <w:color w:val="auto"/>
          <w:spacing w:val="-1"/>
          <w:sz w:val="24"/>
          <w:szCs w:val="24"/>
        </w:rPr>
        <w:t>免费质量保证期。（技术参数要求有规定的，以其规定为准，投标人有</w:t>
      </w:r>
      <w:r>
        <w:rPr>
          <w:rFonts w:ascii="宋体" w:hAnsi="宋体" w:eastAsia="宋体" w:cs="宋体"/>
          <w:color w:val="auto"/>
          <w:spacing w:val="-2"/>
          <w:sz w:val="24"/>
          <w:szCs w:val="24"/>
        </w:rPr>
        <w:t>优于招标文件承诺的以其承诺为准）。质保期内免费维修更换配件。</w:t>
      </w:r>
    </w:p>
    <w:p w14:paraId="63A5C099">
      <w:pPr>
        <w:spacing w:before="2" w:line="353" w:lineRule="auto"/>
        <w:ind w:right="205" w:firstLine="503"/>
        <w:rPr>
          <w:rFonts w:ascii="宋体" w:hAnsi="宋体" w:eastAsia="宋体" w:cs="宋体"/>
          <w:color w:val="auto"/>
          <w:sz w:val="24"/>
          <w:szCs w:val="24"/>
        </w:rPr>
      </w:pPr>
      <w:r>
        <w:rPr>
          <w:rFonts w:ascii="宋体" w:hAnsi="宋体" w:eastAsia="宋体" w:cs="宋体"/>
          <w:color w:val="auto"/>
          <w:spacing w:val="2"/>
          <w:sz w:val="24"/>
          <w:szCs w:val="24"/>
        </w:rPr>
        <w:t>中标人承诺的质保期内，所有货物保修服务方式均为上</w:t>
      </w:r>
      <w:r>
        <w:rPr>
          <w:rFonts w:ascii="宋体" w:hAnsi="宋体" w:eastAsia="宋体" w:cs="宋体"/>
          <w:color w:val="auto"/>
          <w:spacing w:val="1"/>
          <w:sz w:val="24"/>
          <w:szCs w:val="24"/>
        </w:rPr>
        <w:t>门保修，由此产生的一</w:t>
      </w:r>
      <w:r>
        <w:rPr>
          <w:rFonts w:ascii="宋体" w:hAnsi="宋体" w:eastAsia="宋体" w:cs="宋体"/>
          <w:color w:val="auto"/>
          <w:spacing w:val="-4"/>
          <w:sz w:val="24"/>
          <w:szCs w:val="24"/>
        </w:rPr>
        <w:t>切费用均由中标人承担。</w:t>
      </w:r>
    </w:p>
    <w:p w14:paraId="0FFCDAFC">
      <w:pPr>
        <w:spacing w:before="2" w:line="353" w:lineRule="auto"/>
        <w:ind w:left="3" w:right="18" w:firstLine="478"/>
        <w:rPr>
          <w:rFonts w:ascii="宋体" w:hAnsi="宋体" w:eastAsia="宋体" w:cs="宋体"/>
          <w:color w:val="auto"/>
          <w:sz w:val="24"/>
          <w:szCs w:val="24"/>
        </w:rPr>
      </w:pPr>
      <w:r>
        <w:rPr>
          <w:rFonts w:ascii="宋体" w:hAnsi="宋体" w:eastAsia="宋体" w:cs="宋体"/>
          <w:color w:val="auto"/>
          <w:spacing w:val="1"/>
          <w:sz w:val="24"/>
          <w:szCs w:val="24"/>
        </w:rPr>
        <w:t>质保期结束后，中标人如有对货物提供终身维修服务的须进行</w:t>
      </w:r>
      <w:r>
        <w:rPr>
          <w:rFonts w:ascii="宋体" w:hAnsi="宋体" w:eastAsia="宋体" w:cs="宋体"/>
          <w:color w:val="auto"/>
          <w:sz w:val="24"/>
          <w:szCs w:val="24"/>
        </w:rPr>
        <w:t>定期维护和修理，</w:t>
      </w:r>
      <w:r>
        <w:rPr>
          <w:rFonts w:ascii="宋体" w:hAnsi="宋体" w:eastAsia="宋体" w:cs="宋体"/>
          <w:color w:val="auto"/>
          <w:spacing w:val="-3"/>
          <w:sz w:val="24"/>
          <w:szCs w:val="24"/>
        </w:rPr>
        <w:t>更换零部件时只收取配件的成本费用。</w:t>
      </w:r>
    </w:p>
    <w:p w14:paraId="539B3B2F">
      <w:pPr>
        <w:spacing w:before="3" w:line="355" w:lineRule="auto"/>
        <w:ind w:right="205" w:firstLine="519"/>
        <w:rPr>
          <w:rFonts w:hint="eastAsia"/>
          <w:color w:val="auto"/>
        </w:rPr>
      </w:pPr>
      <w:r>
        <w:rPr>
          <w:rFonts w:ascii="宋体" w:hAnsi="宋体" w:eastAsia="宋体" w:cs="宋体"/>
          <w:color w:val="auto"/>
          <w:spacing w:val="1"/>
          <w:sz w:val="24"/>
          <w:szCs w:val="24"/>
        </w:rPr>
        <w:t>自验收合格之日起计算，成交供应商须提供</w:t>
      </w:r>
      <w:r>
        <w:rPr>
          <w:rFonts w:ascii="宋体" w:hAnsi="宋体" w:eastAsia="宋体" w:cs="宋体"/>
          <w:color w:val="auto"/>
          <w:spacing w:val="-25"/>
          <w:sz w:val="24"/>
          <w:szCs w:val="24"/>
        </w:rPr>
        <w:t xml:space="preserve"> </w:t>
      </w:r>
      <w:r>
        <w:rPr>
          <w:rFonts w:ascii="宋体" w:hAnsi="宋体" w:eastAsia="宋体" w:cs="宋体"/>
          <w:color w:val="auto"/>
          <w:spacing w:val="1"/>
          <w:sz w:val="24"/>
          <w:szCs w:val="24"/>
        </w:rPr>
        <w:t>7</w:t>
      </w:r>
      <w:r>
        <w:rPr>
          <w:rFonts w:ascii="宋体" w:hAnsi="宋体" w:eastAsia="宋体" w:cs="宋体"/>
          <w:color w:val="auto"/>
          <w:spacing w:val="-45"/>
          <w:sz w:val="24"/>
          <w:szCs w:val="24"/>
        </w:rPr>
        <w:t xml:space="preserve"> </w:t>
      </w:r>
      <w:r>
        <w:rPr>
          <w:rFonts w:ascii="宋体" w:hAnsi="宋体" w:eastAsia="宋体" w:cs="宋体"/>
          <w:color w:val="auto"/>
          <w:spacing w:val="1"/>
          <w:sz w:val="24"/>
          <w:szCs w:val="24"/>
        </w:rPr>
        <w:t>天x24</w:t>
      </w:r>
      <w:r>
        <w:rPr>
          <w:rFonts w:ascii="宋体" w:hAnsi="宋体" w:eastAsia="宋体" w:cs="宋体"/>
          <w:color w:val="auto"/>
          <w:spacing w:val="-44"/>
          <w:sz w:val="24"/>
          <w:szCs w:val="24"/>
        </w:rPr>
        <w:t xml:space="preserve"> </w:t>
      </w:r>
      <w:r>
        <w:rPr>
          <w:rFonts w:ascii="宋体" w:hAnsi="宋体" w:eastAsia="宋体" w:cs="宋体"/>
          <w:color w:val="auto"/>
          <w:spacing w:val="1"/>
          <w:sz w:val="24"/>
          <w:szCs w:val="24"/>
        </w:rPr>
        <w:t>小时的技术支持，在接到</w:t>
      </w:r>
      <w:r>
        <w:rPr>
          <w:rFonts w:ascii="宋体" w:hAnsi="宋体" w:eastAsia="宋体" w:cs="宋体"/>
          <w:color w:val="auto"/>
          <w:spacing w:val="-3"/>
          <w:sz w:val="24"/>
          <w:szCs w:val="24"/>
        </w:rPr>
        <w:t>通知后修复时间不多于</w:t>
      </w:r>
      <w:r>
        <w:rPr>
          <w:rFonts w:ascii="宋体" w:hAnsi="宋体" w:eastAsia="宋体" w:cs="宋体"/>
          <w:color w:val="auto"/>
          <w:spacing w:val="-47"/>
          <w:sz w:val="24"/>
          <w:szCs w:val="24"/>
        </w:rPr>
        <w:t xml:space="preserve"> </w:t>
      </w:r>
      <w:r>
        <w:rPr>
          <w:rFonts w:ascii="宋体" w:hAnsi="宋体" w:eastAsia="宋体" w:cs="宋体"/>
          <w:color w:val="auto"/>
          <w:spacing w:val="-3"/>
          <w:sz w:val="24"/>
          <w:szCs w:val="24"/>
        </w:rPr>
        <w:t>24</w:t>
      </w:r>
      <w:r>
        <w:rPr>
          <w:rFonts w:ascii="宋体" w:hAnsi="宋体" w:eastAsia="宋体" w:cs="宋体"/>
          <w:color w:val="auto"/>
          <w:spacing w:val="-45"/>
          <w:sz w:val="24"/>
          <w:szCs w:val="24"/>
        </w:rPr>
        <w:t xml:space="preserve"> </w:t>
      </w:r>
      <w:r>
        <w:rPr>
          <w:rFonts w:ascii="宋体" w:hAnsi="宋体" w:eastAsia="宋体" w:cs="宋体"/>
          <w:color w:val="auto"/>
          <w:spacing w:val="-3"/>
          <w:sz w:val="24"/>
          <w:szCs w:val="24"/>
        </w:rPr>
        <w:t>小时，特殊情况</w:t>
      </w:r>
      <w:r>
        <w:rPr>
          <w:rFonts w:ascii="宋体" w:hAnsi="宋体" w:eastAsia="宋体" w:cs="宋体"/>
          <w:color w:val="auto"/>
          <w:spacing w:val="-4"/>
          <w:sz w:val="24"/>
          <w:szCs w:val="24"/>
        </w:rPr>
        <w:t>除外</w:t>
      </w:r>
      <w:r>
        <w:rPr>
          <w:rFonts w:hint="eastAsia" w:ascii="宋体" w:hAnsi="宋体" w:eastAsia="宋体" w:cs="宋体"/>
          <w:color w:val="auto"/>
          <w:spacing w:val="-4"/>
          <w:sz w:val="24"/>
          <w:szCs w:val="24"/>
          <w:lang w:eastAsia="zh-CN"/>
        </w:rPr>
        <w:t>。</w:t>
      </w:r>
    </w:p>
    <w:sectPr>
      <w:footerReference r:id="rId9" w:type="default"/>
      <w:pgSz w:w="11906" w:h="16839"/>
      <w:pgMar w:top="1431" w:right="1472" w:bottom="400" w:left="1785" w:header="0" w:footer="992" w:gutter="0"/>
      <w:pgNumType w:fmt="decimal"/>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 w:name="微软雅黑">
    <w:panose1 w:val="020B0503020204020204"/>
    <w:charset w:val="86"/>
    <w:family w:val="auto"/>
    <w:pitch w:val="default"/>
    <w:sig w:usb0="80000287" w:usb1="2ACF3C50" w:usb2="00000016" w:usb3="00000000" w:csb0="0004001F"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FB3D92">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556895" cy="186055"/>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556895" cy="18605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8A3CE4">
                          <w:pPr>
                            <w:pStyle w:val="5"/>
                            <w:rPr>
                              <w:sz w:val="21"/>
                              <w:szCs w:val="24"/>
                            </w:rPr>
                          </w:pPr>
                          <w:r>
                            <w:rPr>
                              <w:sz w:val="21"/>
                              <w:szCs w:val="24"/>
                            </w:rPr>
                            <w:fldChar w:fldCharType="begin"/>
                          </w:r>
                          <w:r>
                            <w:rPr>
                              <w:sz w:val="21"/>
                              <w:szCs w:val="24"/>
                            </w:rPr>
                            <w:instrText xml:space="preserve"> PAGE  \* MERGEFORMAT </w:instrText>
                          </w:r>
                          <w:r>
                            <w:rPr>
                              <w:sz w:val="21"/>
                              <w:szCs w:val="24"/>
                            </w:rPr>
                            <w:fldChar w:fldCharType="separate"/>
                          </w:r>
                          <w:r>
                            <w:rPr>
                              <w:sz w:val="21"/>
                              <w:szCs w:val="24"/>
                            </w:rPr>
                            <w:t>1</w:t>
                          </w:r>
                          <w:r>
                            <w:rPr>
                              <w:sz w:val="21"/>
                              <w:szCs w:val="24"/>
                            </w:rPr>
                            <w:fldChar w:fldCharType="end"/>
                          </w:r>
                          <w:r>
                            <w:rPr>
                              <w:sz w:val="21"/>
                              <w:szCs w:val="21"/>
                            </w:rPr>
                            <w:t xml:space="preserve"> / </w:t>
                          </w:r>
                          <w:r>
                            <w:rPr>
                              <w:sz w:val="21"/>
                              <w:szCs w:val="24"/>
                            </w:rPr>
                            <w:fldChar w:fldCharType="begin"/>
                          </w:r>
                          <w:r>
                            <w:rPr>
                              <w:sz w:val="21"/>
                              <w:szCs w:val="24"/>
                            </w:rPr>
                            <w:instrText xml:space="preserve"> NUMPAGES  \* MERGEFORMAT </w:instrText>
                          </w:r>
                          <w:r>
                            <w:rPr>
                              <w:sz w:val="21"/>
                              <w:szCs w:val="24"/>
                            </w:rPr>
                            <w:fldChar w:fldCharType="separate"/>
                          </w:r>
                          <w:r>
                            <w:rPr>
                              <w:sz w:val="21"/>
                              <w:szCs w:val="24"/>
                            </w:rPr>
                            <w:t>9</w:t>
                          </w:r>
                          <w:r>
                            <w:rPr>
                              <w:sz w:val="21"/>
                              <w:szCs w:val="24"/>
                            </w:rP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top:0pt;height:14.65pt;width:43.85pt;mso-position-horizontal:center;mso-position-horizontal-relative:margin;z-index:251660288;mso-width-relative:page;mso-height-relative:page;" filled="f" stroked="f" coordsize="21600,21600" o:gfxdata="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zpXtntMAAAADAQAADwAAAAAAAAABACAAAAAiAAAAZHJzL2Rvd25yZXYu&#10;eG1sUEsBAhQAFAAAAAgAh07iQJRIi5A5AgAAYwQAAA4AAAAAAAAAAQAgAAAAIgEAAGRycy9lMm9E&#10;b2MueG1sUEsFBgAAAAAGAAYAWQEAAM0FAAAAAA==&#10;">
              <v:fill on="f" focussize="0,0"/>
              <v:stroke on="f" weight="0.5pt"/>
              <v:imagedata o:title=""/>
              <o:lock v:ext="edit" aspectratio="f"/>
              <v:textbox inset="0mm,0mm,0mm,0mm">
                <w:txbxContent>
                  <w:p w14:paraId="318A3CE4">
                    <w:pPr>
                      <w:pStyle w:val="5"/>
                      <w:rPr>
                        <w:sz w:val="21"/>
                        <w:szCs w:val="24"/>
                      </w:rPr>
                    </w:pPr>
                    <w:r>
                      <w:rPr>
                        <w:sz w:val="21"/>
                        <w:szCs w:val="24"/>
                      </w:rPr>
                      <w:fldChar w:fldCharType="begin"/>
                    </w:r>
                    <w:r>
                      <w:rPr>
                        <w:sz w:val="21"/>
                        <w:szCs w:val="24"/>
                      </w:rPr>
                      <w:instrText xml:space="preserve"> PAGE  \* MERGEFORMAT </w:instrText>
                    </w:r>
                    <w:r>
                      <w:rPr>
                        <w:sz w:val="21"/>
                        <w:szCs w:val="24"/>
                      </w:rPr>
                      <w:fldChar w:fldCharType="separate"/>
                    </w:r>
                    <w:r>
                      <w:rPr>
                        <w:sz w:val="21"/>
                        <w:szCs w:val="24"/>
                      </w:rPr>
                      <w:t>1</w:t>
                    </w:r>
                    <w:r>
                      <w:rPr>
                        <w:sz w:val="21"/>
                        <w:szCs w:val="24"/>
                      </w:rPr>
                      <w:fldChar w:fldCharType="end"/>
                    </w:r>
                    <w:r>
                      <w:rPr>
                        <w:sz w:val="21"/>
                        <w:szCs w:val="21"/>
                      </w:rPr>
                      <w:t xml:space="preserve"> / </w:t>
                    </w:r>
                    <w:r>
                      <w:rPr>
                        <w:sz w:val="21"/>
                        <w:szCs w:val="24"/>
                      </w:rPr>
                      <w:fldChar w:fldCharType="begin"/>
                    </w:r>
                    <w:r>
                      <w:rPr>
                        <w:sz w:val="21"/>
                        <w:szCs w:val="24"/>
                      </w:rPr>
                      <w:instrText xml:space="preserve"> NUMPAGES  \* MERGEFORMAT </w:instrText>
                    </w:r>
                    <w:r>
                      <w:rPr>
                        <w:sz w:val="21"/>
                        <w:szCs w:val="24"/>
                      </w:rPr>
                      <w:fldChar w:fldCharType="separate"/>
                    </w:r>
                    <w:r>
                      <w:rPr>
                        <w:sz w:val="21"/>
                        <w:szCs w:val="24"/>
                      </w:rPr>
                      <w:t>9</w:t>
                    </w:r>
                    <w:r>
                      <w:rPr>
                        <w:sz w:val="21"/>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613258">
    <w:pPr>
      <w:pStyle w:val="4"/>
      <w:spacing w:line="182" w:lineRule="auto"/>
      <w:ind w:left="4586"/>
      <w:rPr>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3" name="文本框 1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408190">
                          <w:pPr>
                            <w:pStyle w:val="5"/>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qwyiw0AgAAZQ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qsMosNAIAAGUEAAAOAAAAAAAAAAEAIAAAAB8BAABkcnMvZTJvRG9jLnhtbFBL&#10;BQYAAAAABgAGAFkBAADFBQAAAAA=&#10;">
              <v:fill on="f" focussize="0,0"/>
              <v:stroke on="f" weight="0.5pt"/>
              <v:imagedata o:title=""/>
              <o:lock v:ext="edit" aspectratio="f"/>
              <v:textbox inset="0mm,0mm,0mm,0mm" style="mso-fit-shape-to-text:t;">
                <w:txbxContent>
                  <w:p w14:paraId="7E408190">
                    <w:pPr>
                      <w:pStyle w:val="5"/>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8B0467">
    <w:pPr>
      <w:pStyle w:val="4"/>
      <w:spacing w:line="235" w:lineRule="exact"/>
      <w:ind w:left="4265"/>
      <w:rPr>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44" name="文本框 1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1624C4C">
                          <w:pPr>
                            <w:pStyle w:val="5"/>
                          </w:pPr>
                          <w:r>
                            <w:fldChar w:fldCharType="begin"/>
                          </w:r>
                          <w:r>
                            <w:instrText xml:space="preserve"> PAGE  \* MERGEFORMAT </w:instrText>
                          </w:r>
                          <w:r>
                            <w:fldChar w:fldCharType="separate"/>
                          </w:r>
                          <w:r>
                            <w:t>74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mJ8U00AgAAZ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5ifFNNAIAAGUEAAAOAAAAAAAAAAEAIAAAAB8BAABkcnMvZTJvRG9jLnhtbFBL&#10;BQYAAAAABgAGAFkBAADFBQAAAAA=&#10;">
              <v:fill on="f" focussize="0,0"/>
              <v:stroke on="f" weight="0.5pt"/>
              <v:imagedata o:title=""/>
              <o:lock v:ext="edit" aspectratio="f"/>
              <v:textbox inset="0mm,0mm,0mm,0mm" style="mso-fit-shape-to-text:t;">
                <w:txbxContent>
                  <w:p w14:paraId="41624C4C">
                    <w:pPr>
                      <w:pStyle w:val="5"/>
                    </w:pPr>
                    <w:r>
                      <w:fldChar w:fldCharType="begin"/>
                    </w:r>
                    <w:r>
                      <w:instrText xml:space="preserve"> PAGE  \* MERGEFORMAT </w:instrText>
                    </w:r>
                    <w:r>
                      <w:fldChar w:fldCharType="separate"/>
                    </w:r>
                    <w:r>
                      <w:t>74</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06056A">
    <w:pPr>
      <w:pStyle w:val="5"/>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4B2DB4">
                          <w:pPr>
                            <w:pStyle w:val="5"/>
                          </w:pPr>
                          <w:r>
                            <w:fldChar w:fldCharType="begin"/>
                          </w:r>
                          <w:r>
                            <w:instrText xml:space="preserve"> PAGE  \* MERGEFORMAT </w:instrText>
                          </w:r>
                          <w:r>
                            <w:fldChar w:fldCharType="separate"/>
                          </w:r>
                          <w:r>
                            <w:t>75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84B2DB4">
                    <w:pPr>
                      <w:pStyle w:val="5"/>
                    </w:pPr>
                    <w:r>
                      <w:fldChar w:fldCharType="begin"/>
                    </w:r>
                    <w:r>
                      <w:instrText xml:space="preserve"> PAGE  \* MERGEFORMAT </w:instrText>
                    </w:r>
                    <w:r>
                      <w:fldChar w:fldCharType="separate"/>
                    </w:r>
                    <w:r>
                      <w:t>75</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31CC91">
    <w:pPr>
      <w:spacing w:line="14" w:lineRule="auto"/>
      <w:rPr>
        <w:rFonts w:ascii="Arial"/>
        <w:sz w:val="2"/>
      </w:rPr>
    </w:pPr>
    <w:r>
      <w:rPr>
        <w:sz w:val="2"/>
      </w:rPr>
      <mc:AlternateContent>
        <mc:Choice Requires="wps">
          <w:drawing>
            <wp:anchor distT="0" distB="0" distL="114300" distR="114300" simplePos="0" relativeHeight="251659264" behindDoc="0" locked="0" layoutInCell="1" allowOverlap="1">
              <wp:simplePos x="0" y="0"/>
              <wp:positionH relativeFrom="margin">
                <wp:posOffset>2590800</wp:posOffset>
              </wp:positionH>
              <wp:positionV relativeFrom="paragraph">
                <wp:posOffset>0</wp:posOffset>
              </wp:positionV>
              <wp:extent cx="662305" cy="20447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662305" cy="2044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62254B">
                          <w:pPr>
                            <w:pStyle w:val="5"/>
                            <w:rPr>
                              <w:sz w:val="21"/>
                              <w:szCs w:val="21"/>
                            </w:rPr>
                          </w:pPr>
                          <w:r>
                            <w:rPr>
                              <w:sz w:val="21"/>
                              <w:szCs w:val="21"/>
                            </w:rPr>
                            <w:fldChar w:fldCharType="begin"/>
                          </w:r>
                          <w:r>
                            <w:rPr>
                              <w:sz w:val="21"/>
                              <w:szCs w:val="21"/>
                            </w:rPr>
                            <w:instrText xml:space="preserve"> PAGE  \* MERGEFORMAT </w:instrText>
                          </w:r>
                          <w:r>
                            <w:rPr>
                              <w:sz w:val="21"/>
                              <w:szCs w:val="21"/>
                            </w:rPr>
                            <w:fldChar w:fldCharType="separate"/>
                          </w:r>
                          <w:r>
                            <w:rPr>
                              <w:sz w:val="21"/>
                              <w:szCs w:val="21"/>
                            </w:rPr>
                            <w:t>3</w:t>
                          </w:r>
                          <w:r>
                            <w:rPr>
                              <w:sz w:val="21"/>
                              <w:szCs w:val="21"/>
                            </w:rPr>
                            <w:fldChar w:fldCharType="end"/>
                          </w:r>
                          <w:r>
                            <w:rPr>
                              <w:sz w:val="21"/>
                              <w:szCs w:val="21"/>
                            </w:rPr>
                            <w:t xml:space="preserve"> / </w:t>
                          </w:r>
                          <w:r>
                            <w:rPr>
                              <w:sz w:val="21"/>
                              <w:szCs w:val="21"/>
                            </w:rPr>
                            <w:fldChar w:fldCharType="begin"/>
                          </w:r>
                          <w:r>
                            <w:rPr>
                              <w:sz w:val="21"/>
                              <w:szCs w:val="21"/>
                            </w:rPr>
                            <w:instrText xml:space="preserve"> NUMPAGES  \* MERGEFORMAT </w:instrText>
                          </w:r>
                          <w:r>
                            <w:rPr>
                              <w:sz w:val="21"/>
                              <w:szCs w:val="21"/>
                            </w:rPr>
                            <w:fldChar w:fldCharType="separate"/>
                          </w:r>
                          <w:r>
                            <w:rPr>
                              <w:sz w:val="21"/>
                              <w:szCs w:val="21"/>
                            </w:rPr>
                            <w:t>9</w:t>
                          </w:r>
                          <w:r>
                            <w:rPr>
                              <w:sz w:val="21"/>
                              <w:szCs w:val="21"/>
                            </w:rP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04pt;margin-top:0pt;height:16.1pt;width:52.15pt;mso-position-horizontal-relative:margin;z-index:251659264;mso-width-relative:page;mso-height-relative:page;" filled="f" stroked="f" coordsize="21600,21600" o:gfxdata="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MlFWrXAAAABwEAAA8AAAAAAAAAAQAgAAAAIgAAAGRycy9kb3ducmV2&#10;LnhtbFBLAQIUABQAAAAIAIdO4kC10oFLNgIAAGMEAAAOAAAAAAAAAAEAIAAAACYBAABkcnMvZTJv&#10;RG9jLnhtbFBLBQYAAAAABgAGAFkBAADOBQAAAAA=&#10;">
              <v:fill on="f" focussize="0,0"/>
              <v:stroke on="f" weight="0.5pt"/>
              <v:imagedata o:title=""/>
              <o:lock v:ext="edit" aspectratio="f"/>
              <v:textbox inset="0mm,0mm,0mm,0mm">
                <w:txbxContent>
                  <w:p w14:paraId="7362254B">
                    <w:pPr>
                      <w:pStyle w:val="5"/>
                      <w:rPr>
                        <w:sz w:val="21"/>
                        <w:szCs w:val="21"/>
                      </w:rPr>
                    </w:pPr>
                    <w:r>
                      <w:rPr>
                        <w:sz w:val="21"/>
                        <w:szCs w:val="21"/>
                      </w:rPr>
                      <w:fldChar w:fldCharType="begin"/>
                    </w:r>
                    <w:r>
                      <w:rPr>
                        <w:sz w:val="21"/>
                        <w:szCs w:val="21"/>
                      </w:rPr>
                      <w:instrText xml:space="preserve"> PAGE  \* MERGEFORMAT </w:instrText>
                    </w:r>
                    <w:r>
                      <w:rPr>
                        <w:sz w:val="21"/>
                        <w:szCs w:val="21"/>
                      </w:rPr>
                      <w:fldChar w:fldCharType="separate"/>
                    </w:r>
                    <w:r>
                      <w:rPr>
                        <w:sz w:val="21"/>
                        <w:szCs w:val="21"/>
                      </w:rPr>
                      <w:t>3</w:t>
                    </w:r>
                    <w:r>
                      <w:rPr>
                        <w:sz w:val="21"/>
                        <w:szCs w:val="21"/>
                      </w:rPr>
                      <w:fldChar w:fldCharType="end"/>
                    </w:r>
                    <w:r>
                      <w:rPr>
                        <w:sz w:val="21"/>
                        <w:szCs w:val="21"/>
                      </w:rPr>
                      <w:t xml:space="preserve"> / </w:t>
                    </w:r>
                    <w:r>
                      <w:rPr>
                        <w:sz w:val="21"/>
                        <w:szCs w:val="21"/>
                      </w:rPr>
                      <w:fldChar w:fldCharType="begin"/>
                    </w:r>
                    <w:r>
                      <w:rPr>
                        <w:sz w:val="21"/>
                        <w:szCs w:val="21"/>
                      </w:rPr>
                      <w:instrText xml:space="preserve"> NUMPAGES  \* MERGEFORMAT </w:instrText>
                    </w:r>
                    <w:r>
                      <w:rPr>
                        <w:sz w:val="21"/>
                        <w:szCs w:val="21"/>
                      </w:rPr>
                      <w:fldChar w:fldCharType="separate"/>
                    </w:r>
                    <w:r>
                      <w:rPr>
                        <w:sz w:val="21"/>
                        <w:szCs w:val="21"/>
                      </w:rPr>
                      <w:t>9</w:t>
                    </w:r>
                    <w:r>
                      <w:rPr>
                        <w:sz w:val="21"/>
                        <w:szCs w:val="21"/>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2426129"/>
    <w:multiLevelType w:val="singleLevel"/>
    <w:tmpl w:val="E2426129"/>
    <w:lvl w:ilvl="0" w:tentative="0">
      <w:start w:val="1"/>
      <w:numFmt w:val="chineseCounting"/>
      <w:suff w:val="nothing"/>
      <w:lvlText w:val="（%1）"/>
      <w:lvlJc w:val="left"/>
      <w:rPr>
        <w:rFonts w:hint="eastAsia"/>
      </w:rPr>
    </w:lvl>
  </w:abstractNum>
  <w:abstractNum w:abstractNumId="1">
    <w:nsid w:val="25A1DF8E"/>
    <w:multiLevelType w:val="singleLevel"/>
    <w:tmpl w:val="25A1DF8E"/>
    <w:lvl w:ilvl="0" w:tentative="0">
      <w:start w:val="5"/>
      <w:numFmt w:val="chineseCounting"/>
      <w:suff w:val="space"/>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doNotExpandShiftReturn/>
    <w:doNotWrapTextWithPunct/>
    <w:doNotUseEastAsianBreakRules/>
    <w:useFELayout/>
    <w:doNotUseIndentAsNumberingTabStop/>
    <w:useAltKinsokuLineBreakRules/>
    <w:compatSetting w:name="compatibilityMode" w:uri="http://schemas.microsoft.com/office/word" w:val="14"/>
  </w:compat>
  <w:rsids>
    <w:rsidRoot w:val="00000000"/>
    <w:rsid w:val="00492F07"/>
    <w:rsid w:val="04653264"/>
    <w:rsid w:val="066749E6"/>
    <w:rsid w:val="06F21790"/>
    <w:rsid w:val="07774ECF"/>
    <w:rsid w:val="07F07A7B"/>
    <w:rsid w:val="088D4FEE"/>
    <w:rsid w:val="08EA7DA0"/>
    <w:rsid w:val="09E77C30"/>
    <w:rsid w:val="0B4E34C6"/>
    <w:rsid w:val="0D137A51"/>
    <w:rsid w:val="0E161A25"/>
    <w:rsid w:val="0E185131"/>
    <w:rsid w:val="0EAF4BC3"/>
    <w:rsid w:val="0ECE329B"/>
    <w:rsid w:val="111F1728"/>
    <w:rsid w:val="132643B1"/>
    <w:rsid w:val="15281A34"/>
    <w:rsid w:val="15842485"/>
    <w:rsid w:val="1624683D"/>
    <w:rsid w:val="17063BC8"/>
    <w:rsid w:val="182470DF"/>
    <w:rsid w:val="18572A5E"/>
    <w:rsid w:val="196D766B"/>
    <w:rsid w:val="19C46786"/>
    <w:rsid w:val="1C9378D2"/>
    <w:rsid w:val="1D660959"/>
    <w:rsid w:val="1E0F4C9D"/>
    <w:rsid w:val="1E9447DF"/>
    <w:rsid w:val="21893FA9"/>
    <w:rsid w:val="22437047"/>
    <w:rsid w:val="23C2284B"/>
    <w:rsid w:val="27126486"/>
    <w:rsid w:val="27E04B83"/>
    <w:rsid w:val="29FC3CD8"/>
    <w:rsid w:val="2B606A6C"/>
    <w:rsid w:val="2C2E2B2B"/>
    <w:rsid w:val="2E307C0F"/>
    <w:rsid w:val="2E3C44D4"/>
    <w:rsid w:val="2E734F7A"/>
    <w:rsid w:val="2F023306"/>
    <w:rsid w:val="2F472A8A"/>
    <w:rsid w:val="2F5F5AAC"/>
    <w:rsid w:val="332732C2"/>
    <w:rsid w:val="33D26ADA"/>
    <w:rsid w:val="34862980"/>
    <w:rsid w:val="35513020"/>
    <w:rsid w:val="371145C5"/>
    <w:rsid w:val="3863539B"/>
    <w:rsid w:val="38802E42"/>
    <w:rsid w:val="3B5324AA"/>
    <w:rsid w:val="3C8E6CB3"/>
    <w:rsid w:val="3CBC35DE"/>
    <w:rsid w:val="3CBFF776"/>
    <w:rsid w:val="3F23468E"/>
    <w:rsid w:val="3F395FFD"/>
    <w:rsid w:val="41A5076B"/>
    <w:rsid w:val="41BE27A8"/>
    <w:rsid w:val="42A25910"/>
    <w:rsid w:val="42DA5497"/>
    <w:rsid w:val="48F15C56"/>
    <w:rsid w:val="48F167FB"/>
    <w:rsid w:val="493E4CE5"/>
    <w:rsid w:val="4A9152FF"/>
    <w:rsid w:val="4D4312AD"/>
    <w:rsid w:val="4E0C1CEB"/>
    <w:rsid w:val="4FEF1B46"/>
    <w:rsid w:val="4FF23FC6"/>
    <w:rsid w:val="52641E2E"/>
    <w:rsid w:val="53DB4BB9"/>
    <w:rsid w:val="551C18A3"/>
    <w:rsid w:val="573214BA"/>
    <w:rsid w:val="573E7197"/>
    <w:rsid w:val="57BF27AC"/>
    <w:rsid w:val="590E5FBC"/>
    <w:rsid w:val="5AA24519"/>
    <w:rsid w:val="5B617D1E"/>
    <w:rsid w:val="5C6D51C4"/>
    <w:rsid w:val="5C8F5BD3"/>
    <w:rsid w:val="5D1A32E4"/>
    <w:rsid w:val="5F1917F9"/>
    <w:rsid w:val="5FBFC8E6"/>
    <w:rsid w:val="608266AD"/>
    <w:rsid w:val="622540F5"/>
    <w:rsid w:val="625A5531"/>
    <w:rsid w:val="6308065A"/>
    <w:rsid w:val="67974161"/>
    <w:rsid w:val="67CD4643"/>
    <w:rsid w:val="690134E3"/>
    <w:rsid w:val="6B481BE9"/>
    <w:rsid w:val="6B69581F"/>
    <w:rsid w:val="6C17462B"/>
    <w:rsid w:val="6DEB1349"/>
    <w:rsid w:val="6DFD9337"/>
    <w:rsid w:val="6F835D84"/>
    <w:rsid w:val="6FF45107"/>
    <w:rsid w:val="70756248"/>
    <w:rsid w:val="70BC0902"/>
    <w:rsid w:val="70FE5C53"/>
    <w:rsid w:val="72BA0BEF"/>
    <w:rsid w:val="730D0FF6"/>
    <w:rsid w:val="75CF679A"/>
    <w:rsid w:val="77D78BF4"/>
    <w:rsid w:val="77FC0848"/>
    <w:rsid w:val="79BC4637"/>
    <w:rsid w:val="7A5F62EE"/>
    <w:rsid w:val="7B76B83F"/>
    <w:rsid w:val="7BD22ECE"/>
    <w:rsid w:val="7D0F532E"/>
    <w:rsid w:val="7DBFFD83"/>
    <w:rsid w:val="7DFF5770"/>
    <w:rsid w:val="7E480907"/>
    <w:rsid w:val="7ED45158"/>
    <w:rsid w:val="7F25855B"/>
    <w:rsid w:val="7F8C3CC9"/>
    <w:rsid w:val="7FFF10BB"/>
    <w:rsid w:val="BBAD192B"/>
    <w:rsid w:val="BE3A3D30"/>
    <w:rsid w:val="BF973E31"/>
    <w:rsid w:val="DFC3B885"/>
    <w:rsid w:val="DFFF63D7"/>
    <w:rsid w:val="E5CBDBCC"/>
    <w:rsid w:val="E7779355"/>
    <w:rsid w:val="EBA3D045"/>
    <w:rsid w:val="EBB3DDBA"/>
    <w:rsid w:val="F67BAC75"/>
    <w:rsid w:val="F7FD5630"/>
    <w:rsid w:val="FFDB68D8"/>
    <w:rsid w:val="FFFC3D33"/>
  </w:rsids>
  <m:mathPr>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2"/>
    <w:basedOn w:val="1"/>
    <w:next w:val="1"/>
    <w:qFormat/>
    <w:uiPriority w:val="0"/>
    <w:pPr>
      <w:keepNext/>
      <w:keepLines/>
      <w:spacing w:before="260" w:after="260" w:line="413" w:lineRule="auto"/>
      <w:ind w:firstLine="628"/>
      <w:jc w:val="center"/>
      <w:outlineLvl w:val="1"/>
    </w:pPr>
    <w:rPr>
      <w:rFonts w:ascii="Arial" w:hAnsi="Arial" w:eastAsia="黑体"/>
      <w:b/>
      <w:bCs/>
      <w:sz w:val="32"/>
      <w:szCs w:val="32"/>
    </w:rPr>
  </w:style>
  <w:style w:type="character" w:default="1" w:styleId="12">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Body Text"/>
    <w:basedOn w:val="1"/>
    <w:semiHidden/>
    <w:qFormat/>
    <w:uiPriority w:val="0"/>
    <w:rPr>
      <w:rFonts w:ascii="宋体" w:hAnsi="宋体" w:eastAsia="宋体" w:cs="宋体"/>
      <w:sz w:val="31"/>
      <w:szCs w:val="31"/>
      <w:lang w:val="en-US" w:eastAsia="en-US" w:bidi="ar-SA"/>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footnote text"/>
    <w:basedOn w:val="1"/>
    <w:qFormat/>
    <w:uiPriority w:val="0"/>
    <w:pPr>
      <w:snapToGrid w:val="0"/>
      <w:jc w:val="left"/>
    </w:pPr>
    <w:rPr>
      <w:sz w:val="18"/>
      <w:szCs w:val="18"/>
    </w:rPr>
  </w:style>
  <w:style w:type="paragraph" w:styleId="8">
    <w:name w:val="Body Text 2"/>
    <w:basedOn w:val="1"/>
    <w:qFormat/>
    <w:uiPriority w:val="0"/>
    <w:pPr>
      <w:jc w:val="left"/>
    </w:pPr>
    <w:rPr>
      <w:rFonts w:ascii="仿宋_GB2312" w:hAnsi="宋体" w:eastAsia="仿宋_GB2312"/>
    </w:rPr>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3">
    <w:name w:val="Table Normal"/>
    <w:unhideWhenUsed/>
    <w:qFormat/>
    <w:uiPriority w:val="0"/>
    <w:tblPr>
      <w:tblCellMar>
        <w:top w:w="0" w:type="dxa"/>
        <w:left w:w="0" w:type="dxa"/>
        <w:bottom w:w="0" w:type="dxa"/>
        <w:right w:w="0" w:type="dxa"/>
      </w:tblCellMar>
    </w:tblPr>
  </w:style>
  <w:style w:type="paragraph" w:customStyle="1" w:styleId="14">
    <w:name w:val="Table Text"/>
    <w:basedOn w:val="1"/>
    <w:semiHidden/>
    <w:qFormat/>
    <w:uiPriority w:val="0"/>
    <w:rPr>
      <w:rFonts w:ascii="仿宋" w:hAnsi="仿宋" w:eastAsia="仿宋" w:cs="仿宋"/>
      <w:sz w:val="28"/>
      <w:szCs w:val="28"/>
      <w:lang w:val="en-US" w:eastAsia="en-US" w:bidi="ar-SA"/>
    </w:rPr>
  </w:style>
  <w:style w:type="paragraph" w:customStyle="1" w:styleId="15">
    <w:name w:val="Table Paragraph"/>
    <w:basedOn w:val="1"/>
    <w:qFormat/>
    <w:uiPriority w:val="1"/>
    <w:pPr>
      <w:jc w:val="left"/>
    </w:pPr>
    <w:rPr>
      <w:rFonts w:ascii="Calibri" w:hAnsi="Calibri"/>
      <w:kern w:val="0"/>
      <w:sz w:val="22"/>
      <w:szCs w:val="22"/>
      <w:lang w:eastAsia="en-US"/>
    </w:rPr>
  </w:style>
  <w:style w:type="paragraph" w:customStyle="1" w:styleId="16">
    <w:name w:val="*正文"/>
    <w:basedOn w:val="1"/>
    <w:autoRedefine/>
    <w:qFormat/>
    <w:uiPriority w:val="0"/>
    <w:pPr>
      <w:adjustRightInd/>
      <w:snapToGrid/>
      <w:spacing w:after="0" w:line="360" w:lineRule="auto"/>
      <w:ind w:firstLine="200" w:firstLineChars="200"/>
    </w:pPr>
    <w:rPr>
      <w:rFonts w:ascii="宋体" w:hAnsi="宋体" w:eastAsia="宋体"/>
      <w:kern w:val="2"/>
      <w:szCs w:val="24"/>
    </w:rPr>
  </w:style>
  <w:style w:type="character" w:customStyle="1" w:styleId="17">
    <w:name w:val="title"/>
    <w:basedOn w:val="12"/>
    <w:qFormat/>
    <w:uiPriority w:val="0"/>
  </w:style>
  <w:style w:type="paragraph" w:styleId="18">
    <w:name w:val="List Paragraph"/>
    <w:basedOn w:val="1"/>
    <w:qFormat/>
    <w:uiPriority w:val="34"/>
    <w:pPr>
      <w:ind w:firstLine="420" w:firstLineChars="200"/>
    </w:pPr>
  </w:style>
  <w:style w:type="character" w:customStyle="1" w:styleId="19">
    <w:name w:val="first-child"/>
    <w:basedOn w:val="12"/>
    <w:qFormat/>
    <w:uiPriority w:val="0"/>
  </w:style>
  <w:style w:type="character" w:customStyle="1" w:styleId="20">
    <w:name w:val="layui-layer-tabnow"/>
    <w:basedOn w:val="12"/>
    <w:qFormat/>
    <w:uiPriority w:val="0"/>
    <w:rPr>
      <w:bdr w:val="single" w:color="CCCCCC" w:sz="6" w:space="0"/>
      <w:shd w:val="clear" w:fill="FFFFFF"/>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29</Pages>
  <Words>113</Words>
  <Characters>116</Characters>
  <Lines>0</Lines>
  <Paragraphs>0</Paragraphs>
  <TotalTime>9</TotalTime>
  <ScaleCrop>false</ScaleCrop>
  <LinksUpToDate>false</LinksUpToDate>
  <CharactersWithSpaces>182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2025-08-01T10:04:00Z</dcterms:created>
  <dc:creator>MC SYSTEM</dc:creator>
  <cp:lastModifiedBy>llz</cp:lastModifiedBy>
  <cp:lastPrinted>2026-05-13T07:17:00Z</cp:lastPrinted>
  <dcterms:modified xsi:type="dcterms:W3CDTF">2026-05-19T04:01:11Z</dcterms:modified>
  <dc:title>厦财采〔2021〕9号</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2025-08-18T10:20:42Z</vt:filetime>
  </property>
  <property fmtid="{D5CDD505-2E9C-101B-9397-08002B2CF9AE}" pid="4" name="KSOProductBuildVer">
    <vt:lpwstr>2052-12.1.0.26375</vt:lpwstr>
  </property>
  <property fmtid="{D5CDD505-2E9C-101B-9397-08002B2CF9AE}" pid="5" name="ICV">
    <vt:lpwstr>438614AC1FD96B817DFDB868F614E291_43</vt:lpwstr>
  </property>
  <property fmtid="{D5CDD505-2E9C-101B-9397-08002B2CF9AE}" pid="6" name="KSOTemplateDocerSaveRecord">
    <vt:lpwstr>eyJoZGlkIjoiNjNjNGIyMWI5ZTFmZDRmNDU1NzMxOWY1ZGFhMTBlZjEiLCJ1c2VySWQiOiIxMTMxOTEwNDAxIn0=</vt:lpwstr>
  </property>
</Properties>
</file>