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C46ABF">
      <w:pPr>
        <w:pageBreakBefore w:val="0"/>
        <w:widowControl w:val="0"/>
        <w:wordWrap/>
        <w:overflowPunct/>
        <w:topLinePunct w:val="0"/>
        <w:bidi w:val="0"/>
        <w:spacing w:before="47" w:line="219" w:lineRule="auto"/>
        <w:jc w:val="center"/>
        <w:outlineLvl w:val="1"/>
        <w:rPr>
          <w:rFonts w:ascii="宋体" w:hAnsi="宋体" w:eastAsia="宋体" w:cs="宋体"/>
          <w:color w:val="auto"/>
          <w:sz w:val="36"/>
          <w:szCs w:val="36"/>
          <w:highlight w:val="none"/>
        </w:rPr>
      </w:pPr>
      <w:bookmarkStart w:id="0" w:name="_GoBack"/>
      <w:bookmarkEnd w:id="0"/>
      <w:r>
        <w:rPr>
          <w:rFonts w:ascii="宋体" w:hAnsi="宋体" w:eastAsia="宋体" w:cs="宋体"/>
          <w:color w:val="auto"/>
          <w:spacing w:val="-2"/>
          <w:sz w:val="36"/>
          <w:szCs w:val="36"/>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36"/>
          <w:szCs w:val="36"/>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36"/>
          <w:szCs w:val="36"/>
          <w:highlight w:val="none"/>
          <w14:textOutline w14:w="4356" w14:cap="sq" w14:cmpd="sng" w14:algn="ctr">
            <w14:solidFill>
              <w14:srgbClr w14:val="000000"/>
            </w14:solidFill>
            <w14:prstDash w14:val="solid"/>
            <w14:bevel/>
          </w14:textOutline>
        </w:rPr>
        <w:t>求</w:t>
      </w:r>
    </w:p>
    <w:p w14:paraId="3FE2AB39">
      <w:pPr>
        <w:pageBreakBefore w:val="0"/>
        <w:widowControl w:val="0"/>
        <w:wordWrap/>
        <w:overflowPunct/>
        <w:topLinePunct w:val="0"/>
        <w:bidi w:val="0"/>
        <w:spacing w:before="78" w:line="219" w:lineRule="auto"/>
        <w:rPr>
          <w:rFonts w:ascii="宋体" w:hAnsi="宋体" w:eastAsia="宋体" w:cs="宋体"/>
          <w:b/>
          <w:bCs/>
          <w:color w:val="auto"/>
          <w:spacing w:val="-5"/>
          <w:sz w:val="24"/>
          <w:szCs w:val="24"/>
          <w:highlight w:val="none"/>
        </w:rPr>
      </w:pPr>
    </w:p>
    <w:p w14:paraId="213747FE">
      <w:pPr>
        <w:pageBreakBefore w:val="0"/>
        <w:widowControl w:val="0"/>
        <w:wordWrap/>
        <w:overflowPunct/>
        <w:topLinePunct w:val="0"/>
        <w:bidi w:val="0"/>
        <w:spacing w:before="78" w:line="219" w:lineRule="auto"/>
        <w:rPr>
          <w:rFonts w:ascii="宋体" w:hAnsi="宋体" w:eastAsia="宋体" w:cs="宋体"/>
          <w:b/>
          <w:bCs/>
          <w:color w:val="auto"/>
          <w:spacing w:val="-5"/>
          <w:sz w:val="24"/>
          <w:szCs w:val="24"/>
          <w:highlight w:val="none"/>
        </w:rPr>
      </w:pPr>
      <w:r>
        <w:rPr>
          <w:rFonts w:ascii="宋体" w:hAnsi="宋体" w:eastAsia="宋体" w:cs="宋体"/>
          <w:b/>
          <w:bCs/>
          <w:color w:val="auto"/>
          <w:spacing w:val="-5"/>
          <w:sz w:val="24"/>
          <w:szCs w:val="24"/>
          <w:highlight w:val="none"/>
        </w:rPr>
        <w:t>（一）</w:t>
      </w:r>
      <w:r>
        <w:rPr>
          <w:rFonts w:ascii="宋体" w:hAnsi="宋体" w:eastAsia="宋体" w:cs="宋体"/>
          <w:b/>
          <w:bCs/>
          <w:color w:val="auto"/>
          <w:spacing w:val="25"/>
          <w:sz w:val="24"/>
          <w:szCs w:val="24"/>
          <w:highlight w:val="none"/>
        </w:rPr>
        <w:t xml:space="preserve"> </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p>
    <w:p w14:paraId="492BD79C">
      <w:pPr>
        <w:pageBreakBefore w:val="0"/>
        <w:widowControl w:val="0"/>
        <w:wordWrap/>
        <w:overflowPunct/>
        <w:topLinePunct w:val="0"/>
        <w:bidi w:val="0"/>
        <w:spacing w:before="78" w:line="219" w:lineRule="auto"/>
        <w:rPr>
          <w:rFonts w:ascii="宋体" w:hAnsi="宋体" w:eastAsia="宋体" w:cs="宋体"/>
          <w:b/>
          <w:bCs/>
          <w:color w:val="auto"/>
          <w:spacing w:val="-5"/>
          <w:sz w:val="24"/>
          <w:szCs w:val="24"/>
          <w:highlight w:val="none"/>
        </w:rPr>
      </w:pPr>
    </w:p>
    <w:tbl>
      <w:tblPr>
        <w:tblStyle w:val="4"/>
        <w:tblW w:w="54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2209"/>
        <w:gridCol w:w="3434"/>
        <w:gridCol w:w="1419"/>
        <w:gridCol w:w="1757"/>
        <w:gridCol w:w="1478"/>
      </w:tblGrid>
      <w:tr w14:paraId="122BA9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5" w:hRule="atLeast"/>
          <w:jc w:val="center"/>
        </w:trPr>
        <w:tc>
          <w:tcPr>
            <w:tcW w:w="1072" w:type="pct"/>
            <w:vAlign w:val="center"/>
          </w:tcPr>
          <w:p w14:paraId="50DE2BCA">
            <w:pPr>
              <w:keepNext w:val="0"/>
              <w:keepLines w:val="0"/>
              <w:pageBreakBefore w:val="0"/>
              <w:widowControl w:val="0"/>
              <w:kinsoku w:val="0"/>
              <w:wordWrap/>
              <w:overflowPunct/>
              <w:topLinePunct w:val="0"/>
              <w:autoSpaceDE w:val="0"/>
              <w:autoSpaceDN w:val="0"/>
              <w:bidi w:val="0"/>
              <w:adjustRightInd w:val="0"/>
              <w:snapToGrid w:val="0"/>
              <w:spacing w:before="1" w:line="360" w:lineRule="auto"/>
              <w:jc w:val="center"/>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服务名称</w:t>
            </w:r>
          </w:p>
        </w:tc>
        <w:tc>
          <w:tcPr>
            <w:tcW w:w="1667" w:type="pct"/>
            <w:vAlign w:val="center"/>
          </w:tcPr>
          <w:p w14:paraId="42AEC832">
            <w:pPr>
              <w:keepNext w:val="0"/>
              <w:keepLines w:val="0"/>
              <w:pageBreakBefore w:val="0"/>
              <w:widowControl w:val="0"/>
              <w:kinsoku w:val="0"/>
              <w:wordWrap/>
              <w:overflowPunct/>
              <w:topLinePunct w:val="0"/>
              <w:autoSpaceDE w:val="0"/>
              <w:autoSpaceDN w:val="0"/>
              <w:bidi w:val="0"/>
              <w:adjustRightInd w:val="0"/>
              <w:snapToGrid w:val="0"/>
              <w:spacing w:before="1" w:line="360" w:lineRule="auto"/>
              <w:jc w:val="center"/>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服务时间</w:t>
            </w:r>
          </w:p>
        </w:tc>
        <w:tc>
          <w:tcPr>
            <w:tcW w:w="689" w:type="pct"/>
            <w:vAlign w:val="center"/>
          </w:tcPr>
          <w:p w14:paraId="02E0714F">
            <w:pPr>
              <w:keepNext w:val="0"/>
              <w:keepLines w:val="0"/>
              <w:pageBreakBefore w:val="0"/>
              <w:widowControl w:val="0"/>
              <w:kinsoku w:val="0"/>
              <w:wordWrap/>
              <w:overflowPunct/>
              <w:topLinePunct w:val="0"/>
              <w:autoSpaceDE w:val="0"/>
              <w:autoSpaceDN w:val="0"/>
              <w:bidi w:val="0"/>
              <w:adjustRightInd w:val="0"/>
              <w:snapToGrid w:val="0"/>
              <w:spacing w:before="1" w:line="0" w:lineRule="atLeast"/>
              <w:ind w:firstLine="472" w:firstLineChars="200"/>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人数</w:t>
            </w:r>
          </w:p>
          <w:p w14:paraId="4AB1C8AC">
            <w:pPr>
              <w:keepNext w:val="0"/>
              <w:keepLines w:val="0"/>
              <w:pageBreakBefore w:val="0"/>
              <w:widowControl w:val="0"/>
              <w:kinsoku w:val="0"/>
              <w:wordWrap/>
              <w:overflowPunct/>
              <w:topLinePunct w:val="0"/>
              <w:autoSpaceDE w:val="0"/>
              <w:autoSpaceDN w:val="0"/>
              <w:bidi w:val="0"/>
              <w:adjustRightInd w:val="0"/>
              <w:snapToGrid w:val="0"/>
              <w:spacing w:before="1" w:line="0" w:lineRule="atLeast"/>
              <w:ind w:firstLine="236" w:firstLineChars="100"/>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(暂定)</w:t>
            </w:r>
          </w:p>
        </w:tc>
        <w:tc>
          <w:tcPr>
            <w:tcW w:w="853" w:type="pct"/>
            <w:vAlign w:val="center"/>
          </w:tcPr>
          <w:p w14:paraId="305671F7">
            <w:pPr>
              <w:keepNext w:val="0"/>
              <w:keepLines w:val="0"/>
              <w:pageBreakBefore w:val="0"/>
              <w:widowControl w:val="0"/>
              <w:kinsoku w:val="0"/>
              <w:wordWrap/>
              <w:overflowPunct/>
              <w:topLinePunct w:val="0"/>
              <w:autoSpaceDE w:val="0"/>
              <w:autoSpaceDN w:val="0"/>
              <w:bidi w:val="0"/>
              <w:adjustRightInd w:val="0"/>
              <w:snapToGrid w:val="0"/>
              <w:spacing w:before="1" w:line="0" w:lineRule="atLeast"/>
              <w:ind w:firstLine="472" w:firstLineChars="200"/>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控制单价</w:t>
            </w:r>
          </w:p>
          <w:p w14:paraId="0ACB5F5D">
            <w:pPr>
              <w:keepNext w:val="0"/>
              <w:keepLines w:val="0"/>
              <w:pageBreakBefore w:val="0"/>
              <w:widowControl w:val="0"/>
              <w:kinsoku w:val="0"/>
              <w:wordWrap/>
              <w:overflowPunct/>
              <w:topLinePunct w:val="0"/>
              <w:autoSpaceDE w:val="0"/>
              <w:autoSpaceDN w:val="0"/>
              <w:bidi w:val="0"/>
              <w:adjustRightInd w:val="0"/>
              <w:snapToGrid w:val="0"/>
              <w:spacing w:before="1" w:line="0" w:lineRule="atLeast"/>
              <w:ind w:firstLine="236" w:firstLineChars="100"/>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(每人/每月)</w:t>
            </w:r>
          </w:p>
        </w:tc>
        <w:tc>
          <w:tcPr>
            <w:tcW w:w="717" w:type="pct"/>
            <w:vAlign w:val="center"/>
          </w:tcPr>
          <w:p w14:paraId="39491609">
            <w:pPr>
              <w:keepNext w:val="0"/>
              <w:keepLines w:val="0"/>
              <w:pageBreakBefore w:val="0"/>
              <w:widowControl w:val="0"/>
              <w:kinsoku w:val="0"/>
              <w:wordWrap/>
              <w:overflowPunct/>
              <w:topLinePunct w:val="0"/>
              <w:autoSpaceDE w:val="0"/>
              <w:autoSpaceDN w:val="0"/>
              <w:bidi w:val="0"/>
              <w:adjustRightInd w:val="0"/>
              <w:snapToGrid w:val="0"/>
              <w:spacing w:before="1" w:line="0" w:lineRule="atLeast"/>
              <w:ind w:firstLine="472" w:firstLineChars="200"/>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总价</w:t>
            </w:r>
          </w:p>
          <w:p w14:paraId="0656ECEA">
            <w:pPr>
              <w:keepNext w:val="0"/>
              <w:keepLines w:val="0"/>
              <w:pageBreakBefore w:val="0"/>
              <w:widowControl w:val="0"/>
              <w:kinsoku w:val="0"/>
              <w:wordWrap/>
              <w:overflowPunct/>
              <w:topLinePunct w:val="0"/>
              <w:autoSpaceDE w:val="0"/>
              <w:autoSpaceDN w:val="0"/>
              <w:bidi w:val="0"/>
              <w:adjustRightInd w:val="0"/>
              <w:snapToGrid w:val="0"/>
              <w:spacing w:before="1" w:line="0" w:lineRule="atLeast"/>
              <w:ind w:firstLine="236" w:firstLineChars="100"/>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（暂估）</w:t>
            </w:r>
          </w:p>
        </w:tc>
      </w:tr>
      <w:tr w14:paraId="08583B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0" w:hRule="atLeast"/>
          <w:jc w:val="center"/>
        </w:trPr>
        <w:tc>
          <w:tcPr>
            <w:tcW w:w="1072" w:type="pct"/>
            <w:vAlign w:val="center"/>
          </w:tcPr>
          <w:p w14:paraId="2817D634">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2026年度乐安县“阳光家园”计划残疾人居家托养服务项目采购</w:t>
            </w:r>
          </w:p>
        </w:tc>
        <w:tc>
          <w:tcPr>
            <w:tcW w:w="1667" w:type="pct"/>
            <w:vAlign w:val="center"/>
          </w:tcPr>
          <w:p w14:paraId="2B7EADDB">
            <w:pPr>
              <w:keepNext w:val="0"/>
              <w:keepLines w:val="0"/>
              <w:pageBreakBefore w:val="0"/>
              <w:widowControl w:val="0"/>
              <w:kinsoku w:val="0"/>
              <w:wordWrap/>
              <w:overflowPunct/>
              <w:topLinePunct w:val="0"/>
              <w:autoSpaceDE w:val="0"/>
              <w:autoSpaceDN w:val="0"/>
              <w:bidi w:val="0"/>
              <w:adjustRightInd w:val="0"/>
              <w:snapToGrid w:val="0"/>
              <w:spacing w:before="1" w:line="360" w:lineRule="auto"/>
              <w:jc w:val="center"/>
              <w:textAlignment w:val="baseline"/>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本项目为延续性服务，如考核优秀的服务机构，采用1+1模式，总期限不超过2年，期满考核合格，预算落实且内容无实质性变更的，续签合同不再另行招标</w:t>
            </w:r>
          </w:p>
        </w:tc>
        <w:tc>
          <w:tcPr>
            <w:tcW w:w="689" w:type="pct"/>
            <w:vAlign w:val="center"/>
          </w:tcPr>
          <w:p w14:paraId="670F7D29">
            <w:pPr>
              <w:keepNext w:val="0"/>
              <w:keepLines w:val="0"/>
              <w:pageBreakBefore w:val="0"/>
              <w:widowControl w:val="0"/>
              <w:kinsoku w:val="0"/>
              <w:wordWrap/>
              <w:overflowPunct/>
              <w:topLinePunct w:val="0"/>
              <w:autoSpaceDE w:val="0"/>
              <w:autoSpaceDN w:val="0"/>
              <w:bidi w:val="0"/>
              <w:adjustRightInd w:val="0"/>
              <w:snapToGrid w:val="0"/>
              <w:spacing w:before="1" w:line="360" w:lineRule="auto"/>
              <w:ind w:firstLine="236" w:firstLineChars="100"/>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val="en-US" w:eastAsia="zh-CN"/>
              </w:rPr>
              <w:t>300</w:t>
            </w:r>
            <w:r>
              <w:rPr>
                <w:rFonts w:hint="eastAsia" w:ascii="宋体" w:hAnsi="宋体" w:eastAsia="宋体" w:cs="宋体"/>
                <w:color w:val="auto"/>
                <w:spacing w:val="-2"/>
                <w:sz w:val="24"/>
                <w:szCs w:val="24"/>
                <w:highlight w:val="none"/>
                <w:lang w:eastAsia="zh-CN"/>
              </w:rPr>
              <w:t>人</w:t>
            </w:r>
          </w:p>
        </w:tc>
        <w:tc>
          <w:tcPr>
            <w:tcW w:w="853" w:type="pct"/>
            <w:vAlign w:val="center"/>
          </w:tcPr>
          <w:p w14:paraId="41FA1177">
            <w:pPr>
              <w:keepNext w:val="0"/>
              <w:keepLines w:val="0"/>
              <w:pageBreakBefore w:val="0"/>
              <w:widowControl w:val="0"/>
              <w:kinsoku w:val="0"/>
              <w:wordWrap/>
              <w:overflowPunct/>
              <w:topLinePunct w:val="0"/>
              <w:autoSpaceDE w:val="0"/>
              <w:autoSpaceDN w:val="0"/>
              <w:bidi w:val="0"/>
              <w:adjustRightInd w:val="0"/>
              <w:snapToGrid w:val="0"/>
              <w:spacing w:before="1" w:line="360" w:lineRule="auto"/>
              <w:ind w:firstLine="708" w:firstLineChars="300"/>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val="en-US" w:eastAsia="zh-CN"/>
              </w:rPr>
              <w:t>125</w:t>
            </w:r>
            <w:r>
              <w:rPr>
                <w:rFonts w:hint="eastAsia" w:ascii="宋体" w:hAnsi="宋体" w:eastAsia="宋体" w:cs="宋体"/>
                <w:color w:val="auto"/>
                <w:spacing w:val="-2"/>
                <w:sz w:val="24"/>
                <w:szCs w:val="24"/>
                <w:highlight w:val="none"/>
                <w:lang w:eastAsia="zh-CN"/>
              </w:rPr>
              <w:t>元</w:t>
            </w:r>
          </w:p>
        </w:tc>
        <w:tc>
          <w:tcPr>
            <w:tcW w:w="717" w:type="pct"/>
            <w:vAlign w:val="center"/>
          </w:tcPr>
          <w:p w14:paraId="15705F5D">
            <w:pPr>
              <w:keepNext w:val="0"/>
              <w:keepLines w:val="0"/>
              <w:pageBreakBefore w:val="0"/>
              <w:widowControl w:val="0"/>
              <w:kinsoku w:val="0"/>
              <w:wordWrap/>
              <w:overflowPunct/>
              <w:topLinePunct w:val="0"/>
              <w:autoSpaceDE w:val="0"/>
              <w:autoSpaceDN w:val="0"/>
              <w:bidi w:val="0"/>
              <w:adjustRightInd w:val="0"/>
              <w:snapToGrid w:val="0"/>
              <w:spacing w:before="1" w:line="360" w:lineRule="auto"/>
              <w:jc w:val="center"/>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val="en-US" w:eastAsia="zh-CN"/>
              </w:rPr>
              <w:t>450000</w:t>
            </w:r>
            <w:r>
              <w:rPr>
                <w:rFonts w:hint="eastAsia" w:ascii="宋体" w:hAnsi="宋体" w:eastAsia="宋体" w:cs="宋体"/>
                <w:color w:val="auto"/>
                <w:spacing w:val="-2"/>
                <w:sz w:val="24"/>
                <w:szCs w:val="24"/>
                <w:highlight w:val="none"/>
                <w:lang w:eastAsia="zh-CN"/>
              </w:rPr>
              <w:t>元</w:t>
            </w:r>
          </w:p>
          <w:p w14:paraId="66787F7E">
            <w:pPr>
              <w:keepNext w:val="0"/>
              <w:keepLines w:val="0"/>
              <w:pageBreakBefore w:val="0"/>
              <w:widowControl w:val="0"/>
              <w:kinsoku w:val="0"/>
              <w:wordWrap/>
              <w:overflowPunct/>
              <w:topLinePunct w:val="0"/>
              <w:autoSpaceDE w:val="0"/>
              <w:autoSpaceDN w:val="0"/>
              <w:bidi w:val="0"/>
              <w:adjustRightInd w:val="0"/>
              <w:snapToGrid w:val="0"/>
              <w:spacing w:before="1" w:line="360" w:lineRule="auto"/>
              <w:jc w:val="center"/>
              <w:textAlignment w:val="baseline"/>
              <w:rPr>
                <w:rFonts w:hint="default"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按一年的费用计算）</w:t>
            </w:r>
          </w:p>
        </w:tc>
      </w:tr>
    </w:tbl>
    <w:p w14:paraId="4A89A830">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en-US" w:eastAsia="zh-CN"/>
        </w:rPr>
      </w:pPr>
    </w:p>
    <w:p w14:paraId="429C2130">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val="en-US" w:eastAsia="zh-CN"/>
        </w:rPr>
        <w:t>一</w:t>
      </w:r>
      <w:r>
        <w:rPr>
          <w:rFonts w:hint="eastAsia" w:ascii="宋体" w:hAnsi="宋体" w:eastAsia="宋体" w:cs="宋体"/>
          <w:color w:val="auto"/>
          <w:spacing w:val="-2"/>
          <w:sz w:val="24"/>
          <w:szCs w:val="24"/>
          <w:highlight w:val="none"/>
          <w:lang w:eastAsia="zh-CN"/>
        </w:rPr>
        <w:t>、服务对象：具有乐安县户籍，就业年龄段（16周岁至法定退休年龄），持有中华人民共和国第二代残疾人证的智力、精神及重度肢体残疾人或同时存在智力、精神和重度肢体两种或以上残疾的多重残疾人，具体对象名单由乐安县残联确定，人数约为</w:t>
      </w:r>
      <w:r>
        <w:rPr>
          <w:rFonts w:hint="eastAsia" w:ascii="宋体" w:hAnsi="宋体" w:eastAsia="宋体" w:cs="宋体"/>
          <w:color w:val="auto"/>
          <w:spacing w:val="-2"/>
          <w:sz w:val="24"/>
          <w:szCs w:val="24"/>
          <w:highlight w:val="none"/>
          <w:lang w:val="en-US" w:eastAsia="zh-CN"/>
        </w:rPr>
        <w:t>300人（以实际服务人数为准）。</w:t>
      </w:r>
    </w:p>
    <w:p w14:paraId="75101AB1">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二、服务协议</w:t>
      </w:r>
    </w:p>
    <w:p w14:paraId="4F872C52">
      <w:pPr>
        <w:keepNext w:val="0"/>
        <w:keepLines w:val="0"/>
        <w:pageBreakBefore w:val="0"/>
        <w:widowControl w:val="0"/>
        <w:kinsoku w:val="0"/>
        <w:wordWrap/>
        <w:overflowPunct/>
        <w:topLinePunct w:val="0"/>
        <w:autoSpaceDE w:val="0"/>
        <w:autoSpaceDN w:val="0"/>
        <w:bidi w:val="0"/>
        <w:adjustRightInd w:val="0"/>
        <w:snapToGrid w:val="0"/>
        <w:spacing w:before="1" w:line="360" w:lineRule="auto"/>
        <w:ind w:firstLine="472" w:firstLineChars="200"/>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建立合同责任机制，与服务对象或其家属、监护人签订</w:t>
      </w:r>
      <w:r>
        <w:rPr>
          <w:rFonts w:hint="eastAsia" w:ascii="宋体" w:hAnsi="宋体" w:eastAsia="宋体" w:cs="宋体"/>
          <w:color w:val="auto"/>
          <w:spacing w:val="-2"/>
          <w:sz w:val="24"/>
          <w:szCs w:val="24"/>
          <w:highlight w:val="none"/>
          <w:lang w:val="en-US" w:eastAsia="zh-CN"/>
        </w:rPr>
        <w:t>具有法律效力、权责明晰的服务协议，协议应明确服务提供内容、服务流程、服务承诺、收费标准等，并在显著位置公开服务项目、服务指南、工作流程以及相关风险告知。</w:t>
      </w:r>
    </w:p>
    <w:p w14:paraId="67622B6D">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三、服务管理</w:t>
      </w:r>
    </w:p>
    <w:p w14:paraId="6FDC98EC">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1、规章制度</w:t>
      </w:r>
    </w:p>
    <w:p w14:paraId="20408EDE">
      <w:pPr>
        <w:keepNext w:val="0"/>
        <w:keepLines w:val="0"/>
        <w:pageBreakBefore w:val="0"/>
        <w:widowControl w:val="0"/>
        <w:kinsoku w:val="0"/>
        <w:wordWrap/>
        <w:overflowPunct/>
        <w:topLinePunct w:val="0"/>
        <w:autoSpaceDE w:val="0"/>
        <w:autoSpaceDN w:val="0"/>
        <w:bidi w:val="0"/>
        <w:adjustRightInd w:val="0"/>
        <w:snapToGrid w:val="0"/>
        <w:spacing w:before="1" w:line="360" w:lineRule="auto"/>
        <w:ind w:right="-363" w:rightChars="-173"/>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val="en-US" w:eastAsia="zh-CN"/>
        </w:rPr>
        <w:t>（1）</w:t>
      </w:r>
      <w:r>
        <w:rPr>
          <w:rFonts w:hint="eastAsia" w:ascii="宋体" w:hAnsi="宋体" w:eastAsia="宋体" w:cs="宋体"/>
          <w:color w:val="auto"/>
          <w:spacing w:val="-2"/>
          <w:sz w:val="24"/>
          <w:szCs w:val="24"/>
          <w:highlight w:val="none"/>
          <w:lang w:eastAsia="zh-CN"/>
        </w:rPr>
        <w:t>制定健全的行政、人事、档案管理等规章和制度，服务人员岗位职责明确，公开上墙。</w:t>
      </w:r>
    </w:p>
    <w:p w14:paraId="4A39159E">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2）服务机构接受服务对象或其监护人申请后，应详细登记其家庭情况、残疾类别和残疾等级，充分了解服务需求和隐私保护等。依据服务对象的残疾类别和等级、专业医疗机构诊断证明和体检报告等进行风险评估，以确定服务对象托养照护适宜性。对有精神病史的服务对象，确定其病情稳定并适宜从专业医疗机构转介至托养服务机构，应以专业医疗机构出具的诊断证明为准。依据评估结果与服务对象或其监护人共同商讨制定适宜的个性化托养服务方案，包括制定适宜的训练计划，并定期评估服务对象的身心功能，根据服务对象的特点适时调整服务方案，相关结果、服务内容、频次记录存档。</w:t>
      </w:r>
    </w:p>
    <w:p w14:paraId="7B03A995">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3）服务过程使用智能化服务平台，在服务平台上定位打卡并上传服务内容。</w:t>
      </w:r>
    </w:p>
    <w:p w14:paraId="490A448B">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4</w:t>
      </w:r>
      <w:r>
        <w:rPr>
          <w:rFonts w:hint="eastAsia" w:ascii="宋体" w:hAnsi="宋体" w:eastAsia="宋体" w:cs="宋体"/>
          <w:color w:val="auto"/>
          <w:spacing w:val="-2"/>
          <w:sz w:val="24"/>
          <w:szCs w:val="24"/>
          <w:highlight w:val="none"/>
          <w:lang w:eastAsia="zh-CN"/>
        </w:rPr>
        <w:t>）服务场所要符合《就业年龄段智力、精神及重度肢体残疾人托养服务规范》（GB-T37516-2019）第七条安全要求规定。</w:t>
      </w:r>
    </w:p>
    <w:p w14:paraId="46D7BE66">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四、服务内容</w:t>
      </w:r>
    </w:p>
    <w:p w14:paraId="213765FB">
      <w:pPr>
        <w:keepNext w:val="0"/>
        <w:keepLines w:val="0"/>
        <w:pageBreakBefore w:val="0"/>
        <w:widowControl w:val="0"/>
        <w:kinsoku w:val="0"/>
        <w:wordWrap/>
        <w:overflowPunct/>
        <w:topLinePunct w:val="0"/>
        <w:autoSpaceDE w:val="0"/>
        <w:autoSpaceDN w:val="0"/>
        <w:bidi w:val="0"/>
        <w:adjustRightInd w:val="0"/>
        <w:snapToGrid w:val="0"/>
        <w:spacing w:before="1" w:line="360" w:lineRule="auto"/>
        <w:ind w:firstLine="472" w:firstLineChars="200"/>
        <w:textAlignment w:val="baseline"/>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服务机构：承接残疾人托养服务的机构应具备相应的服务能力，依法在民政部门或工商部门登记成立的各级各类服务机构，包括但不限于各级政府投资建设的残疾人托养、康复机构、福利机构、养老机构、医院等能够为智力、精神、重度肢体残疾人提供托养服务的机构和社会组织。</w:t>
      </w:r>
    </w:p>
    <w:p w14:paraId="0114C92F">
      <w:pPr>
        <w:keepNext w:val="0"/>
        <w:keepLines w:val="0"/>
        <w:pageBreakBefore w:val="0"/>
        <w:widowControl w:val="0"/>
        <w:kinsoku w:val="0"/>
        <w:wordWrap/>
        <w:overflowPunct/>
        <w:topLinePunct w:val="0"/>
        <w:autoSpaceDE w:val="0"/>
        <w:autoSpaceDN w:val="0"/>
        <w:bidi w:val="0"/>
        <w:adjustRightInd w:val="0"/>
        <w:snapToGrid w:val="0"/>
        <w:spacing w:before="1" w:line="360" w:lineRule="auto"/>
        <w:ind w:firstLine="472" w:firstLineChars="200"/>
        <w:textAlignment w:val="baseline"/>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依据《就业年龄段智力、精神及重度肢体残疾人托养服务规范》（GB-T37516-2019），对符合条件的持证残疾人提供生活照料及护理、生活自理和社会适应能力训练为主，辅之以运动功能训练、职业康复与劳动技能训练的服务。</w:t>
      </w:r>
    </w:p>
    <w:p w14:paraId="2CEA9B98">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1、生活照料和护理</w:t>
      </w:r>
    </w:p>
    <w:p w14:paraId="7A6E6A11">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(1)为服务对象提供日常生活照顾和护理以及健康生活所需的基本服务。</w:t>
      </w:r>
    </w:p>
    <w:p w14:paraId="18A12226">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2</w:t>
      </w:r>
      <w:r>
        <w:rPr>
          <w:rFonts w:hint="eastAsia" w:ascii="宋体" w:hAnsi="宋体" w:eastAsia="宋体" w:cs="宋体"/>
          <w:color w:val="auto"/>
          <w:spacing w:val="-2"/>
          <w:sz w:val="24"/>
          <w:szCs w:val="24"/>
          <w:highlight w:val="none"/>
          <w:lang w:eastAsia="zh-CN"/>
        </w:rPr>
        <w:t>)护理智力残疾对象时，注意观察和指导。避免因为理解障碍造成意外伤害。</w:t>
      </w:r>
    </w:p>
    <w:p w14:paraId="454BAD78">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3</w:t>
      </w:r>
      <w:r>
        <w:rPr>
          <w:rFonts w:hint="eastAsia" w:ascii="宋体" w:hAnsi="宋体" w:eastAsia="宋体" w:cs="宋体"/>
          <w:color w:val="auto"/>
          <w:spacing w:val="-2"/>
          <w:sz w:val="24"/>
          <w:szCs w:val="24"/>
          <w:highlight w:val="none"/>
          <w:lang w:eastAsia="zh-CN"/>
        </w:rPr>
        <w:t>)护理精神残疾对象时，注意安全保护和监护。</w:t>
      </w:r>
    </w:p>
    <w:p w14:paraId="25C2CA5A">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4</w:t>
      </w:r>
      <w:r>
        <w:rPr>
          <w:rFonts w:hint="eastAsia" w:ascii="宋体" w:hAnsi="宋体" w:eastAsia="宋体" w:cs="宋体"/>
          <w:color w:val="auto"/>
          <w:spacing w:val="-2"/>
          <w:sz w:val="24"/>
          <w:szCs w:val="24"/>
          <w:highlight w:val="none"/>
          <w:lang w:eastAsia="zh-CN"/>
        </w:rPr>
        <w:t>)协助有需要的服务对象进行户外活动。</w:t>
      </w:r>
    </w:p>
    <w:p w14:paraId="130E4CE7">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2、生活自理能力训练</w:t>
      </w:r>
    </w:p>
    <w:p w14:paraId="531DE70E">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(1)根据服务对象的需求和特点，制定适宜的培养与训练计划。</w:t>
      </w:r>
    </w:p>
    <w:p w14:paraId="10FA8542">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(2)指导服务对象进行基本生活自理活动训练，使其能够自行洗漱、如厕、穿衣、吃饭等。</w:t>
      </w:r>
    </w:p>
    <w:p w14:paraId="74FFB66E">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(3)指导服务对象学习简单家务和劳动，使其能够在协助和指导下完成煮饭、拣择蔬菜、整理床铺、洗衣服、打扫卫生等活动。</w:t>
      </w:r>
    </w:p>
    <w:p w14:paraId="2A7561EC">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(4)根据服务对象个体情况，设计适宜的训练课程。</w:t>
      </w:r>
    </w:p>
    <w:p w14:paraId="7D329592">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3、社会适应能力训练</w:t>
      </w:r>
    </w:p>
    <w:p w14:paraId="0319F4CC">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(1)参考《残疾人残疾分类和分级》国家标准中对智力和精神残疾人社会适应能力的描述和分级，为服务对象制定社会适应能力辅导。</w:t>
      </w:r>
    </w:p>
    <w:p w14:paraId="521197C1">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(2)以适当方式为服务对象普及简单的礼仪知识等基本社会行为准则和常识。</w:t>
      </w:r>
    </w:p>
    <w:p w14:paraId="6952C815">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(3)每次开展服务与服务对象的交流时间应不少于15分钟，为服务对象提供日常心理疏导和心理健康关爱服务。</w:t>
      </w:r>
    </w:p>
    <w:p w14:paraId="18DCED3B">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(4)可以根据实际情况在机构内开展适宜的文娱活动，有助于服务对象提升基本的人际交往能力和兴趣培养。</w:t>
      </w:r>
    </w:p>
    <w:p w14:paraId="27A614D4">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(5)指导服务对象在模拟超市、银行、医院、邮局、公共交通等简单社会场景中进行社会适应性训练，提高其参与社会生活的能力。</w:t>
      </w:r>
    </w:p>
    <w:p w14:paraId="4E892CD4">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4、职业康复与劳动技能训练</w:t>
      </w:r>
    </w:p>
    <w:p w14:paraId="391AD36A">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(1)服务机构应组织有需要的服务对象开展与其行为能力相适应的简单基本生产劳动，通过劳动帮助其活动肢体、锻炼大脑、集中注意力、协调手眼等。</w:t>
      </w:r>
    </w:p>
    <w:p w14:paraId="537985BE">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(2)服务机构在服务对象参与生产劳动之前，应根据个体实际情况对其进行必要的培训。</w:t>
      </w:r>
    </w:p>
    <w:p w14:paraId="72D53AD9">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(3)对有就业意愿的服务对象，根据实际情况开设专业的劳动技能培训课程，开发服务对象的职业能力。</w:t>
      </w:r>
    </w:p>
    <w:p w14:paraId="4829E03D">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(4)定期开展身体功能评估和劳动能力评估，适时对服务对象的职业适应性进行测评和评价，及时调整职业康复与劳动技能训练计划。</w:t>
      </w:r>
    </w:p>
    <w:p w14:paraId="723920C2">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5、运动功能训练</w:t>
      </w:r>
    </w:p>
    <w:p w14:paraId="203F91C3">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(1)为有需求的服务对象提供运动功能训练，指导其规范使用辅助器具，帮助其身体运动功能得到恢复或代偿。</w:t>
      </w:r>
    </w:p>
    <w:p w14:paraId="3ACA476F">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(2)定期对服务对象的监护人进行必要的简单技术培训，使其在机构服务之外也能够得到持续的运动功能训练。</w:t>
      </w:r>
    </w:p>
    <w:p w14:paraId="183008BE">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(3)根据服务对象的身体情况，开展运动功能评估，适时调整训练计划。</w:t>
      </w:r>
    </w:p>
    <w:p w14:paraId="53C2D542">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val="en-US" w:eastAsia="zh-CN"/>
        </w:rPr>
        <w:t>6</w:t>
      </w:r>
      <w:r>
        <w:rPr>
          <w:rFonts w:hint="eastAsia" w:ascii="宋体" w:hAnsi="宋体" w:eastAsia="宋体" w:cs="宋体"/>
          <w:color w:val="auto"/>
          <w:spacing w:val="-2"/>
          <w:sz w:val="24"/>
          <w:szCs w:val="24"/>
          <w:highlight w:val="none"/>
          <w:lang w:eastAsia="zh-CN"/>
        </w:rPr>
        <w:t>、其他服务内容</w:t>
      </w:r>
    </w:p>
    <w:p w14:paraId="61818EE0">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val="en-US" w:eastAsia="zh-CN"/>
        </w:rPr>
        <w:t>根据个性化制订独特的服务内容，照顾者培训服务，</w:t>
      </w:r>
      <w:r>
        <w:rPr>
          <w:rFonts w:hint="eastAsia" w:ascii="宋体" w:hAnsi="宋体" w:eastAsia="宋体" w:cs="宋体"/>
          <w:color w:val="auto"/>
          <w:spacing w:val="-2"/>
          <w:sz w:val="24"/>
          <w:szCs w:val="24"/>
          <w:highlight w:val="none"/>
          <w:lang w:eastAsia="zh-CN"/>
        </w:rPr>
        <w:t>家长或监护人心理疏导服务等。</w:t>
      </w:r>
    </w:p>
    <w:p w14:paraId="4A8789B9">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每月上门服务不少于1次，每次服务时长不低于30分钟，其他服务方式不少于12 次，每年服务总次数不少于24次，服务项目单价以上级有关政策为准。</w:t>
      </w:r>
    </w:p>
    <w:p w14:paraId="5513C2E1">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人员要求：</w:t>
      </w:r>
    </w:p>
    <w:p w14:paraId="527218A5">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配备与服务内容相适应的管理人员、专业人员和服务人员。</w:t>
      </w:r>
    </w:p>
    <w:p w14:paraId="227FC01A">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1、管理人员</w:t>
      </w:r>
    </w:p>
    <w:p w14:paraId="2CC4675B">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(1)从事过管理工作，具有社会工作类、社会福利类或康复类等相关学历或经历。</w:t>
      </w:r>
    </w:p>
    <w:p w14:paraId="62B7A484">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2</w:t>
      </w:r>
      <w:r>
        <w:rPr>
          <w:rFonts w:hint="eastAsia" w:ascii="宋体" w:hAnsi="宋体" w:eastAsia="宋体" w:cs="宋体"/>
          <w:color w:val="auto"/>
          <w:spacing w:val="-2"/>
          <w:sz w:val="24"/>
          <w:szCs w:val="24"/>
          <w:highlight w:val="none"/>
          <w:lang w:eastAsia="zh-CN"/>
        </w:rPr>
        <w:t>）每年参加</w:t>
      </w:r>
      <w:r>
        <w:rPr>
          <w:rFonts w:hint="eastAsia" w:ascii="宋体" w:hAnsi="宋体" w:eastAsia="宋体" w:cs="宋体"/>
          <w:color w:val="auto"/>
          <w:spacing w:val="-2"/>
          <w:sz w:val="24"/>
          <w:szCs w:val="24"/>
          <w:highlight w:val="none"/>
          <w:lang w:val="en-US" w:eastAsia="zh-CN"/>
        </w:rPr>
        <w:t>1次以上的残疾人托养服务管理的相关专业培训。</w:t>
      </w:r>
    </w:p>
    <w:p w14:paraId="1E41273F">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2、专业技术人员</w:t>
      </w:r>
    </w:p>
    <w:p w14:paraId="11B509C3">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(1)配备不少于3名专职人员，持有与岗位相适应的有效的职业资格证书、职业水平能力证明或接受过相应专业技能培训。</w:t>
      </w:r>
    </w:p>
    <w:p w14:paraId="5BBC2C65">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(2)遵纪守法，具有从事社会工作的职业素养。</w:t>
      </w:r>
    </w:p>
    <w:p w14:paraId="28A7F3AD">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3</w:t>
      </w:r>
      <w:r>
        <w:rPr>
          <w:rFonts w:hint="eastAsia" w:ascii="宋体" w:hAnsi="宋体" w:eastAsia="宋体" w:cs="宋体"/>
          <w:color w:val="auto"/>
          <w:spacing w:val="-2"/>
          <w:sz w:val="24"/>
          <w:szCs w:val="24"/>
          <w:highlight w:val="none"/>
          <w:lang w:eastAsia="zh-CN"/>
        </w:rPr>
        <w:t>)每年参加符合有关专业规范要求的业务学习或专业培训。</w:t>
      </w:r>
    </w:p>
    <w:p w14:paraId="7E6174A0">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3、服务人员</w:t>
      </w:r>
    </w:p>
    <w:p w14:paraId="446C6501">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(1)根据服务对象需求配备适宜的服务人员。</w:t>
      </w:r>
    </w:p>
    <w:p w14:paraId="3DDFD735">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2</w:t>
      </w:r>
      <w:r>
        <w:rPr>
          <w:rFonts w:hint="eastAsia" w:ascii="宋体" w:hAnsi="宋体" w:eastAsia="宋体" w:cs="宋体"/>
          <w:color w:val="auto"/>
          <w:spacing w:val="-2"/>
          <w:sz w:val="24"/>
          <w:szCs w:val="24"/>
          <w:highlight w:val="none"/>
          <w:lang w:eastAsia="zh-CN"/>
        </w:rPr>
        <w:t>)服务人员提供服务时统一着装，挂胸牌。</w:t>
      </w:r>
    </w:p>
    <w:p w14:paraId="40E46932">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3</w:t>
      </w:r>
      <w:r>
        <w:rPr>
          <w:rFonts w:hint="eastAsia" w:ascii="宋体" w:hAnsi="宋体" w:eastAsia="宋体" w:cs="宋体"/>
          <w:color w:val="auto"/>
          <w:spacing w:val="-2"/>
          <w:sz w:val="24"/>
          <w:szCs w:val="24"/>
          <w:highlight w:val="none"/>
          <w:lang w:eastAsia="zh-CN"/>
        </w:rPr>
        <w:t>)服务机构对所有的从业人员每年提供至少</w:t>
      </w:r>
      <w:r>
        <w:rPr>
          <w:rFonts w:hint="eastAsia" w:ascii="宋体" w:hAnsi="宋体" w:eastAsia="宋体" w:cs="宋体"/>
          <w:color w:val="auto"/>
          <w:spacing w:val="-2"/>
          <w:sz w:val="24"/>
          <w:szCs w:val="24"/>
          <w:highlight w:val="none"/>
          <w:lang w:val="en-US" w:eastAsia="zh-CN"/>
        </w:rPr>
        <w:t>2次</w:t>
      </w:r>
      <w:r>
        <w:rPr>
          <w:rFonts w:hint="eastAsia" w:ascii="宋体" w:hAnsi="宋体" w:eastAsia="宋体" w:cs="宋体"/>
          <w:color w:val="auto"/>
          <w:spacing w:val="-2"/>
          <w:sz w:val="24"/>
          <w:szCs w:val="24"/>
          <w:highlight w:val="none"/>
          <w:lang w:eastAsia="zh-CN"/>
        </w:rPr>
        <w:t>业务培训活动。</w:t>
      </w:r>
    </w:p>
    <w:p w14:paraId="5FDBD6C6">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4、服务车辆</w:t>
      </w:r>
    </w:p>
    <w:p w14:paraId="1D97C433">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为确保及时、高效为服务对象提供上门及应急服务，服务机构须为本项目配备不少于1辆专门用于本项目服务的专用车辆，车辆须保持车况良好、运行正常，满足日常上门服务、应急处置和巡查走访等工作需要，服务期间不得随意挪作他用。</w:t>
      </w:r>
    </w:p>
    <w:p w14:paraId="1B0FCB2B">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color w:val="auto"/>
          <w:highlight w:val="none"/>
        </w:rPr>
      </w:pPr>
      <w:r>
        <w:rPr>
          <w:rFonts w:hint="eastAsia" w:ascii="宋体" w:hAnsi="宋体" w:eastAsia="宋体" w:cs="宋体"/>
          <w:color w:val="auto"/>
          <w:spacing w:val="-2"/>
          <w:sz w:val="24"/>
          <w:szCs w:val="24"/>
          <w:highlight w:val="none"/>
          <w:lang w:val="en-US" w:eastAsia="zh-CN"/>
        </w:rPr>
        <w:t>佐证：投标单位提供车辆行驶证（如车辆为租赁车辆则提供车辆行驶证及车辆租赁合同）彩色扫描件并加盖投标单位公章，不提供不得分。</w:t>
      </w:r>
    </w:p>
    <w:p w14:paraId="48D7B8A7">
      <w:pPr>
        <w:pageBreakBefore w:val="0"/>
        <w:widowControl w:val="0"/>
        <w:numPr>
          <w:ilvl w:val="0"/>
          <w:numId w:val="1"/>
        </w:numPr>
        <w:wordWrap/>
        <w:overflowPunct/>
        <w:topLinePunct w:val="0"/>
        <w:bidi w:val="0"/>
        <w:spacing w:before="78" w:line="219" w:lineRule="auto"/>
        <w:rPr>
          <w:rFonts w:ascii="宋体" w:hAnsi="宋体" w:eastAsia="宋体" w:cs="宋体"/>
          <w:b/>
          <w:bCs/>
          <w:color w:val="auto"/>
          <w:spacing w:val="-6"/>
          <w:sz w:val="24"/>
          <w:szCs w:val="24"/>
          <w:highlight w:val="none"/>
          <w:lang w:eastAsia="zh-CN"/>
        </w:rPr>
      </w:pPr>
      <w:r>
        <w:rPr>
          <w:rFonts w:ascii="宋体" w:hAnsi="宋体" w:eastAsia="宋体" w:cs="宋体"/>
          <w:b/>
          <w:bCs/>
          <w:color w:val="auto"/>
          <w:spacing w:val="-6"/>
          <w:sz w:val="24"/>
          <w:szCs w:val="24"/>
          <w:highlight w:val="none"/>
          <w:lang w:eastAsia="zh-CN"/>
        </w:rPr>
        <w:t>商务条件</w:t>
      </w:r>
    </w:p>
    <w:p w14:paraId="0B80605C">
      <w:pPr>
        <w:pageBreakBefore w:val="0"/>
        <w:widowControl w:val="0"/>
        <w:numPr>
          <w:ilvl w:val="0"/>
          <w:numId w:val="0"/>
        </w:numPr>
        <w:wordWrap/>
        <w:overflowPunct/>
        <w:topLinePunct w:val="0"/>
        <w:bidi w:val="0"/>
        <w:spacing w:before="78" w:line="219" w:lineRule="auto"/>
        <w:rPr>
          <w:rFonts w:hint="eastAsia" w:ascii="宋体" w:hAnsi="宋体" w:eastAsia="宋体" w:cs="宋体"/>
          <w:color w:val="auto"/>
          <w:spacing w:val="-6"/>
          <w:sz w:val="24"/>
          <w:szCs w:val="24"/>
          <w:highlight w:val="none"/>
          <w:lang w:val="en-US" w:eastAsia="zh-CN"/>
        </w:rPr>
      </w:pPr>
    </w:p>
    <w:p w14:paraId="1161A2E4">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zh-CN" w:eastAsia="zh-CN"/>
        </w:rPr>
      </w:pPr>
      <w:r>
        <w:rPr>
          <w:rFonts w:hint="eastAsia" w:ascii="宋体" w:hAnsi="宋体" w:eastAsia="宋体" w:cs="宋体"/>
          <w:color w:val="auto"/>
          <w:spacing w:val="-2"/>
          <w:sz w:val="24"/>
          <w:szCs w:val="24"/>
          <w:highlight w:val="none"/>
          <w:lang w:val="zh-CN" w:eastAsia="zh-CN"/>
        </w:rPr>
        <w:t>1、服务期限：协议签定之日起一年内对持有中华人民共和国第二代残疾人证的且在就业年龄段内（</w:t>
      </w:r>
      <w:r>
        <w:rPr>
          <w:rFonts w:hint="eastAsia" w:ascii="宋体" w:hAnsi="宋体" w:eastAsia="宋体" w:cs="宋体"/>
          <w:color w:val="auto"/>
          <w:spacing w:val="-2"/>
          <w:sz w:val="24"/>
          <w:szCs w:val="24"/>
          <w:highlight w:val="none"/>
          <w:lang w:val="en-US" w:eastAsia="zh-CN"/>
        </w:rPr>
        <w:t>16</w:t>
      </w:r>
      <w:r>
        <w:rPr>
          <w:rFonts w:hint="eastAsia" w:ascii="宋体" w:hAnsi="宋体" w:eastAsia="宋体" w:cs="宋体"/>
          <w:color w:val="auto"/>
          <w:spacing w:val="-2"/>
          <w:sz w:val="24"/>
          <w:szCs w:val="24"/>
          <w:highlight w:val="none"/>
          <w:lang w:val="zh-CN" w:eastAsia="zh-CN"/>
        </w:rPr>
        <w:t>周岁至法定退休年龄）的智力、精神及重度肢体残疾人居家托养服务项目进行服务。</w:t>
      </w:r>
    </w:p>
    <w:p w14:paraId="55880085">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zh-CN" w:eastAsia="zh-CN"/>
        </w:rPr>
      </w:pPr>
      <w:r>
        <w:rPr>
          <w:rFonts w:hint="eastAsia" w:ascii="宋体" w:hAnsi="宋体" w:eastAsia="宋体" w:cs="宋体"/>
          <w:color w:val="auto"/>
          <w:spacing w:val="-2"/>
          <w:sz w:val="24"/>
          <w:szCs w:val="24"/>
          <w:highlight w:val="none"/>
          <w:lang w:val="zh-CN" w:eastAsia="zh-CN"/>
        </w:rPr>
        <w:t>2、服务地点：乐安县县城内。</w:t>
      </w:r>
    </w:p>
    <w:p w14:paraId="06512837">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zh-CN" w:eastAsia="zh-CN"/>
        </w:rPr>
      </w:pPr>
      <w:r>
        <w:rPr>
          <w:rFonts w:hint="eastAsia" w:ascii="宋体" w:hAnsi="宋体" w:eastAsia="宋体" w:cs="宋体"/>
          <w:color w:val="auto"/>
          <w:spacing w:val="-2"/>
          <w:sz w:val="24"/>
          <w:szCs w:val="24"/>
          <w:highlight w:val="none"/>
          <w:lang w:val="en-US" w:eastAsia="zh-CN"/>
        </w:rPr>
        <w:t>3</w:t>
      </w:r>
      <w:r>
        <w:rPr>
          <w:rFonts w:hint="eastAsia" w:ascii="宋体" w:hAnsi="宋体" w:eastAsia="宋体" w:cs="宋体"/>
          <w:color w:val="auto"/>
          <w:spacing w:val="-2"/>
          <w:sz w:val="24"/>
          <w:szCs w:val="24"/>
          <w:highlight w:val="none"/>
          <w:lang w:val="zh-CN" w:eastAsia="zh-CN"/>
        </w:rPr>
        <w:t>、服务机构须在项目地设立服务机构，能更好地服务残疾人。</w:t>
      </w:r>
    </w:p>
    <w:p w14:paraId="31433F25">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zh-CN" w:eastAsia="zh-CN"/>
        </w:rPr>
      </w:pPr>
      <w:r>
        <w:rPr>
          <w:rFonts w:hint="eastAsia" w:ascii="宋体" w:hAnsi="宋体" w:eastAsia="宋体" w:cs="宋体"/>
          <w:color w:val="auto"/>
          <w:spacing w:val="-2"/>
          <w:sz w:val="24"/>
          <w:szCs w:val="24"/>
          <w:highlight w:val="none"/>
          <w:lang w:val="en-US" w:eastAsia="zh-CN"/>
        </w:rPr>
        <w:t>4</w:t>
      </w:r>
      <w:r>
        <w:rPr>
          <w:rFonts w:hint="eastAsia" w:ascii="宋体" w:hAnsi="宋体" w:eastAsia="宋体" w:cs="宋体"/>
          <w:color w:val="auto"/>
          <w:spacing w:val="-2"/>
          <w:sz w:val="24"/>
          <w:szCs w:val="24"/>
          <w:highlight w:val="none"/>
          <w:lang w:val="zh-CN" w:eastAsia="zh-CN"/>
        </w:rPr>
        <w:t>、考核与验收：</w:t>
      </w:r>
    </w:p>
    <w:p w14:paraId="7B643441">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zh-CN" w:eastAsia="zh-CN"/>
        </w:rPr>
      </w:pPr>
      <w:r>
        <w:rPr>
          <w:rFonts w:hint="eastAsia" w:ascii="宋体" w:hAnsi="宋体" w:eastAsia="宋体" w:cs="宋体"/>
          <w:color w:val="auto"/>
          <w:spacing w:val="-2"/>
          <w:sz w:val="24"/>
          <w:szCs w:val="24"/>
          <w:highlight w:val="none"/>
          <w:lang w:val="zh-CN" w:eastAsia="zh-CN"/>
        </w:rPr>
        <w:t>（1）考核：由</w:t>
      </w:r>
      <w:r>
        <w:rPr>
          <w:rFonts w:hint="eastAsia" w:ascii="宋体" w:hAnsi="宋体" w:eastAsia="宋体" w:cs="宋体"/>
          <w:color w:val="auto"/>
          <w:spacing w:val="-2"/>
          <w:sz w:val="24"/>
          <w:szCs w:val="24"/>
          <w:highlight w:val="none"/>
          <w:lang w:val="en-US" w:eastAsia="zh-CN"/>
        </w:rPr>
        <w:t>乐安县残联</w:t>
      </w:r>
      <w:r>
        <w:rPr>
          <w:rFonts w:hint="eastAsia" w:ascii="宋体" w:hAnsi="宋体" w:eastAsia="宋体" w:cs="宋体"/>
          <w:color w:val="auto"/>
          <w:spacing w:val="-2"/>
          <w:sz w:val="24"/>
          <w:szCs w:val="24"/>
          <w:highlight w:val="none"/>
          <w:lang w:val="zh-CN" w:eastAsia="zh-CN"/>
        </w:rPr>
        <w:t>进行考核，考核方式采取满意度调查、现场评估、自查报告等。满意度调查每半年一次，现场评估以核查材料、实地检查、服务对象问卷调查、自查报告为依据进行综合评价。自查报告每季度一次，应包含家属或监护人所提意见、建议及整改情况。考核结果设定“好、一般、差”三个等次，作为资金支付重要依据，由乐安县残联提出具体措施。考核结果为“一般”的服务机构，下达限期整改通知单；对于考核结果为“差”的服务机构，责令服务机构加强整改，整改不到位的解除服务协议。</w:t>
      </w:r>
    </w:p>
    <w:p w14:paraId="11A78133">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zh-CN" w:eastAsia="zh-CN"/>
        </w:rPr>
      </w:pPr>
      <w:r>
        <w:rPr>
          <w:rFonts w:hint="eastAsia" w:ascii="宋体" w:hAnsi="宋体" w:eastAsia="宋体" w:cs="宋体"/>
          <w:color w:val="auto"/>
          <w:spacing w:val="-2"/>
          <w:sz w:val="24"/>
          <w:szCs w:val="24"/>
          <w:highlight w:val="none"/>
          <w:lang w:val="zh-CN" w:eastAsia="zh-CN"/>
        </w:rPr>
        <w:t>（2）验收：项目完成后，以服务期间每个月的考核材料及服务期结束后的综合考核作为最终验收的依据。</w:t>
      </w:r>
    </w:p>
    <w:p w14:paraId="4CA9BE3C">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5</w:t>
      </w:r>
      <w:r>
        <w:rPr>
          <w:rFonts w:hint="eastAsia" w:ascii="宋体" w:hAnsi="宋体" w:eastAsia="宋体" w:cs="宋体"/>
          <w:color w:val="auto"/>
          <w:spacing w:val="-2"/>
          <w:sz w:val="24"/>
          <w:szCs w:val="24"/>
          <w:highlight w:val="none"/>
          <w:lang w:val="zh-CN" w:eastAsia="zh-CN"/>
        </w:rPr>
        <w:t>、付款方式：</w:t>
      </w:r>
      <w:r>
        <w:rPr>
          <w:rFonts w:hint="eastAsia" w:ascii="宋体" w:hAnsi="宋体" w:eastAsia="宋体" w:cs="宋体"/>
          <w:color w:val="auto"/>
          <w:spacing w:val="-2"/>
          <w:sz w:val="24"/>
          <w:szCs w:val="24"/>
          <w:highlight w:val="none"/>
          <w:lang w:val="en-US" w:eastAsia="zh-CN"/>
        </w:rPr>
        <w:t>本项目服务费具体以中标方在服务期限内的实际服务人数*月数*中标单价据实结算。半年度考核验收合格后拨付当年服务费的40%, 年度考核验收合格后拨付当年剩余的服务费。</w:t>
      </w:r>
    </w:p>
    <w:p w14:paraId="006369FF">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6、本项目为延续性服务，如考核优秀的服务机构，采用1+1模式，总期限不超过2年，期满考核合格、预算落实且内容无实质性变更的，续签合同不再另行招标。</w:t>
      </w:r>
    </w:p>
    <w:p w14:paraId="291B2F14">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zh-CN" w:eastAsia="zh-CN"/>
        </w:rPr>
      </w:pPr>
      <w:r>
        <w:rPr>
          <w:rFonts w:hint="eastAsia" w:ascii="宋体" w:hAnsi="宋体" w:eastAsia="宋体" w:cs="宋体"/>
          <w:color w:val="auto"/>
          <w:spacing w:val="-2"/>
          <w:sz w:val="24"/>
          <w:szCs w:val="24"/>
          <w:highlight w:val="none"/>
          <w:lang w:val="en-US" w:eastAsia="zh-CN"/>
        </w:rPr>
        <w:t>7</w:t>
      </w:r>
      <w:r>
        <w:rPr>
          <w:rFonts w:hint="eastAsia" w:ascii="宋体" w:hAnsi="宋体" w:eastAsia="宋体" w:cs="宋体"/>
          <w:color w:val="auto"/>
          <w:spacing w:val="-2"/>
          <w:sz w:val="24"/>
          <w:szCs w:val="24"/>
          <w:highlight w:val="none"/>
          <w:lang w:val="zh-CN" w:eastAsia="zh-CN"/>
        </w:rPr>
        <w:t>、履约须知：</w:t>
      </w:r>
    </w:p>
    <w:p w14:paraId="79BB56B2">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zh-CN" w:eastAsia="zh-CN"/>
        </w:rPr>
      </w:pPr>
      <w:r>
        <w:rPr>
          <w:rFonts w:hint="eastAsia" w:ascii="宋体" w:hAnsi="宋体" w:eastAsia="宋体" w:cs="宋体"/>
          <w:color w:val="auto"/>
          <w:spacing w:val="-2"/>
          <w:sz w:val="24"/>
          <w:szCs w:val="24"/>
          <w:highlight w:val="none"/>
          <w:lang w:val="zh-CN" w:eastAsia="zh-CN"/>
        </w:rPr>
        <w:t>（1）服务机构如出现连续2个月未完成服务要求、因工作疏忽造成严重后果、擅自转包分包等情形之一的，乐安</w:t>
      </w:r>
      <w:r>
        <w:rPr>
          <w:rFonts w:hint="eastAsia" w:ascii="宋体" w:hAnsi="宋体" w:eastAsia="宋体" w:cs="宋体"/>
          <w:color w:val="auto"/>
          <w:spacing w:val="-2"/>
          <w:sz w:val="24"/>
          <w:szCs w:val="24"/>
          <w:highlight w:val="none"/>
          <w:lang w:val="en-US" w:eastAsia="zh-CN"/>
        </w:rPr>
        <w:t>县残联</w:t>
      </w:r>
      <w:r>
        <w:rPr>
          <w:rFonts w:hint="eastAsia" w:ascii="宋体" w:hAnsi="宋体" w:eastAsia="宋体" w:cs="宋体"/>
          <w:color w:val="auto"/>
          <w:spacing w:val="-2"/>
          <w:sz w:val="24"/>
          <w:szCs w:val="24"/>
          <w:highlight w:val="none"/>
          <w:lang w:val="zh-CN" w:eastAsia="zh-CN"/>
        </w:rPr>
        <w:t>有权单方面解除协议。</w:t>
      </w:r>
    </w:p>
    <w:p w14:paraId="7244E12D">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zh-CN" w:eastAsia="zh-CN"/>
        </w:rPr>
      </w:pPr>
      <w:r>
        <w:rPr>
          <w:rFonts w:hint="eastAsia" w:ascii="宋体" w:hAnsi="宋体" w:eastAsia="宋体" w:cs="宋体"/>
          <w:color w:val="auto"/>
          <w:spacing w:val="-2"/>
          <w:sz w:val="24"/>
          <w:szCs w:val="24"/>
          <w:highlight w:val="none"/>
          <w:lang w:val="zh-CN" w:eastAsia="zh-CN"/>
        </w:rPr>
        <w:t>（2）服务机构负责项目运行过程中的安全因素，因服务机构方原因造成的安全事故由服务机构自行承担责任。</w:t>
      </w:r>
    </w:p>
    <w:p w14:paraId="6074CC52">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zh-CN" w:eastAsia="zh-CN"/>
        </w:rPr>
        <w:t>（</w:t>
      </w:r>
      <w:r>
        <w:rPr>
          <w:rFonts w:hint="eastAsia" w:ascii="宋体" w:hAnsi="宋体" w:eastAsia="宋体" w:cs="宋体"/>
          <w:color w:val="auto"/>
          <w:spacing w:val="-2"/>
          <w:sz w:val="24"/>
          <w:szCs w:val="24"/>
          <w:highlight w:val="none"/>
          <w:lang w:val="en-US" w:eastAsia="zh-CN"/>
        </w:rPr>
        <w:t>3</w:t>
      </w:r>
      <w:r>
        <w:rPr>
          <w:rFonts w:hint="eastAsia" w:ascii="宋体" w:hAnsi="宋体" w:eastAsia="宋体" w:cs="宋体"/>
          <w:color w:val="auto"/>
          <w:spacing w:val="-2"/>
          <w:sz w:val="24"/>
          <w:szCs w:val="24"/>
          <w:highlight w:val="none"/>
          <w:lang w:val="zh-CN" w:eastAsia="zh-CN"/>
        </w:rPr>
        <w:t>）乐安县残联具体行使对服务机构的监督管理职责，有权要求服务机构在本协议规定接收残疾人入托，并提供规范、良好的居家托养服务；有权根据需要审查补贴资金的实际使用情况；如果乐安县残联认为有必要，可以委托审计部门或第三方对补贴资金使用情况进行审计。</w:t>
      </w:r>
    </w:p>
    <w:p w14:paraId="0FF590F9"/>
    <w:sectPr>
      <w:pgSz w:w="11906" w:h="16838"/>
      <w:pgMar w:top="1191" w:right="1191" w:bottom="1191" w:left="1191"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B9B187"/>
    <w:multiLevelType w:val="singleLevel"/>
    <w:tmpl w:val="CEB9B187"/>
    <w:lvl w:ilvl="0" w:tentative="0">
      <w:start w:val="2"/>
      <w:numFmt w:val="chineseCounting"/>
      <w:suff w:val="space"/>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B15445D"/>
    <w:rsid w:val="1B1544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2026-05-18T12:55:00Z</dcterms:created>
  <dc:creator>杨志平</dc:creator>
  <cp:lastModifiedBy>杨志平</cp:lastModifiedBy>
  <dcterms:modified xsi:type="dcterms:W3CDTF">2026-05-18T12:55:34Z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3C60EBBEE1B644C9ADCC264C880F5EF7_11</vt:lpwstr>
  </property>
  <property fmtid="{D5CDD505-2E9C-101B-9397-08002B2CF9AE}" pid="4" name="KSOTemplateDocerSaveRecord">
    <vt:lpwstr>eyJoZGlkIjoiZTUwZjFhNTYwMmQ2MjI0MDVmNWRhMDcxN2FmOGM4MDYiLCJ1c2VySWQiOiIxOTEzMzAzNSJ9</vt:lpwstr>
  </property>
</Properties>
</file>