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32F8A6">
      <w:pPr>
        <w:pageBreakBefore w:val="0"/>
        <w:widowControl w:val="0"/>
        <w:numPr>
          <w:ilvl w:val="0"/>
          <w:numId w:val="0"/>
        </w:numPr>
        <w:wordWrap/>
        <w:overflowPunct/>
        <w:topLinePunct w:val="0"/>
        <w:bidi w:val="0"/>
        <w:spacing w:before="78" w:after="315" w:afterLines="100" w:afterAutospacing="0" w:line="220" w:lineRule="auto"/>
        <w:ind w:firstLine="3672" w:firstLineChars="1700"/>
        <w:jc w:val="both"/>
        <w:outlineLvl w:val="1"/>
        <w:rPr>
          <w:sz w:val="22"/>
          <w:szCs w:val="22"/>
        </w:rPr>
      </w:pPr>
      <w:r>
        <w:rPr>
          <w:rFonts w:hint="eastAsia"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2"/>
          <w:szCs w:val="22"/>
          <w:highlight w:val="none"/>
          <w14:textOutline w14:w="4356" w14:cap="sq" w14:cmpd="sng" w14:algn="ctr">
            <w14:solidFill>
              <w14:srgbClr w14:val="000000"/>
            </w14:solidFill>
            <w14:prstDash w14:val="solid"/>
            <w14:bevel/>
          </w14:textOutline>
        </w:rPr>
        <w:t>采购需求一览表</w:t>
      </w:r>
    </w:p>
    <w:tbl>
      <w:tblPr>
        <w:tblStyle w:val="5"/>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6DB0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24FFFF17">
            <w:pPr>
              <w:spacing w:beforeAutospacing="0" w:line="360" w:lineRule="auto"/>
              <w:ind w:firstLine="465"/>
              <w:rPr>
                <w:rFonts w:asciiTheme="minorEastAsia" w:hAnsiTheme="minorEastAsia" w:eastAsiaTheme="minorEastAsia" w:cstheme="minorEastAsia"/>
                <w:color w:val="auto"/>
                <w:sz w:val="22"/>
                <w:szCs w:val="22"/>
                <w:highlight w:val="none"/>
              </w:rPr>
            </w:pPr>
          </w:p>
          <w:p w14:paraId="0D862E1D">
            <w:pPr>
              <w:spacing w:line="360" w:lineRule="auto"/>
              <w:ind w:firstLine="1192" w:firstLineChars="542"/>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采购名称</w:t>
            </w:r>
          </w:p>
          <w:p w14:paraId="6B54C1A3">
            <w:pPr>
              <w:spacing w:line="360" w:lineRule="auto"/>
              <w:ind w:firstLine="465"/>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内容</w:t>
            </w:r>
          </w:p>
        </w:tc>
        <w:tc>
          <w:tcPr>
            <w:tcW w:w="6368" w:type="dxa"/>
            <w:tcBorders>
              <w:top w:val="single" w:color="auto" w:sz="4" w:space="0"/>
              <w:right w:val="single" w:color="auto" w:sz="4" w:space="0"/>
            </w:tcBorders>
            <w:vAlign w:val="center"/>
          </w:tcPr>
          <w:p w14:paraId="70D7D52C">
            <w:pPr>
              <w:spacing w:line="900" w:lineRule="exact"/>
              <w:ind w:firstLine="1100" w:firstLineChars="5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详见“第一章谈判邀请”</w:t>
            </w:r>
          </w:p>
        </w:tc>
      </w:tr>
      <w:tr w14:paraId="2DEA9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1638EDC3">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数量</w:t>
            </w:r>
          </w:p>
        </w:tc>
        <w:tc>
          <w:tcPr>
            <w:tcW w:w="6368" w:type="dxa"/>
            <w:tcBorders>
              <w:right w:val="single" w:color="auto" w:sz="4" w:space="0"/>
            </w:tcBorders>
            <w:vAlign w:val="center"/>
          </w:tcPr>
          <w:p w14:paraId="7254A659">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详见第五章中的“采购要求”</w:t>
            </w:r>
          </w:p>
        </w:tc>
      </w:tr>
      <w:tr w14:paraId="5B6FF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111DA7E3">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交货期（工期）</w:t>
            </w:r>
          </w:p>
        </w:tc>
        <w:tc>
          <w:tcPr>
            <w:tcW w:w="6368" w:type="dxa"/>
            <w:tcBorders>
              <w:right w:val="single" w:color="auto" w:sz="4" w:space="0"/>
            </w:tcBorders>
            <w:vAlign w:val="center"/>
          </w:tcPr>
          <w:p w14:paraId="01034545">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详见第五章中的“商务条款”</w:t>
            </w:r>
          </w:p>
        </w:tc>
      </w:tr>
      <w:tr w14:paraId="5836F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34605AD5">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交货地点</w:t>
            </w:r>
          </w:p>
        </w:tc>
        <w:tc>
          <w:tcPr>
            <w:tcW w:w="6368" w:type="dxa"/>
            <w:tcBorders>
              <w:right w:val="single" w:color="auto" w:sz="4" w:space="0"/>
            </w:tcBorders>
            <w:vAlign w:val="center"/>
          </w:tcPr>
          <w:p w14:paraId="0912F6F4">
            <w:pPr>
              <w:spacing w:line="440" w:lineRule="exact"/>
              <w:ind w:left="480" w:hanging="440" w:hangingChars="200"/>
              <w:jc w:val="center"/>
              <w:rPr>
                <w:rFonts w:asciiTheme="minorEastAsia" w:hAnsiTheme="minorEastAsia" w:eastAsiaTheme="minorEastAsia" w:cstheme="minorEastAsia"/>
                <w:bCs/>
                <w:color w:val="auto"/>
                <w:sz w:val="22"/>
                <w:szCs w:val="22"/>
                <w:highlight w:val="none"/>
              </w:rPr>
            </w:pPr>
            <w:r>
              <w:rPr>
                <w:rFonts w:hint="eastAsia" w:asciiTheme="minorEastAsia" w:hAnsiTheme="minorEastAsia" w:eastAsiaTheme="minorEastAsia" w:cstheme="minorEastAsia"/>
                <w:color w:val="auto"/>
                <w:sz w:val="22"/>
                <w:szCs w:val="22"/>
                <w:highlight w:val="none"/>
              </w:rPr>
              <w:t>详见第五章中的“商务条款”</w:t>
            </w:r>
          </w:p>
        </w:tc>
      </w:tr>
      <w:tr w14:paraId="2DE58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119EF40F">
            <w:pPr>
              <w:spacing w:line="900" w:lineRule="exact"/>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备注</w:t>
            </w:r>
          </w:p>
        </w:tc>
        <w:tc>
          <w:tcPr>
            <w:tcW w:w="6368" w:type="dxa"/>
            <w:tcBorders>
              <w:bottom w:val="single" w:color="auto" w:sz="4" w:space="0"/>
              <w:right w:val="single" w:color="auto" w:sz="4" w:space="0"/>
            </w:tcBorders>
            <w:vAlign w:val="center"/>
          </w:tcPr>
          <w:p w14:paraId="2A8BB14B">
            <w:pPr>
              <w:spacing w:line="440" w:lineRule="exact"/>
              <w:ind w:left="216" w:leftChars="103" w:firstLine="385" w:firstLineChars="175"/>
              <w:jc w:val="center"/>
              <w:rPr>
                <w:rFonts w:asciiTheme="minorEastAsia" w:hAnsiTheme="minorEastAsia" w:eastAsiaTheme="minorEastAsia" w:cstheme="minorEastAsia"/>
                <w:b/>
                <w:bCs/>
                <w:color w:val="auto"/>
                <w:sz w:val="22"/>
                <w:szCs w:val="22"/>
                <w:highlight w:val="none"/>
              </w:rPr>
            </w:pPr>
            <w:r>
              <w:rPr>
                <w:rFonts w:hint="eastAsia" w:asciiTheme="minorEastAsia" w:hAnsiTheme="minorEastAsia" w:eastAsiaTheme="minorEastAsia" w:cstheme="minorEastAsia"/>
                <w:color w:val="auto"/>
                <w:sz w:val="22"/>
                <w:szCs w:val="22"/>
                <w:highlight w:val="none"/>
              </w:rPr>
              <w:t>谈判报价包含谈判文件所约定的范围内全部内容价格体现的“交钥匙工程”。谈判报价包括但不限于施工机械、劳务、材料(包括采购人选定的材料供应商所供材料的运输、到现场的卸力及采购保管费用等)、临时设施(包括场地内施工用水、电及场内施工道路等)、余土外运、垃圾清运至政府指定位置（含结构拆除等建筑垃圾）、缺陷修补、利润、保险、税金等各项直接、间接费用等完成本项目所需的一切相关费用。</w:t>
            </w:r>
          </w:p>
        </w:tc>
      </w:tr>
    </w:tbl>
    <w:p w14:paraId="36C080AD">
      <w:pPr>
        <w:jc w:val="center"/>
        <w:rPr>
          <w:rFonts w:hint="eastAsia" w:asciiTheme="minorEastAsia" w:hAnsiTheme="minorEastAsia" w:eastAsiaTheme="minorEastAsia" w:cstheme="minorEastAsia"/>
          <w:color w:val="auto"/>
          <w:spacing w:val="-6"/>
          <w:sz w:val="22"/>
          <w:szCs w:val="22"/>
          <w:highlight w:val="none"/>
          <w:lang w:eastAsia="zh-CN"/>
        </w:rPr>
      </w:pPr>
    </w:p>
    <w:p w14:paraId="66AAC62B">
      <w:pPr>
        <w:pStyle w:val="2"/>
        <w:rPr>
          <w:rFonts w:hint="eastAsia"/>
          <w:color w:val="auto"/>
          <w:sz w:val="22"/>
          <w:szCs w:val="22"/>
          <w:highlight w:val="none"/>
          <w:lang w:eastAsia="zh-CN"/>
        </w:rPr>
      </w:pPr>
    </w:p>
    <w:p w14:paraId="3CA80DA7">
      <w:pPr>
        <w:jc w:val="center"/>
        <w:rPr>
          <w:rFonts w:asciiTheme="minorEastAsia" w:hAnsiTheme="minorEastAsia" w:eastAsiaTheme="minorEastAsia" w:cstheme="minorEastAsia"/>
          <w:color w:val="auto"/>
          <w:spacing w:val="-6"/>
          <w:sz w:val="22"/>
          <w:szCs w:val="22"/>
          <w:highlight w:val="none"/>
        </w:rPr>
        <w:sectPr>
          <w:footerReference r:id="rId3" w:type="default"/>
          <w:pgSz w:w="11906" w:h="16838"/>
          <w:pgMar w:top="1440" w:right="1028" w:bottom="1440" w:left="1418" w:header="851" w:footer="851" w:gutter="0"/>
          <w:pgNumType w:fmt="decimal"/>
          <w:cols w:space="425" w:num="1"/>
          <w:docGrid w:linePitch="312" w:charSpace="0"/>
        </w:sectPr>
      </w:pPr>
    </w:p>
    <w:p w14:paraId="1E2C38E8">
      <w:pPr>
        <w:pageBreakBefore w:val="0"/>
        <w:widowControl w:val="0"/>
        <w:numPr>
          <w:ilvl w:val="0"/>
          <w:numId w:val="0"/>
        </w:numPr>
        <w:wordWrap/>
        <w:overflowPunct/>
        <w:topLinePunct w:val="0"/>
        <w:bidi w:val="0"/>
        <w:spacing w:before="78" w:after="315" w:afterLines="100" w:afterAutospacing="0" w:line="220" w:lineRule="auto"/>
        <w:ind w:firstLine="2592" w:firstLineChars="1200"/>
        <w:jc w:val="both"/>
        <w:outlineLvl w:val="1"/>
        <w:rPr>
          <w:rFonts w:hint="eastAsia"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pPr>
      <w:bookmarkStart w:id="0" w:name="_Toc507597381"/>
      <w:r>
        <w:rPr>
          <w:rFonts w:hint="eastAsia"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t>二、</w:t>
      </w:r>
      <w:bookmarkEnd w:id="0"/>
      <w:bookmarkStart w:id="1" w:name="bookmark82"/>
      <w:bookmarkEnd w:id="1"/>
      <w:r>
        <w:rPr>
          <w:rFonts w:hint="eastAsia"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t>采购要求、技术规格（工程需求）</w:t>
      </w:r>
    </w:p>
    <w:p w14:paraId="65BBEECB">
      <w:pPr>
        <w:adjustRightInd w:val="0"/>
        <w:spacing w:line="360" w:lineRule="auto"/>
        <w:jc w:val="both"/>
        <w:rPr>
          <w:rFonts w:hint="eastAsia"/>
          <w:b/>
          <w:bCs/>
          <w:color w:val="auto"/>
          <w:sz w:val="22"/>
          <w:szCs w:val="22"/>
          <w:highlight w:val="none"/>
        </w:rPr>
      </w:pPr>
      <w:r>
        <w:rPr>
          <w:rFonts w:hint="eastAsia" w:eastAsia="宋体"/>
          <w:b/>
          <w:bCs/>
          <w:color w:val="auto"/>
          <w:sz w:val="22"/>
          <w:szCs w:val="22"/>
          <w:highlight w:val="none"/>
          <w:lang w:eastAsia="zh-CN"/>
        </w:rPr>
        <w:t>（</w:t>
      </w:r>
      <w:r>
        <w:rPr>
          <w:rFonts w:hint="eastAsia" w:eastAsia="宋体"/>
          <w:b/>
          <w:bCs/>
          <w:color w:val="auto"/>
          <w:sz w:val="22"/>
          <w:szCs w:val="22"/>
          <w:highlight w:val="none"/>
          <w:lang w:val="en-US" w:eastAsia="zh-CN"/>
        </w:rPr>
        <w:t>一</w:t>
      </w:r>
      <w:r>
        <w:rPr>
          <w:rFonts w:hint="eastAsia" w:eastAsia="宋体"/>
          <w:b/>
          <w:bCs/>
          <w:color w:val="auto"/>
          <w:sz w:val="22"/>
          <w:szCs w:val="22"/>
          <w:highlight w:val="none"/>
          <w:lang w:eastAsia="zh-CN"/>
        </w:rPr>
        <w:t>）</w:t>
      </w:r>
      <w:r>
        <w:rPr>
          <w:rFonts w:hint="eastAsia"/>
          <w:b/>
          <w:bCs/>
          <w:color w:val="auto"/>
          <w:sz w:val="22"/>
          <w:szCs w:val="22"/>
          <w:highlight w:val="none"/>
        </w:rPr>
        <w:t>工程量清单</w:t>
      </w:r>
    </w:p>
    <w:tbl>
      <w:tblPr>
        <w:tblStyle w:val="5"/>
        <w:tblW w:w="876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0"/>
        <w:gridCol w:w="2076"/>
        <w:gridCol w:w="3180"/>
        <w:gridCol w:w="1200"/>
        <w:gridCol w:w="1680"/>
      </w:tblGrid>
      <w:tr w14:paraId="02ADB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6220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0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3D54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项目分项名称</w:t>
            </w:r>
          </w:p>
        </w:tc>
        <w:tc>
          <w:tcPr>
            <w:tcW w:w="31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10DA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D6A2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计量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7E42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r>
      <w:tr w14:paraId="763F6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6D8E2">
            <w:pPr>
              <w:jc w:val="center"/>
              <w:rPr>
                <w:rFonts w:hint="eastAsia" w:ascii="宋体" w:hAnsi="宋体" w:eastAsia="宋体" w:cs="宋体"/>
                <w:i w:val="0"/>
                <w:iCs w:val="0"/>
                <w:color w:val="000000"/>
                <w:sz w:val="18"/>
                <w:szCs w:val="18"/>
                <w:u w:val="none"/>
              </w:rPr>
            </w:pPr>
          </w:p>
        </w:tc>
        <w:tc>
          <w:tcPr>
            <w:tcW w:w="20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BDD22">
            <w:pPr>
              <w:jc w:val="center"/>
              <w:rPr>
                <w:rFonts w:hint="eastAsia" w:ascii="宋体" w:hAnsi="宋体" w:eastAsia="宋体" w:cs="宋体"/>
                <w:i w:val="0"/>
                <w:iCs w:val="0"/>
                <w:color w:val="000000"/>
                <w:sz w:val="18"/>
                <w:szCs w:val="18"/>
                <w:u w:val="none"/>
              </w:rPr>
            </w:pPr>
          </w:p>
        </w:tc>
        <w:tc>
          <w:tcPr>
            <w:tcW w:w="3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80D7E">
            <w:pPr>
              <w:jc w:val="center"/>
              <w:rPr>
                <w:rFonts w:hint="eastAsia" w:ascii="宋体" w:hAnsi="宋体" w:eastAsia="宋体" w:cs="宋体"/>
                <w:i w:val="0"/>
                <w:iCs w:val="0"/>
                <w:color w:val="000000"/>
                <w:sz w:val="18"/>
                <w:szCs w:val="18"/>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37AC4">
            <w:pPr>
              <w:jc w:val="center"/>
              <w:rPr>
                <w:rFonts w:hint="eastAsia" w:ascii="宋体" w:hAnsi="宋体" w:eastAsia="宋体" w:cs="宋体"/>
                <w:i w:val="0"/>
                <w:iCs w:val="0"/>
                <w:color w:val="000000"/>
                <w:sz w:val="18"/>
                <w:szCs w:val="18"/>
                <w:u w:val="none"/>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418AA">
            <w:pPr>
              <w:jc w:val="center"/>
              <w:rPr>
                <w:rFonts w:hint="eastAsia" w:ascii="宋体" w:hAnsi="宋体" w:eastAsia="宋体" w:cs="宋体"/>
                <w:i w:val="0"/>
                <w:iCs w:val="0"/>
                <w:color w:val="000000"/>
                <w:sz w:val="18"/>
                <w:szCs w:val="18"/>
                <w:u w:val="none"/>
              </w:rPr>
            </w:pPr>
          </w:p>
        </w:tc>
      </w:tr>
      <w:tr w14:paraId="5A465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DD92">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80E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分部分项工程费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2802E">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A2A29">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2DD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74302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624F6">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3DF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道路部分</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92C5">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A84E">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39C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72705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81D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768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57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1.拆除预制侧缘石 缘石 石质;</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1FD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16E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108.000</w:t>
            </w:r>
          </w:p>
        </w:tc>
      </w:tr>
      <w:tr w14:paraId="726EB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B57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CC6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挖一般土方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A41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1.反铲挖三类土 不装车 ;</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DA6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03D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794.860</w:t>
            </w:r>
          </w:p>
        </w:tc>
      </w:tr>
      <w:tr w14:paraId="75419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43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428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63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1.利用场内土回填，压实度满足设计及规范要求</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23D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D5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794.860</w:t>
            </w:r>
          </w:p>
        </w:tc>
      </w:tr>
      <w:tr w14:paraId="74EBF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C2B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A47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56E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1.道路借土回填土方;压实度满足设计及规范要求</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358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FFC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6303.730</w:t>
            </w:r>
          </w:p>
        </w:tc>
      </w:tr>
      <w:tr w14:paraId="779B2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3B9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8D3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挖除表土杂土（包含弃土）</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2CD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1.挖一二类土，装车;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2.外运，运距1Km;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D5D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B18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8679.910</w:t>
            </w:r>
          </w:p>
        </w:tc>
      </w:tr>
      <w:tr w14:paraId="39608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24F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383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E1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1.换填合格土;</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D9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340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8679.910</w:t>
            </w:r>
          </w:p>
        </w:tc>
      </w:tr>
      <w:tr w14:paraId="332DC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861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C66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拼接部分拆除沥青（暂估量）</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1A9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1.铲除沥青面层按10cm;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2.拆除物装车外运，运距3Km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832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0B3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176.000</w:t>
            </w:r>
          </w:p>
        </w:tc>
      </w:tr>
      <w:tr w14:paraId="33DF9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F0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EDC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沥青混凝土（新旧拼接部分,暂估量）</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7E5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1.乳化沥青下封层 ;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2.5cm中粒式沥青混凝土(AC-20C);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3.乳化沥青粘层;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4.3.5cm细粒式沥青混凝土(AC-13C);</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6CF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ECA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176.000</w:t>
            </w:r>
          </w:p>
        </w:tc>
      </w:tr>
      <w:tr w14:paraId="53115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112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078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沥青混凝土（加宽）</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958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1.路床整形 路床碾压检验;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2.20cm厚级配碎石;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3.22cm厚C30砼硬化处理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4.0.5cm厚沥青下封层;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5.6cm厚中粒式沥青混凝土(AC-20C);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6.粘油层(乳化沥青);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7.4cm细粒式改性沥青混凝土(AC-13C)</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FD5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6B2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108.000</w:t>
            </w:r>
          </w:p>
        </w:tc>
      </w:tr>
      <w:tr w14:paraId="57EC0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46D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2E5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沥青混凝土</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CB5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1.路床整形 路床碾压检验;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2.18cm厚碎石底基层;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3.15cm厚水泥稳定碎石下基层（3.0MPa）;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4.15cm厚水泥稳定碎石上基层（3.5MPa）;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5.0.5cm厚下封层;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6.6cm中粒式沥青混凝土AC-20C;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7.粘油层（改性乳化沥青）;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8.4cm细粒式沥青混凝土AC-13C SBS改性沥青;</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4E8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D98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3019.070</w:t>
            </w:r>
          </w:p>
        </w:tc>
      </w:tr>
      <w:tr w14:paraId="0D113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C68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3ED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透水混凝土（人行道）</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770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1、素土夯实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2、15cm厚级配碎石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3、10cm厚C25透水混凝土底层（粗料）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4、5cm厚C25透水混凝土面层（细料）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5、无色透明树脂密封处理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654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C354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2122.680</w:t>
            </w:r>
          </w:p>
        </w:tc>
      </w:tr>
      <w:tr w14:paraId="1C795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3A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150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不锈钢栏杆</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EF4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成品不锈钢安全防护栏杆，高暂按1.1m计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71F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A24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407E9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B1F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E53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金刚盲道</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D2E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1.高强度水性环保VSS聚合物料浆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2.黄色耐磨涂料</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508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631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397.000</w:t>
            </w:r>
          </w:p>
        </w:tc>
      </w:tr>
      <w:tr w14:paraId="59DE6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C63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5D3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19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1.1000*300*120花岗岩缘石;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2.C15混凝土基础与靠背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3F7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EF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703.700</w:t>
            </w:r>
          </w:p>
        </w:tc>
      </w:tr>
      <w:tr w14:paraId="44648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11F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87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F2B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1.50厚C15砼;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2.1000*300*50花岗岩平石;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10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6D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703.700</w:t>
            </w:r>
          </w:p>
        </w:tc>
      </w:tr>
      <w:tr w14:paraId="39E4A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DE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A94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AB0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1.800*100*200花岗岩侧石;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2.2cm厚1:3水泥砂浆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3.C20砼靠背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1F6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39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767.500</w:t>
            </w:r>
          </w:p>
        </w:tc>
      </w:tr>
      <w:tr w14:paraId="674D1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4D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EC3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BE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1.30厚C15砼;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2.30厚1:3水泥砂浆；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3.800*300*120花岗岩侧石;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F6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336E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108.000</w:t>
            </w:r>
          </w:p>
        </w:tc>
      </w:tr>
      <w:tr w14:paraId="5D66C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991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CFC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62C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800*200*80花岗岩平石;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E9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C55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108.000</w:t>
            </w:r>
          </w:p>
        </w:tc>
      </w:tr>
      <w:tr w14:paraId="014A0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AC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10D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树池砌筑</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32A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1.600*200*100高芝麻灰花岗岩立道牙(哑光面）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2.C0混凝土垫层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3.5cm厚碎石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BD7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2EB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117.000</w:t>
            </w:r>
          </w:p>
        </w:tc>
      </w:tr>
      <w:tr w14:paraId="10E7C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0B1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2DB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浆砌片石挡土墙</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A7F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1.5m高挡墙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1、土方开挖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2、土方回填（含台背回填）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3、缺方内运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4、M10浆砌片石基础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5、M10浆砌片石挡墙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6、砂滤层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7、φ50PVC泄水孔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8、复合土工膜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9、1:2.5水泥砂浆抹面</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368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4BA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493.000</w:t>
            </w:r>
          </w:p>
        </w:tc>
      </w:tr>
      <w:tr w14:paraId="2180E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87A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50B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2B4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香樟 φ18 H5000-6000 P300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养护期：一年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D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ADA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117.000</w:t>
            </w:r>
          </w:p>
        </w:tc>
      </w:tr>
      <w:tr w14:paraId="2C79B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F21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00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喷播植草(灌木)籽</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8FB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喷播草籽</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147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3A7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1440.000</w:t>
            </w:r>
          </w:p>
        </w:tc>
      </w:tr>
      <w:tr w14:paraId="7E1AD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4DF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B26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2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1.麦冬每根长5cm，6-8芽  49株/m2;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2.养护期一年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697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72B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75496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33C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8E6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种植土回(换)填</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214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种植土回填</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7AE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1CC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664BC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53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059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HDPE打孔波纹管 DN100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E03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HDPE打孔波纹管 DN100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1C9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78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720.000</w:t>
            </w:r>
          </w:p>
        </w:tc>
      </w:tr>
      <w:tr w14:paraId="7E5F1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76C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FFD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DN100 PVC-U管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255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PVC-U100管</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8ED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AE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36.000</w:t>
            </w:r>
          </w:p>
        </w:tc>
      </w:tr>
      <w:tr w14:paraId="4DF82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8F7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D46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防渗土工布</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FF7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防渗土工布</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5F8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DE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1080.000</w:t>
            </w:r>
          </w:p>
        </w:tc>
      </w:tr>
      <w:tr w14:paraId="7ADAE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6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571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级配碎石</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B2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级配碎石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47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53D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230.000</w:t>
            </w:r>
          </w:p>
        </w:tc>
      </w:tr>
      <w:tr w14:paraId="63BAD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84007">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EE2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交通工程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EDEB7">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A6954">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7B3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3B8B0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40D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34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道路名称方向标志牌（包含基础）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4B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1.1500*450mm道路名称方向标志牌;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06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E0F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w:t>
            </w:r>
          </w:p>
        </w:tc>
      </w:tr>
      <w:tr w14:paraId="21694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CA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FD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禁令组织标志（单柱双牌连体式）（含基础）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A09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三角禁令组织标志（单柱三角式）</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A8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B8C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1BDBC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1B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E6B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标线</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F5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标线与标记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55C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698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254.000</w:t>
            </w:r>
          </w:p>
        </w:tc>
      </w:tr>
      <w:tr w14:paraId="2F05A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0AD85">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5A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排水工程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75AFC">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3F2E">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3EE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24B67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794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91C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C2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挖三类土  不装车;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54A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B45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33857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1CB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06C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61B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挖三类土  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2A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90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1274.760</w:t>
            </w:r>
          </w:p>
        </w:tc>
      </w:tr>
      <w:tr w14:paraId="179E3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7B6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988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D23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1.机械填土夯实 槽、坑;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5F2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B18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20476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21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A27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3E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1.回填砂;</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AA1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82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642.976</w:t>
            </w:r>
          </w:p>
        </w:tc>
      </w:tr>
      <w:tr w14:paraId="085E2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045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F1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127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1.余土外运，运距(km):3;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50D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2BA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1274.760</w:t>
            </w:r>
          </w:p>
        </w:tc>
      </w:tr>
      <w:tr w14:paraId="67036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FCD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70D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HDPE缠绕结构壁管（B型）DN300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177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1.HDPE缠绕结构壁管（B型）DN300 SN10;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2.管道闭水试验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98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E80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124.000</w:t>
            </w:r>
          </w:p>
        </w:tc>
      </w:tr>
      <w:tr w14:paraId="1A32C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1CD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20E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HDPE缠绕结构壁管（B型）DN400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0DA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1.HDPE缠绕结构壁管（B型）DN400 SN10;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2.管道闭水试验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D60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1A0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233.400</w:t>
            </w:r>
          </w:p>
        </w:tc>
      </w:tr>
      <w:tr w14:paraId="5FB0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C75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45A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HDPE缠绕结构壁管（B型）DN500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F11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1.HDPE缠绕结构壁管（B型）DN500 SN10;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2.管道闭水试验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978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A4B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90.000</w:t>
            </w:r>
          </w:p>
        </w:tc>
      </w:tr>
      <w:tr w14:paraId="5F339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E5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28D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HDPE缠绕结构壁管（B型）DN600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D4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1.HDPE缠绕结构壁管（B型）DN600 SN10;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2.管道闭水试验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6FF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8A4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318.200</w:t>
            </w:r>
          </w:p>
        </w:tc>
      </w:tr>
      <w:tr w14:paraId="5D53A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EEB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956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HDPE缠绕结构壁管（B型）DN800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913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1.HDPE缠绕结构壁管（B型）DN800 SN10;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2.管道闭水试验</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0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9DA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22.300</w:t>
            </w:r>
          </w:p>
        </w:tc>
      </w:tr>
      <w:tr w14:paraId="6F9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1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5A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雨水检查井φ1000（包含井盖、钢筋）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206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混凝土检查井φ1000（06MS201-3,页12）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车行道重型防沉降井盖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平均井深2.2m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FF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94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19.000</w:t>
            </w:r>
          </w:p>
        </w:tc>
      </w:tr>
      <w:tr w14:paraId="76B08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35B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ED8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雨水检查井φ1250（包含井盖、钢筋）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6A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混凝土检查井φ1250（06MS201-3,页15）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车行道重型防沉降井盖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平均井深3.39m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8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DA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7F538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3F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D1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污水检查井  φ1000（包含井盖、钢筋）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79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混凝土检查井φ1000（06MS201-3,页21）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车行道重型防沉降井盖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平均井深1.8m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667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FBA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14.000</w:t>
            </w:r>
          </w:p>
        </w:tc>
      </w:tr>
      <w:tr w14:paraId="1F364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60C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107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雨水口</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28E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单平箅(700*400);铸铁平箅带盖板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06M201-8，页15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FC3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A78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26.000</w:t>
            </w:r>
          </w:p>
        </w:tc>
      </w:tr>
      <w:tr w14:paraId="084E2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576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95E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防坠网</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1AC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1.网绳防坠网;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2.每个检查井6套N1、N2钢筋预制片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F2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19A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35.000</w:t>
            </w:r>
          </w:p>
        </w:tc>
      </w:tr>
      <w:tr w14:paraId="3E149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036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ABE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车行道下井圈加固</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956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1.C30混凝土;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2.模板制安与拆除;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3.带肋钢筋 φ18以内;</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066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9BD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22.000</w:t>
            </w:r>
          </w:p>
        </w:tc>
      </w:tr>
      <w:tr w14:paraId="2DB2E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EB3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7F6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雨水连接管砼包封</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D62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1.C20混凝土 </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6BF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B4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33.854</w:t>
            </w:r>
          </w:p>
        </w:tc>
      </w:tr>
      <w:tr w14:paraId="6ECE4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49C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6D8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管道包封模板模板</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9D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模板制安</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95A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46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140.400</w:t>
            </w:r>
          </w:p>
        </w:tc>
      </w:tr>
      <w:tr w14:paraId="47368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299E3">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A3A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给水工程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5ED5">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BA347">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02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0B3A5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6E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50A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球墨铸铁管DN200</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6FF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1.球墨铸铁DN200;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2.液压试验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3.管道消毒冲洗</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53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47D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489.000</w:t>
            </w:r>
          </w:p>
        </w:tc>
      </w:tr>
      <w:tr w14:paraId="7D7AD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C65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87A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消火栓(包含安装所需配件)</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72E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消火栓SS150/80-1.6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07MS101-1，页11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4D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790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1F188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916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DD3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排气井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2E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排气井1600*2000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07MS101-2，页162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FF8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BB8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28B26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820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B48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阀门井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9D6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阀门井1300*1300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07MS101-2,页66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80C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0E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0A56E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425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95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排泥井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B1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排泥井07MS101-2,页58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直径1000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075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299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71879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2D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AB2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承插四通</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26A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承插四通DN200*DN200;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31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DA8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7113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FD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ADD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排泥三通</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54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排泥三通DN200*DN75;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39C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98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3B17F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3A5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7E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排气阀专用三通</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A0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排气阀专用三通DN200*DN80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6F2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342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64426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533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827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闸阀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D0A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闸阀DN200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639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0A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0286C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CEA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DC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排泥专用闸阀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97F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排泥专用闸阀DN75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02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CF1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2117B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824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AA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排气阀专用蝶阀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C7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排气阀专用蝶阀DN80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191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132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1D6C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EBC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04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KP快速排气阀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0E1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KP快速排气阀DN80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EB5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B3B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202AD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8E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CF2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45°单承弯头</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83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45°单承弯头DN200 6个</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CE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A11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0422D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74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06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插盘短管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4CC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插盘短管 DN200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81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889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30A9D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4A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0B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承盘短管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BC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承盘短管 DN200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043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CD9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060A9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0C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293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双盘短管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1A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双承盘短管 DN150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B3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F9C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2C599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0DA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378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797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1.挖三类土 不装车;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0D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065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473.650</w:t>
            </w:r>
          </w:p>
        </w:tc>
      </w:tr>
      <w:tr w14:paraId="5C7EA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F0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572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3C6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1.挖三类土 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116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8C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16.350</w:t>
            </w:r>
          </w:p>
        </w:tc>
      </w:tr>
      <w:tr w14:paraId="170D4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FA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092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01F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1.原土回填，夯实度满足设计及规范要求;</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190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ACE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473.650</w:t>
            </w:r>
          </w:p>
        </w:tc>
      </w:tr>
      <w:tr w14:paraId="23938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DA2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E5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85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1.余土外运 运距(km):3;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3C4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0F8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16.350</w:t>
            </w:r>
          </w:p>
        </w:tc>
      </w:tr>
      <w:tr w14:paraId="62230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29416">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96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电气工程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D5C58">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5FDB6">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6E6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32F86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D3A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4DA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75D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1.挖三类土 不装车;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B1A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F97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620.000</w:t>
            </w:r>
          </w:p>
        </w:tc>
      </w:tr>
      <w:tr w14:paraId="55D8B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791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8FF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A17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1.挖三类土 装车;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A36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A39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772.000</w:t>
            </w:r>
          </w:p>
        </w:tc>
      </w:tr>
      <w:tr w14:paraId="2B377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3CF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254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碎石垫层</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ADE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1.管道(渠) 垫层 碎石 干铺;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E92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740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87.060</w:t>
            </w:r>
          </w:p>
        </w:tc>
      </w:tr>
      <w:tr w14:paraId="684B7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3F5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B73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混凝土基础</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B76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8cm厚C15现浇砼管道包封</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6BC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222B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161.776</w:t>
            </w:r>
          </w:p>
        </w:tc>
      </w:tr>
      <w:tr w14:paraId="39114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6E5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F25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管道包封模板</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2EC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管道包封模板</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B0C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0BE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858.400</w:t>
            </w:r>
          </w:p>
        </w:tc>
      </w:tr>
      <w:tr w14:paraId="4150B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30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946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9B4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1.机械填土夯实 槽、坑;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980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87F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620.000</w:t>
            </w:r>
          </w:p>
        </w:tc>
      </w:tr>
      <w:tr w14:paraId="6B207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B3C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75B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回填方（回填砂）</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541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1.回填砂;</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511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B85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272.000</w:t>
            </w:r>
          </w:p>
        </w:tc>
      </w:tr>
      <w:tr w14:paraId="70619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430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A8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915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1.余土外运 运距(km):3;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580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25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772.000</w:t>
            </w:r>
          </w:p>
        </w:tc>
      </w:tr>
      <w:tr w14:paraId="03266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D87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2A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非开挖式MPP管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347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1.钢管挤压顶进  MPP管 φ160;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84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54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158.000</w:t>
            </w:r>
          </w:p>
        </w:tc>
      </w:tr>
      <w:tr w14:paraId="6889E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0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A95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非开挖式MPP管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70A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1.钢管挤压顶进  MPP管 φ110;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EB4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671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197.000</w:t>
            </w:r>
          </w:p>
        </w:tc>
      </w:tr>
      <w:tr w14:paraId="228EB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DD4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CDC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重型PVC-C管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95C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1.CPVC  φ160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7FF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0A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2568.000</w:t>
            </w:r>
          </w:p>
        </w:tc>
      </w:tr>
      <w:tr w14:paraId="34983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2C6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F8A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重型PVC-U管</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1F6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1.UPVC  φ110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DAF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B1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3296.000</w:t>
            </w:r>
          </w:p>
        </w:tc>
      </w:tr>
      <w:tr w14:paraId="1CE38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4E9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28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电力手孔井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1AC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900*1200*1100砖砌手孔井，《07SD101-8电力电缆井设计与安装》图集P120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EEE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72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37CDB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B6E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AA1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混凝土井（小型直通型电缆井）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186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详见07SD101-8 页18（含钢筋及吊托支架、井圈）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3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ADA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52E3E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54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AD7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混凝土井（小型三通型电缆井）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501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详见07SD101-8 页43（含钢筋及吊托支架、井圈）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061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CA4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2F9CB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33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939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混凝土井（小型四通型电缆井）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188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详见07SD101-8 页59（含钢筋及吊托支架、井圈）</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6AA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797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4F539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E6B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63B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通信手孔井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17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550*550砖砌  YD/T 5178-2017第88页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F26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869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1FB32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2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9BC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小号通信直通井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03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1.砖砌  小号通信直通井;YD/T 5178-2017第8页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9EB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33B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31180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445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88</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AF0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小号通信三通井</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416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1.砖砌  小号通信三通井;YD/T 5178-2017第10页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F2C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66B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64DB9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F4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89</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D83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小号通信四通井 </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1F0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1.砖砌  小号通信四通井 ;YD/T 5178-2017第12页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EB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E7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21840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23BD">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932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照明工程</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EE0EF">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E510B">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192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0.000</w:t>
            </w:r>
          </w:p>
        </w:tc>
      </w:tr>
      <w:tr w14:paraId="7CA19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5C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F46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高杆照明灯</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F9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1.100W太阳能路灯，杆9m,壁厚4mm;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B2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D9D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15.000</w:t>
            </w:r>
          </w:p>
        </w:tc>
      </w:tr>
      <w:tr w14:paraId="4FBA6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5AA05">
            <w:pPr>
              <w:jc w:val="center"/>
              <w:rPr>
                <w:rFonts w:hint="eastAsia" w:ascii="宋体" w:hAnsi="宋体" w:eastAsia="宋体" w:cs="宋体"/>
                <w:i w:val="0"/>
                <w:iCs w:val="0"/>
                <w:color w:val="000000"/>
                <w:sz w:val="18"/>
                <w:szCs w:val="18"/>
                <w:u w:val="none"/>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502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拆除旧围墙新建</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79446">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CF8CA">
            <w:pPr>
              <w:jc w:val="center"/>
              <w:rPr>
                <w:rFonts w:hint="eastAsia" w:ascii="宋体" w:hAnsi="宋体" w:eastAsia="宋体" w:cs="宋体"/>
                <w:i w:val="0"/>
                <w:iCs w:val="0"/>
                <w:color w:val="000000"/>
                <w:sz w:val="18"/>
                <w:szCs w:val="18"/>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B6518">
            <w:pPr>
              <w:jc w:val="right"/>
              <w:rPr>
                <w:rFonts w:hint="eastAsia" w:ascii="宋体" w:hAnsi="宋体" w:eastAsia="宋体" w:cs="宋体"/>
                <w:i w:val="0"/>
                <w:iCs w:val="0"/>
                <w:color w:val="000000"/>
                <w:sz w:val="18"/>
                <w:szCs w:val="18"/>
                <w:u w:val="none"/>
              </w:rPr>
            </w:pPr>
          </w:p>
        </w:tc>
      </w:tr>
      <w:tr w14:paraId="51D7E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AD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91</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B24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挖沟槽土方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BC9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反铲挖掘机挖土 不装车 三类土</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0F8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1BD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149.180</w:t>
            </w:r>
          </w:p>
        </w:tc>
      </w:tr>
      <w:tr w14:paraId="5931E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538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92</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3F4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回填方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F5E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 xml:space="preserve">1.密实度要求:满足设计及规范要求;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2.填方材料品种:满足设计及规范要求;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3.填方来源、运距:原土;</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6F4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93D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85.250</w:t>
            </w:r>
          </w:p>
        </w:tc>
      </w:tr>
      <w:tr w14:paraId="35AD6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42E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93</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846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余方弃置</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F0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 xml:space="preserve">1.挖掘机装运土方;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2.运距: 1km;</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21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m3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BB7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snapToGrid w:val="0"/>
                <w:color w:val="000000"/>
                <w:kern w:val="0"/>
                <w:sz w:val="18"/>
                <w:szCs w:val="18"/>
                <w:u w:val="none"/>
                <w:lang w:val="en-US" w:eastAsia="zh-CN" w:bidi="ar"/>
              </w:rPr>
              <w:t>63.930</w:t>
            </w:r>
          </w:p>
        </w:tc>
      </w:tr>
      <w:tr w14:paraId="2C88B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4484">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94</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D71B">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新建围墙</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38512">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 xml:space="preserve">1.屋脊;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2.小青瓦;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3.彩绘涂料;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4.真石漆;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5.150厚碎石垫层;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6.100厚C25素砼垫层；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7.基础模板制安与拆除;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8.±0.00以下M7.5水泥浆眠砌MU10红机砖，±0.00以上M5胶泥MU10烧结多孔砖240宽;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9.240*240 C25地圈;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10.圈梁模板制安与拆除;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11.240*240 C25构造柱;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12.构造柱模板制安与拆除;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13.现浇构件带肋钢筋HRB400以内 直径(mm) ≤18;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14.现浇构件带肋钢筋HRB400以内 直径(mm) ≤10;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 xml:space="preserve">15.C25混凝土压顶; </w:t>
            </w:r>
            <w:r>
              <w:rPr>
                <w:rFonts w:hint="eastAsia" w:ascii="宋体" w:hAnsi="宋体" w:eastAsia="宋体" w:cs="宋体"/>
                <w:i w:val="0"/>
                <w:snapToGrid w:val="0"/>
                <w:color w:val="000000"/>
                <w:kern w:val="0"/>
                <w:sz w:val="18"/>
                <w:szCs w:val="18"/>
                <w:u w:val="none"/>
                <w:lang w:val="en-US" w:eastAsia="zh-CN" w:bidi="ar"/>
              </w:rPr>
              <w:br w:type="textWrapping"/>
            </w:r>
            <w:r>
              <w:rPr>
                <w:rFonts w:hint="eastAsia" w:ascii="宋体" w:hAnsi="宋体" w:eastAsia="宋体" w:cs="宋体"/>
                <w:i w:val="0"/>
                <w:snapToGrid w:val="0"/>
                <w:color w:val="000000"/>
                <w:kern w:val="0"/>
                <w:sz w:val="18"/>
                <w:szCs w:val="18"/>
                <w:u w:val="none"/>
                <w:lang w:val="en-US" w:eastAsia="zh-CN" w:bidi="ar"/>
              </w:rPr>
              <w:t>16.详见施工图</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CF49">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m</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0DD03">
            <w:pPr>
              <w:keepNext w:val="0"/>
              <w:keepLines w:val="0"/>
              <w:widowControl/>
              <w:suppressLineNumbers w:val="0"/>
              <w:jc w:val="righ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72.000</w:t>
            </w:r>
          </w:p>
        </w:tc>
      </w:tr>
      <w:tr w14:paraId="34337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B8AA1">
            <w:pPr>
              <w:jc w:val="center"/>
              <w:rPr>
                <w:rFonts w:hint="eastAsia" w:ascii="宋体" w:hAnsi="宋体" w:eastAsia="宋体" w:cs="宋体"/>
                <w:i w:val="0"/>
                <w:iCs w:val="0"/>
                <w:snapToGrid w:val="0"/>
                <w:color w:val="000000"/>
                <w:kern w:val="0"/>
                <w:sz w:val="18"/>
                <w:szCs w:val="18"/>
                <w:u w:val="none"/>
                <w:lang w:val="en-US" w:eastAsia="zh-CN" w:bidi="ar"/>
              </w:rPr>
            </w:pP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B1222">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单价措施项目费</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3A645">
            <w:pPr>
              <w:jc w:val="left"/>
              <w:rPr>
                <w:rFonts w:hint="eastAsia" w:ascii="宋体" w:hAnsi="宋体" w:eastAsia="宋体" w:cs="宋体"/>
                <w:i w:val="0"/>
                <w:iCs w:val="0"/>
                <w:snapToGrid w:val="0"/>
                <w:color w:val="000000"/>
                <w:kern w:val="0"/>
                <w:sz w:val="18"/>
                <w:szCs w:val="18"/>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EA0CC">
            <w:pPr>
              <w:jc w:val="center"/>
              <w:rPr>
                <w:rFonts w:hint="eastAsia" w:ascii="宋体" w:hAnsi="宋体" w:eastAsia="宋体" w:cs="宋体"/>
                <w:i w:val="0"/>
                <w:iCs w:val="0"/>
                <w:snapToGrid w:val="0"/>
                <w:color w:val="000000"/>
                <w:kern w:val="0"/>
                <w:sz w:val="18"/>
                <w:szCs w:val="18"/>
                <w:u w:val="none"/>
                <w:lang w:val="en-US" w:eastAsia="zh-CN" w:bidi="ar"/>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12348">
            <w:pPr>
              <w:jc w:val="right"/>
              <w:rPr>
                <w:rFonts w:hint="eastAsia" w:ascii="宋体" w:hAnsi="宋体" w:eastAsia="宋体" w:cs="宋体"/>
                <w:i w:val="0"/>
                <w:iCs w:val="0"/>
                <w:snapToGrid w:val="0"/>
                <w:color w:val="000000"/>
                <w:kern w:val="0"/>
                <w:sz w:val="18"/>
                <w:szCs w:val="18"/>
                <w:u w:val="none"/>
                <w:lang w:val="en-US" w:eastAsia="zh-CN" w:bidi="ar"/>
              </w:rPr>
            </w:pPr>
          </w:p>
        </w:tc>
      </w:tr>
      <w:tr w14:paraId="4E67C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3105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95</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7C50D">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大型机械设备进出场及安拆</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0B1F">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沥青混凝土摊铺机进出场费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6D955">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台.次</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C0FA7">
            <w:pPr>
              <w:keepNext w:val="0"/>
              <w:keepLines w:val="0"/>
              <w:widowControl/>
              <w:suppressLineNumbers w:val="0"/>
              <w:jc w:val="righ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1.000</w:t>
            </w:r>
          </w:p>
        </w:tc>
      </w:tr>
      <w:tr w14:paraId="776DA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8EA4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96</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CFDFD">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大型机械设备进出场及安拆</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ED3C9">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履带式挖掘机进出场费1m3以内</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89696">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台.次</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75EA5">
            <w:pPr>
              <w:keepNext w:val="0"/>
              <w:keepLines w:val="0"/>
              <w:widowControl/>
              <w:suppressLineNumbers w:val="0"/>
              <w:jc w:val="righ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1.000</w:t>
            </w:r>
          </w:p>
        </w:tc>
      </w:tr>
      <w:tr w14:paraId="7CB9C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82E24">
            <w:pPr>
              <w:keepNext w:val="0"/>
              <w:keepLines w:val="0"/>
              <w:widowControl/>
              <w:suppressLineNumbers w:val="0"/>
              <w:jc w:val="center"/>
              <w:textAlignment w:val="center"/>
              <w:rPr>
                <w:rFonts w:hint="eastAsia" w:ascii="宋体" w:hAnsi="宋体" w:eastAsia="宋体" w:cs="宋体"/>
                <w:i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97</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F64DC">
            <w:pPr>
              <w:keepNext w:val="0"/>
              <w:keepLines w:val="0"/>
              <w:widowControl/>
              <w:suppressLineNumbers w:val="0"/>
              <w:jc w:val="left"/>
              <w:textAlignment w:val="center"/>
              <w:rPr>
                <w:rFonts w:hint="eastAsia" w:ascii="宋体" w:hAnsi="宋体" w:eastAsia="宋体" w:cs="宋体"/>
                <w:i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大型机械设备进出场及安拆</w:t>
            </w:r>
          </w:p>
        </w:tc>
        <w:tc>
          <w:tcPr>
            <w:tcW w:w="31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7574F">
            <w:pPr>
              <w:keepNext w:val="0"/>
              <w:keepLines w:val="0"/>
              <w:widowControl/>
              <w:suppressLineNumbers w:val="0"/>
              <w:jc w:val="left"/>
              <w:textAlignment w:val="center"/>
              <w:rPr>
                <w:rFonts w:hint="eastAsia" w:ascii="宋体" w:hAnsi="宋体" w:eastAsia="宋体" w:cs="宋体"/>
                <w:i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压路机进出场费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76387">
            <w:pPr>
              <w:keepNext w:val="0"/>
              <w:keepLines w:val="0"/>
              <w:widowControl/>
              <w:suppressLineNumbers w:val="0"/>
              <w:jc w:val="center"/>
              <w:textAlignment w:val="center"/>
              <w:rPr>
                <w:rFonts w:hint="eastAsia" w:ascii="宋体" w:hAnsi="宋体" w:eastAsia="宋体" w:cs="宋体"/>
                <w:i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台.次</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FF954">
            <w:pPr>
              <w:keepNext w:val="0"/>
              <w:keepLines w:val="0"/>
              <w:widowControl/>
              <w:suppressLineNumbers w:val="0"/>
              <w:jc w:val="right"/>
              <w:textAlignment w:val="center"/>
              <w:rPr>
                <w:rFonts w:hint="eastAsia" w:ascii="宋体" w:hAnsi="宋体" w:eastAsia="宋体" w:cs="宋体"/>
                <w:i w:val="0"/>
                <w:snapToGrid w:val="0"/>
                <w:color w:val="000000"/>
                <w:kern w:val="0"/>
                <w:sz w:val="18"/>
                <w:szCs w:val="18"/>
                <w:u w:val="none"/>
                <w:lang w:val="en-US" w:eastAsia="zh-CN" w:bidi="ar"/>
              </w:rPr>
            </w:pPr>
            <w:r>
              <w:rPr>
                <w:rFonts w:hint="eastAsia" w:ascii="宋体" w:hAnsi="宋体" w:eastAsia="宋体" w:cs="宋体"/>
                <w:i w:val="0"/>
                <w:snapToGrid w:val="0"/>
                <w:color w:val="000000"/>
                <w:kern w:val="0"/>
                <w:sz w:val="18"/>
                <w:szCs w:val="18"/>
                <w:u w:val="none"/>
                <w:lang w:val="en-US" w:eastAsia="zh-CN" w:bidi="ar"/>
              </w:rPr>
              <w:t>1.000</w:t>
            </w:r>
          </w:p>
        </w:tc>
      </w:tr>
    </w:tbl>
    <w:p w14:paraId="76841EE5">
      <w:pPr>
        <w:pageBreakBefore w:val="0"/>
        <w:widowControl w:val="0"/>
        <w:numPr>
          <w:ilvl w:val="0"/>
          <w:numId w:val="0"/>
        </w:numPr>
        <w:wordWrap/>
        <w:overflowPunct/>
        <w:topLinePunct w:val="0"/>
        <w:bidi w:val="0"/>
        <w:spacing w:before="78" w:after="315" w:afterLines="100" w:afterAutospacing="0" w:line="220" w:lineRule="auto"/>
        <w:ind w:leftChars="0"/>
        <w:jc w:val="both"/>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（二）工程要求</w:t>
      </w:r>
    </w:p>
    <w:p w14:paraId="3CA53908">
      <w:pPr>
        <w:adjustRightInd w:val="0"/>
        <w:spacing w:line="360" w:lineRule="auto"/>
        <w:jc w:val="both"/>
        <w:rPr>
          <w:rFonts w:hint="eastAsia" w:eastAsia="宋体"/>
          <w:b/>
          <w:bCs/>
          <w:color w:val="auto"/>
          <w:sz w:val="22"/>
          <w:szCs w:val="22"/>
          <w:highlight w:val="none"/>
          <w:lang w:val="en-US" w:eastAsia="zh-CN"/>
        </w:rPr>
      </w:pPr>
      <w:r>
        <w:rPr>
          <w:rFonts w:hint="eastAsia" w:eastAsia="宋体"/>
          <w:b/>
          <w:bCs/>
          <w:color w:val="auto"/>
          <w:sz w:val="22"/>
          <w:szCs w:val="22"/>
          <w:highlight w:val="none"/>
          <w:lang w:val="en-US" w:eastAsia="zh-CN"/>
        </w:rPr>
        <w:t xml:space="preserve"> 1、材料要求 </w:t>
      </w:r>
    </w:p>
    <w:p w14:paraId="4441F8D2">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（1）所使用的水泥，强度等级：32.5 ，根据GB/T 3183-2017检测依据： </w:t>
      </w:r>
    </w:p>
    <w:p w14:paraId="18937C58">
      <w:pPr>
        <w:adjustRightInd w:val="0"/>
        <w:spacing w:line="360" w:lineRule="auto"/>
        <w:ind w:firstLine="440" w:firstLineChars="2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1）凝结时间：初凝≥135min 且终凝≤550min； </w:t>
      </w:r>
    </w:p>
    <w:p w14:paraId="35B2051A">
      <w:pPr>
        <w:adjustRightInd w:val="0"/>
        <w:spacing w:line="360" w:lineRule="auto"/>
        <w:ind w:firstLine="440" w:firstLineChars="2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2）抗折强度：3d≥3.2Mpa 且 28d≥6.1Mpa； </w:t>
      </w:r>
    </w:p>
    <w:p w14:paraId="638C37AB">
      <w:pPr>
        <w:adjustRightInd w:val="0"/>
        <w:spacing w:line="360" w:lineRule="auto"/>
        <w:ind w:firstLine="440" w:firstLineChars="2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3）抗压强度：3d≥10Mpa 且 28d≥34Mpa。</w:t>
      </w:r>
    </w:p>
    <w:p w14:paraId="437663AC">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（2）所使用的碎石，根据GB/T 14685--2022检测依据： </w:t>
      </w:r>
    </w:p>
    <w:p w14:paraId="3BF2D58C">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1）表观密度≥2650kg/m³</w:t>
      </w:r>
    </w:p>
    <w:p w14:paraId="2E6367DF">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2）碎石泥粉/泥块含量≤0.8%</w:t>
      </w:r>
    </w:p>
    <w:p w14:paraId="7496AED0">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3）针片状含量≤9%</w:t>
      </w:r>
    </w:p>
    <w:p w14:paraId="51A654EA">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4）压碎指标≤15%</w:t>
      </w:r>
    </w:p>
    <w:p w14:paraId="601218B5">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5）吸水率≤1.5%</w:t>
      </w:r>
    </w:p>
    <w:p w14:paraId="24B89943">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（3）所使用的中砂，根据GB/T 14684-2022检测依据：</w:t>
      </w:r>
    </w:p>
    <w:p w14:paraId="1481E8A4">
      <w:pPr>
        <w:adjustRightInd w:val="0"/>
        <w:spacing w:line="360" w:lineRule="auto"/>
        <w:ind w:firstLine="220" w:firstLineChars="1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1）表观密度≥2500kg/m³</w:t>
      </w:r>
    </w:p>
    <w:p w14:paraId="4F3E8BE9">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2）松散堆积密度≥1450kg/m³</w:t>
      </w:r>
    </w:p>
    <w:p w14:paraId="165A8BFC">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3）含泥量≤2.5%</w:t>
      </w:r>
    </w:p>
    <w:p w14:paraId="2CD492EE">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  4）泥块含量≤1.0%</w:t>
      </w:r>
    </w:p>
    <w:p w14:paraId="07BBC68E">
      <w:pPr>
        <w:adjustRightInd w:val="0"/>
        <w:spacing w:line="360" w:lineRule="auto"/>
        <w:ind w:firstLine="440" w:firstLineChars="200"/>
        <w:jc w:val="both"/>
        <w:rPr>
          <w:rFonts w:hint="eastAsia" w:eastAsia="宋体"/>
          <w:b/>
          <w:bCs/>
          <w:color w:val="auto"/>
          <w:sz w:val="22"/>
          <w:szCs w:val="22"/>
          <w:highlight w:val="none"/>
          <w:lang w:val="en-US" w:eastAsia="zh-CN"/>
        </w:rPr>
      </w:pPr>
      <w:r>
        <w:rPr>
          <w:rFonts w:hint="eastAsia" w:ascii="宋体" w:hAnsi="宋体"/>
          <w:b/>
          <w:bCs/>
          <w:color w:val="auto"/>
          <w:sz w:val="22"/>
          <w:szCs w:val="22"/>
          <w:highlight w:val="none"/>
          <w:lang w:val="en-US" w:eastAsia="zh-CN"/>
        </w:rPr>
        <w:t>以上材料中的所有要求（提供具有资质的第三方检测机构出具的具有CMA标识和检测专用章的检测报告彩色原件扫描件、检测机构开具给委托单位并注明检测产品的发票彩色原件扫描件、检测机构的检验检测机构资质认定证书彩色原件扫描件并加盖响应供应商公章）.</w:t>
      </w:r>
    </w:p>
    <w:p w14:paraId="3F9CA4DA">
      <w:pPr>
        <w:adjustRightInd w:val="0"/>
        <w:spacing w:line="360" w:lineRule="auto"/>
        <w:jc w:val="both"/>
        <w:rPr>
          <w:rFonts w:hint="eastAsia" w:eastAsia="宋体"/>
          <w:b/>
          <w:bCs/>
          <w:color w:val="auto"/>
          <w:sz w:val="22"/>
          <w:szCs w:val="22"/>
          <w:highlight w:val="none"/>
          <w:lang w:val="en-US" w:eastAsia="zh-CN"/>
        </w:rPr>
      </w:pPr>
      <w:r>
        <w:rPr>
          <w:rFonts w:hint="eastAsia" w:eastAsia="宋体"/>
          <w:b/>
          <w:bCs/>
          <w:color w:val="auto"/>
          <w:sz w:val="22"/>
          <w:szCs w:val="22"/>
          <w:highlight w:val="none"/>
          <w:lang w:val="en-US" w:eastAsia="zh-CN"/>
        </w:rPr>
        <w:t>2、人员要求：</w:t>
      </w:r>
    </w:p>
    <w:p w14:paraId="14BF319A">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（1）拟派项目经理具有市政公用工程专业二级及以上建造师证书及安全考核证书 B类证书。（提供证书彩色扫描件或电子证书、住建云实名截图、开标前六个月任意一个月投标人为其缴纳的社保证明或社保查询截图，并加盖响应供应商公章）。 </w:t>
      </w:r>
    </w:p>
    <w:p w14:paraId="5BE6B0C6">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 xml:space="preserve">（2）拟派项目团队人员施工员、质量员、安全员、材料员各一名，提供有效岗位证书或职业培训合格证，安全员提供 C 类安全生产考核合格证书,其中施工员、质量员须为市政专业。（提供证书彩色扫描件或电子证书、住建云实名截图、开标前六个月任意一个月投标人为其缴纳的社保证明或社保查询截图，并加盖响应供应商公章）。 </w:t>
      </w:r>
    </w:p>
    <w:p w14:paraId="337955BF">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3）拟派技术负责人必须同时具有工程类中级及以上工程师职称证书、中级或四级及以上技能证书、电工作业证书（中级及以上工程师职称证书、中级或四级及以上技能证书提供证书原件彩色扫描件及证书官网“www.12333.gov.cn”查询截图，加盖投标人公章及劳务合同原件扫描件；电工作业证书提供证书原件彩色扫描件及证书官网“cx.mem.gov.cn”查询截图加盖投标人公章及劳务合同原件扫描件;开标前六个月任意一个月投标人为其缴纳的社保证明或社保查询截图，并加盖响应供应商公章）。</w:t>
      </w:r>
    </w:p>
    <w:p w14:paraId="64B09206">
      <w:pPr>
        <w:adjustRightInd w:val="0"/>
        <w:spacing w:line="360" w:lineRule="auto"/>
        <w:jc w:val="both"/>
        <w:rPr>
          <w:rFonts w:hint="eastAsia" w:eastAsia="宋体"/>
          <w:b/>
          <w:bCs/>
          <w:color w:val="auto"/>
          <w:sz w:val="22"/>
          <w:szCs w:val="22"/>
          <w:highlight w:val="none"/>
          <w:lang w:val="en-US" w:eastAsia="zh-CN"/>
        </w:rPr>
      </w:pPr>
      <w:r>
        <w:rPr>
          <w:rFonts w:hint="eastAsia" w:ascii="宋体" w:hAnsi="宋体"/>
          <w:color w:val="auto"/>
          <w:sz w:val="22"/>
          <w:szCs w:val="22"/>
          <w:highlight w:val="none"/>
          <w:lang w:val="en-US" w:eastAsia="zh-CN"/>
        </w:rPr>
        <w:t>（4）拟派的安全负责人：取得安全工程类高级工程师职称证书（提供证书原件彩色扫描件及证书官网“www.12333.gov.cn”查询截图，加盖投标人公章及劳务合同原件扫描件;开标前六个月任意一个月投标人为其缴纳的社保证明或社保查询截图，并加盖响应供应商公章）</w:t>
      </w:r>
    </w:p>
    <w:p w14:paraId="78DA2981">
      <w:pPr>
        <w:adjustRightInd w:val="0"/>
        <w:spacing w:line="360" w:lineRule="auto"/>
        <w:jc w:val="both"/>
        <w:rPr>
          <w:rFonts w:hint="eastAsia" w:eastAsia="宋体"/>
          <w:b/>
          <w:bCs/>
          <w:color w:val="auto"/>
          <w:sz w:val="22"/>
          <w:szCs w:val="22"/>
          <w:highlight w:val="none"/>
          <w:lang w:val="en-US" w:eastAsia="zh-CN"/>
        </w:rPr>
      </w:pPr>
      <w:r>
        <w:rPr>
          <w:rFonts w:hint="eastAsia" w:eastAsia="宋体"/>
          <w:b/>
          <w:bCs/>
          <w:color w:val="auto"/>
          <w:sz w:val="22"/>
          <w:szCs w:val="22"/>
          <w:highlight w:val="none"/>
          <w:lang w:val="en-US" w:eastAsia="zh-CN"/>
        </w:rPr>
        <w:t xml:space="preserve">注：所有人员不为同一人。 </w:t>
      </w:r>
    </w:p>
    <w:p w14:paraId="6C2EC9E5">
      <w:pPr>
        <w:adjustRightInd w:val="0"/>
        <w:spacing w:line="360" w:lineRule="auto"/>
        <w:jc w:val="both"/>
        <w:rPr>
          <w:rFonts w:hint="eastAsia" w:eastAsia="宋体"/>
          <w:b/>
          <w:bCs/>
          <w:color w:val="auto"/>
          <w:sz w:val="22"/>
          <w:szCs w:val="22"/>
          <w:highlight w:val="none"/>
          <w:lang w:val="en-US" w:eastAsia="zh-CN"/>
        </w:rPr>
      </w:pPr>
    </w:p>
    <w:p w14:paraId="773808A6">
      <w:pPr>
        <w:adjustRightInd w:val="0"/>
        <w:spacing w:line="360" w:lineRule="auto"/>
        <w:jc w:val="both"/>
        <w:rPr>
          <w:rFonts w:hint="default" w:eastAsia="宋体"/>
          <w:b/>
          <w:bCs/>
          <w:color w:val="auto"/>
          <w:sz w:val="22"/>
          <w:szCs w:val="22"/>
          <w:highlight w:val="none"/>
          <w:lang w:val="en-US" w:eastAsia="zh-CN"/>
        </w:rPr>
      </w:pPr>
      <w:r>
        <w:rPr>
          <w:rFonts w:hint="eastAsia" w:eastAsia="宋体"/>
          <w:b/>
          <w:bCs/>
          <w:color w:val="auto"/>
          <w:sz w:val="22"/>
          <w:szCs w:val="22"/>
          <w:highlight w:val="none"/>
          <w:lang w:val="en-US" w:eastAsia="zh-CN"/>
        </w:rPr>
        <w:t>3、</w:t>
      </w:r>
      <w:r>
        <w:rPr>
          <w:rFonts w:hint="default" w:eastAsia="宋体"/>
          <w:b/>
          <w:bCs/>
          <w:color w:val="auto"/>
          <w:sz w:val="22"/>
          <w:szCs w:val="22"/>
          <w:highlight w:val="none"/>
          <w:lang w:val="en-US" w:eastAsia="zh-CN"/>
        </w:rPr>
        <w:t>工程安全要求</w:t>
      </w:r>
    </w:p>
    <w:p w14:paraId="0A84976D">
      <w:pPr>
        <w:adjustRightInd w:val="0"/>
        <w:spacing w:line="360" w:lineRule="auto"/>
        <w:jc w:val="both"/>
        <w:rPr>
          <w:rFonts w:hint="default" w:ascii="宋体" w:hAnsi="宋体" w:eastAsia="宋体" w:cs="宋体"/>
          <w:color w:val="auto"/>
          <w:spacing w:val="-2"/>
          <w:sz w:val="22"/>
          <w:szCs w:val="22"/>
          <w:highlight w:val="none"/>
          <w:lang w:val="en-US" w:eastAsia="zh-CN"/>
        </w:rPr>
      </w:pPr>
      <w:r>
        <w:rPr>
          <w:rFonts w:hint="default" w:ascii="宋体" w:hAnsi="宋体" w:eastAsia="宋体" w:cs="宋体"/>
          <w:color w:val="auto"/>
          <w:spacing w:val="-2"/>
          <w:sz w:val="22"/>
          <w:szCs w:val="22"/>
          <w:highlight w:val="none"/>
          <w:lang w:val="en-US" w:eastAsia="zh-CN"/>
        </w:rPr>
        <w:t>（1）承接商必须严格按照有关法律、法规以及当地监管部门有关规定的要求， 做好安全防护和文明施工的相关工作。承接商在履行本合同的过程中所造成的一切安全生产事故均由其负全部责任，与采购人无关。</w:t>
      </w:r>
    </w:p>
    <w:p w14:paraId="773374CB">
      <w:pPr>
        <w:adjustRightInd w:val="0"/>
        <w:spacing w:line="360" w:lineRule="auto"/>
        <w:jc w:val="both"/>
        <w:rPr>
          <w:rFonts w:hint="default" w:ascii="宋体" w:hAnsi="宋体" w:eastAsia="宋体" w:cs="宋体"/>
          <w:color w:val="auto"/>
          <w:spacing w:val="-2"/>
          <w:sz w:val="22"/>
          <w:szCs w:val="22"/>
          <w:highlight w:val="none"/>
          <w:lang w:val="en-US" w:eastAsia="zh-CN"/>
        </w:rPr>
      </w:pPr>
      <w:r>
        <w:rPr>
          <w:rFonts w:hint="default" w:ascii="宋体" w:hAnsi="宋体" w:eastAsia="宋体" w:cs="宋体"/>
          <w:color w:val="auto"/>
          <w:spacing w:val="-2"/>
          <w:sz w:val="22"/>
          <w:szCs w:val="22"/>
          <w:highlight w:val="none"/>
          <w:lang w:val="en-US" w:eastAsia="zh-CN"/>
        </w:rPr>
        <w:t>（2）成交承接商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14:paraId="232F2DDB">
      <w:pPr>
        <w:adjustRightInd w:val="0"/>
        <w:spacing w:line="360" w:lineRule="auto"/>
        <w:jc w:val="both"/>
        <w:rPr>
          <w:rFonts w:hint="default" w:ascii="宋体" w:hAnsi="宋体" w:eastAsia="宋体" w:cs="宋体"/>
          <w:color w:val="auto"/>
          <w:spacing w:val="-2"/>
          <w:sz w:val="22"/>
          <w:szCs w:val="22"/>
          <w:highlight w:val="none"/>
          <w:lang w:val="en-US" w:eastAsia="zh-CN"/>
          <w14:textOutline w14:w="4356" w14:cap="sq" w14:cmpd="sng" w14:algn="ctr">
            <w14:solidFill>
              <w14:srgbClr w14:val="000000"/>
            </w14:solidFill>
            <w14:prstDash w14:val="solid"/>
            <w14:bevel/>
          </w14:textOutline>
        </w:rPr>
      </w:pPr>
      <w:r>
        <w:rPr>
          <w:rFonts w:hint="default" w:ascii="宋体" w:hAnsi="宋体" w:eastAsia="宋体" w:cs="宋体"/>
          <w:color w:val="auto"/>
          <w:spacing w:val="-2"/>
          <w:sz w:val="22"/>
          <w:szCs w:val="22"/>
          <w:highlight w:val="none"/>
          <w:lang w:val="en-US" w:eastAsia="zh-CN"/>
        </w:rPr>
        <w:t>（3）严格执行《中华人民共和国安全生产法》、《中华人民共和国建筑法》、 《建设工程安全生产管理条例》、《安全生产许可条件》等法律和法规的规定。</w:t>
      </w:r>
    </w:p>
    <w:p w14:paraId="77E5E71F">
      <w:pPr>
        <w:adjustRightInd w:val="0"/>
        <w:spacing w:line="360" w:lineRule="auto"/>
        <w:jc w:val="both"/>
        <w:rPr>
          <w:b/>
          <w:bCs/>
          <w:color w:val="auto"/>
          <w:sz w:val="22"/>
          <w:szCs w:val="22"/>
          <w:highlight w:val="none"/>
        </w:rPr>
      </w:pPr>
      <w:r>
        <w:rPr>
          <w:rFonts w:hint="eastAsia" w:eastAsia="宋体"/>
          <w:b/>
          <w:bCs/>
          <w:color w:val="auto"/>
          <w:sz w:val="22"/>
          <w:szCs w:val="22"/>
          <w:highlight w:val="none"/>
          <w:lang w:val="en-US" w:eastAsia="zh-CN"/>
        </w:rPr>
        <w:t>四、</w:t>
      </w:r>
      <w:r>
        <w:rPr>
          <w:rFonts w:hint="eastAsia"/>
          <w:b/>
          <w:bCs/>
          <w:color w:val="auto"/>
          <w:sz w:val="22"/>
          <w:szCs w:val="22"/>
          <w:highlight w:val="none"/>
        </w:rPr>
        <w:t>商务条款</w:t>
      </w:r>
    </w:p>
    <w:p w14:paraId="03E06971">
      <w:pPr>
        <w:adjustRightInd w:val="0"/>
        <w:spacing w:line="360" w:lineRule="auto"/>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rPr>
        <w:t>1、</w:t>
      </w:r>
      <w:r>
        <w:rPr>
          <w:rFonts w:hint="eastAsia" w:ascii="宋体" w:hAnsi="宋体"/>
          <w:color w:val="auto"/>
          <w:sz w:val="22"/>
          <w:szCs w:val="22"/>
          <w:highlight w:val="none"/>
          <w:lang w:val="en-US" w:eastAsia="zh-CN"/>
        </w:rPr>
        <w:t xml:space="preserve">工程款（进度款）支付： </w:t>
      </w:r>
    </w:p>
    <w:p w14:paraId="52CA9548">
      <w:pPr>
        <w:adjustRightInd w:val="0"/>
        <w:spacing w:line="360" w:lineRule="auto"/>
        <w:ind w:firstLine="440" w:firstLineChars="200"/>
        <w:jc w:val="both"/>
        <w:rPr>
          <w:rFonts w:hint="eastAsia" w:ascii="宋体" w:hAnsi="宋体"/>
          <w:color w:val="auto"/>
          <w:sz w:val="22"/>
          <w:szCs w:val="22"/>
          <w:highlight w:val="none"/>
          <w:lang w:val="en-US" w:eastAsia="zh-CN"/>
        </w:rPr>
      </w:pPr>
      <w:r>
        <w:rPr>
          <w:rFonts w:hint="eastAsia" w:ascii="宋体" w:hAnsi="宋体"/>
          <w:color w:val="auto"/>
          <w:sz w:val="22"/>
          <w:szCs w:val="22"/>
          <w:highlight w:val="none"/>
          <w:lang w:val="en-US" w:eastAsia="zh-CN"/>
        </w:rPr>
        <w:t>在施工企业进场开工时，可根据工程备料需要，预付合同价 10% 的建设资金；工程建设实施过程中，在合同建设内容清晰内，可按施工进度支付完成工程量 70% 的进度款，进度款最高不超过合同价的 70%，预付款在工程进度款中抵扣；工程完工验收后，工程款可支付至合同价的 80%；工程建设项目结算经业主单位聘请第三方机构审核后，工程款可支付至合同价的 90%；经财政结算评审后，工程款可支付至财政结算评审价的 97%；余款 3% 作为质保金，质保金在质保期满且无质量问题后及时支付。</w:t>
      </w:r>
    </w:p>
    <w:p w14:paraId="6E352EB5">
      <w:pPr>
        <w:adjustRightInd w:val="0"/>
        <w:spacing w:line="360" w:lineRule="auto"/>
        <w:jc w:val="both"/>
        <w:rPr>
          <w:rFonts w:hint="eastAsia" w:ascii="宋体" w:hAnsi="宋体"/>
          <w:color w:val="auto"/>
          <w:sz w:val="22"/>
          <w:szCs w:val="22"/>
          <w:highlight w:val="none"/>
        </w:rPr>
      </w:pPr>
      <w:r>
        <w:rPr>
          <w:rFonts w:hint="eastAsia" w:ascii="宋体" w:hAnsi="宋体"/>
          <w:color w:val="auto"/>
          <w:sz w:val="22"/>
          <w:szCs w:val="22"/>
          <w:highlight w:val="none"/>
          <w:lang w:val="en-US" w:eastAsia="zh-CN"/>
        </w:rPr>
        <w:t xml:space="preserve">2、缺陷责任期：24个月。 </w:t>
      </w:r>
    </w:p>
    <w:p w14:paraId="3F164D28">
      <w:pPr>
        <w:adjustRightInd w:val="0"/>
        <w:spacing w:line="360" w:lineRule="auto"/>
        <w:jc w:val="both"/>
        <w:rPr>
          <w:rFonts w:hint="eastAsia" w:ascii="宋体" w:hAnsi="宋体"/>
          <w:color w:val="auto"/>
          <w:sz w:val="22"/>
          <w:szCs w:val="22"/>
          <w:highlight w:val="none"/>
        </w:rPr>
      </w:pPr>
      <w:r>
        <w:rPr>
          <w:rFonts w:hint="eastAsia" w:ascii="宋体" w:hAnsi="宋体"/>
          <w:color w:val="auto"/>
          <w:sz w:val="22"/>
          <w:szCs w:val="22"/>
          <w:highlight w:val="none"/>
          <w:lang w:val="en-US" w:eastAsia="zh-CN"/>
        </w:rPr>
        <w:t xml:space="preserve">3、质保期：提供 2 年的免费质量保修期（国家另有强制规定，从其规定），质保期从验收合格之日起计算。 </w:t>
      </w:r>
    </w:p>
    <w:p w14:paraId="09FF7F5D">
      <w:pPr>
        <w:adjustRightInd w:val="0"/>
        <w:spacing w:line="360" w:lineRule="auto"/>
        <w:jc w:val="both"/>
        <w:rPr>
          <w:rFonts w:hint="eastAsia" w:ascii="宋体" w:hAnsi="宋体"/>
          <w:color w:val="auto"/>
          <w:sz w:val="22"/>
          <w:szCs w:val="22"/>
          <w:highlight w:val="none"/>
        </w:rPr>
      </w:pPr>
      <w:r>
        <w:rPr>
          <w:rFonts w:hint="eastAsia" w:ascii="宋体" w:hAnsi="宋体"/>
          <w:color w:val="auto"/>
          <w:sz w:val="22"/>
          <w:szCs w:val="22"/>
          <w:highlight w:val="none"/>
          <w:lang w:val="en-US" w:eastAsia="zh-CN"/>
        </w:rPr>
        <w:t>4、履行地点要求：峡江县仁和镇。</w:t>
      </w:r>
    </w:p>
    <w:p w14:paraId="17E1808B">
      <w:pPr>
        <w:adjustRightInd w:val="0"/>
        <w:spacing w:line="360" w:lineRule="auto"/>
        <w:jc w:val="both"/>
        <w:rPr>
          <w:rFonts w:hint="eastAsia" w:ascii="宋体" w:hAnsi="宋体"/>
          <w:color w:val="auto"/>
          <w:sz w:val="22"/>
          <w:szCs w:val="22"/>
          <w:highlight w:val="none"/>
        </w:rPr>
      </w:pPr>
      <w:r>
        <w:rPr>
          <w:rFonts w:hint="eastAsia" w:ascii="宋体" w:hAnsi="宋体"/>
          <w:color w:val="auto"/>
          <w:sz w:val="22"/>
          <w:szCs w:val="22"/>
          <w:highlight w:val="none"/>
          <w:lang w:val="en-US" w:eastAsia="zh-CN"/>
        </w:rPr>
        <w:t xml:space="preserve">5、合同履行期限： 自合同签订之日起 180 天内完工并验收合格。 </w:t>
      </w:r>
    </w:p>
    <w:p w14:paraId="37054022">
      <w:pPr>
        <w:adjustRightInd w:val="0"/>
        <w:spacing w:line="360" w:lineRule="auto"/>
        <w:jc w:val="both"/>
        <w:rPr>
          <w:rFonts w:hint="eastAsia"/>
          <w:sz w:val="22"/>
          <w:szCs w:val="22"/>
          <w:lang w:val="en-US" w:eastAsia="zh-CN"/>
        </w:rPr>
      </w:pPr>
      <w:r>
        <w:rPr>
          <w:rFonts w:hint="eastAsia" w:ascii="宋体" w:hAnsi="宋体" w:eastAsia="宋体"/>
          <w:color w:val="auto"/>
          <w:sz w:val="22"/>
          <w:szCs w:val="22"/>
          <w:highlight w:val="none"/>
          <w:lang w:val="en-US" w:eastAsia="zh-CN"/>
        </w:rPr>
        <w:t>7、</w:t>
      </w:r>
      <w:r>
        <w:rPr>
          <w:rFonts w:hint="eastAsia" w:ascii="宋体" w:hAnsi="宋体"/>
          <w:color w:val="auto"/>
          <w:sz w:val="22"/>
          <w:szCs w:val="22"/>
          <w:highlight w:val="none"/>
        </w:rPr>
        <w:t>工程质量标准：合格</w:t>
      </w:r>
      <w:r>
        <w:rPr>
          <w:rFonts w:hint="eastAsia"/>
          <w:sz w:val="22"/>
          <w:szCs w:val="22"/>
          <w:lang w:val="en-US" w:eastAsia="zh-CN"/>
        </w:rPr>
        <w:t xml:space="preserve">          </w:t>
      </w:r>
    </w:p>
    <w:p w14:paraId="5924FF05">
      <w:pPr>
        <w:adjustRightInd w:val="0"/>
        <w:spacing w:line="360" w:lineRule="auto"/>
        <w:jc w:val="both"/>
        <w:rPr>
          <w:rFonts w:hint="eastAsia"/>
          <w:b/>
          <w:color w:val="auto"/>
          <w:sz w:val="22"/>
          <w:szCs w:val="22"/>
          <w:highlight w:val="none"/>
        </w:rPr>
      </w:pPr>
      <w:r>
        <w:rPr>
          <w:rFonts w:hint="eastAsia"/>
          <w:sz w:val="22"/>
          <w:szCs w:val="22"/>
          <w:lang w:val="en-US" w:eastAsia="zh-CN"/>
        </w:rPr>
        <w:t>五、</w:t>
      </w:r>
      <w:r>
        <w:rPr>
          <w:rFonts w:hint="eastAsia"/>
          <w:b/>
          <w:color w:val="auto"/>
          <w:sz w:val="22"/>
          <w:szCs w:val="22"/>
          <w:highlight w:val="none"/>
        </w:rPr>
        <w:t>其他要求</w:t>
      </w:r>
    </w:p>
    <w:p w14:paraId="21B0A5DC">
      <w:pPr>
        <w:widowControl/>
        <w:numPr>
          <w:ilvl w:val="0"/>
          <w:numId w:val="1"/>
        </w:numPr>
        <w:spacing w:line="360" w:lineRule="auto"/>
        <w:jc w:val="both"/>
        <w:rPr>
          <w:rFonts w:hint="eastAsia"/>
          <w:color w:val="auto"/>
          <w:sz w:val="22"/>
          <w:szCs w:val="22"/>
          <w:highlight w:val="none"/>
        </w:rPr>
      </w:pPr>
      <w:r>
        <w:rPr>
          <w:rFonts w:hint="eastAsia" w:hAnsi="宋体"/>
          <w:color w:val="auto"/>
          <w:sz w:val="22"/>
          <w:szCs w:val="22"/>
          <w:highlight w:val="none"/>
        </w:rPr>
        <w:t>凡成交供应商采购的主要材料，必须提供出厂合格证书及试验资料原件给采购人查验，否则，采购人有权制止使用并追究成交供应商的违约责任</w:t>
      </w:r>
      <w:r>
        <w:rPr>
          <w:rFonts w:hint="eastAsia"/>
          <w:color w:val="auto"/>
          <w:sz w:val="22"/>
          <w:szCs w:val="22"/>
          <w:highlight w:val="none"/>
        </w:rPr>
        <w:t>。</w:t>
      </w:r>
    </w:p>
    <w:p w14:paraId="4E7B921A">
      <w:pPr>
        <w:widowControl/>
        <w:numPr>
          <w:ilvl w:val="0"/>
          <w:numId w:val="1"/>
        </w:numPr>
        <w:spacing w:line="360" w:lineRule="auto"/>
        <w:jc w:val="both"/>
        <w:rPr>
          <w:rFonts w:hint="eastAsia" w:ascii="宋体" w:hAnsi="宋体"/>
          <w:color w:val="auto"/>
          <w:sz w:val="22"/>
          <w:szCs w:val="22"/>
          <w:highlight w:val="none"/>
        </w:rPr>
      </w:pPr>
      <w:r>
        <w:rPr>
          <w:rFonts w:hint="eastAsia" w:ascii="宋体" w:hAnsi="宋体"/>
          <w:color w:val="auto"/>
          <w:sz w:val="22"/>
          <w:szCs w:val="22"/>
          <w:highlight w:val="none"/>
        </w:rPr>
        <w:t>供应商应按照本文件中提供的工程量清单，根据项目特征描述的内容及有关要求实施合同工程，直到项目被改变为止。</w:t>
      </w:r>
    </w:p>
    <w:p w14:paraId="4A796D68">
      <w:pPr>
        <w:spacing w:line="360" w:lineRule="auto"/>
        <w:jc w:val="both"/>
        <w:rPr>
          <w:rFonts w:hint="eastAsia"/>
          <w:b/>
          <w:color w:val="auto"/>
          <w:sz w:val="22"/>
          <w:szCs w:val="22"/>
          <w:highlight w:val="none"/>
        </w:rPr>
      </w:pPr>
      <w:r>
        <w:rPr>
          <w:rFonts w:hint="eastAsia" w:ascii="宋体" w:hAnsi="宋体" w:eastAsia="宋体"/>
          <w:color w:val="auto"/>
          <w:sz w:val="22"/>
          <w:szCs w:val="22"/>
          <w:highlight w:val="none"/>
          <w:lang w:val="en-US" w:eastAsia="zh-CN"/>
        </w:rPr>
        <w:t>3、</w:t>
      </w:r>
      <w:r>
        <w:rPr>
          <w:rFonts w:hint="eastAsia" w:ascii="宋体" w:hAnsi="宋体"/>
          <w:color w:val="auto"/>
          <w:sz w:val="22"/>
          <w:szCs w:val="22"/>
          <w:highlight w:val="none"/>
        </w:rPr>
        <w:t>供应商应按照采购人提供的</w:t>
      </w:r>
      <w:r>
        <w:rPr>
          <w:rFonts w:hint="eastAsia" w:ascii="宋体" w:hAnsi="宋体" w:eastAsia="宋体"/>
          <w:color w:val="auto"/>
          <w:sz w:val="22"/>
          <w:szCs w:val="22"/>
          <w:highlight w:val="none"/>
          <w:lang w:val="en-US" w:eastAsia="zh-CN"/>
        </w:rPr>
        <w:t>施工</w:t>
      </w:r>
      <w:r>
        <w:rPr>
          <w:rFonts w:hint="eastAsia" w:ascii="宋体" w:hAnsi="宋体"/>
          <w:color w:val="auto"/>
          <w:sz w:val="22"/>
          <w:szCs w:val="22"/>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1D1ECCC1">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b w:val="0"/>
          <w:bCs/>
          <w:color w:val="auto"/>
          <w:sz w:val="22"/>
          <w:szCs w:val="22"/>
          <w:highlight w:val="none"/>
          <w:lang w:eastAsia="zh-CN"/>
        </w:rPr>
      </w:pPr>
      <w:r>
        <w:rPr>
          <w:rFonts w:hint="eastAsia" w:ascii="宋体" w:hAnsi="宋体" w:eastAsia="宋体"/>
          <w:b w:val="0"/>
          <w:bCs/>
          <w:color w:val="auto"/>
          <w:sz w:val="22"/>
          <w:szCs w:val="22"/>
          <w:highlight w:val="none"/>
          <w:lang w:val="en-US" w:eastAsia="zh-CN"/>
        </w:rPr>
        <w:t>4、</w:t>
      </w:r>
      <w:r>
        <w:rPr>
          <w:rFonts w:hint="eastAsia" w:ascii="宋体" w:hAnsi="宋体"/>
          <w:b w:val="0"/>
          <w:bCs/>
          <w:color w:val="auto"/>
          <w:sz w:val="22"/>
          <w:szCs w:val="22"/>
          <w:highlight w:val="none"/>
        </w:rPr>
        <w:t>供应商在</w:t>
      </w:r>
      <w:r>
        <w:rPr>
          <w:rFonts w:hint="eastAsia" w:ascii="宋体" w:hAnsi="宋体" w:eastAsia="宋体"/>
          <w:b w:val="0"/>
          <w:bCs/>
          <w:color w:val="auto"/>
          <w:sz w:val="22"/>
          <w:szCs w:val="22"/>
          <w:highlight w:val="none"/>
          <w:lang w:val="en-US" w:eastAsia="zh-CN"/>
        </w:rPr>
        <w:t>成交后</w:t>
      </w:r>
      <w:r>
        <w:rPr>
          <w:rFonts w:hint="eastAsia" w:ascii="宋体" w:hAnsi="宋体"/>
          <w:b w:val="0"/>
          <w:bCs/>
          <w:color w:val="auto"/>
          <w:sz w:val="22"/>
          <w:szCs w:val="22"/>
          <w:highlight w:val="none"/>
        </w:rPr>
        <w:t>，</w:t>
      </w:r>
      <w:r>
        <w:rPr>
          <w:rFonts w:hint="eastAsia" w:ascii="宋体" w:hAnsi="宋体"/>
          <w:b w:val="0"/>
          <w:bCs/>
          <w:color w:val="auto"/>
          <w:sz w:val="22"/>
          <w:szCs w:val="22"/>
          <w:highlight w:val="none"/>
          <w:lang w:val="en-US" w:eastAsia="zh-CN"/>
        </w:rPr>
        <w:t>需在 2 个工作日内向采购人提供</w:t>
      </w:r>
      <w:r>
        <w:rPr>
          <w:rFonts w:hint="eastAsia" w:ascii="宋体" w:hAnsi="宋体"/>
          <w:b w:val="0"/>
          <w:bCs/>
          <w:color w:val="auto"/>
          <w:sz w:val="22"/>
          <w:szCs w:val="22"/>
          <w:highlight w:val="none"/>
        </w:rPr>
        <w:t>加盖单位公章</w:t>
      </w:r>
      <w:r>
        <w:rPr>
          <w:rFonts w:hint="eastAsia" w:ascii="宋体" w:hAnsi="宋体"/>
          <w:b w:val="0"/>
          <w:bCs/>
          <w:color w:val="auto"/>
          <w:sz w:val="22"/>
          <w:szCs w:val="22"/>
          <w:highlight w:val="none"/>
          <w:lang w:val="en-US" w:eastAsia="zh-CN"/>
        </w:rPr>
        <w:t>二次报价的详细报价清单（含单价分析表、规费、税金等）</w:t>
      </w:r>
      <w:r>
        <w:rPr>
          <w:rFonts w:hint="eastAsia" w:ascii="宋体" w:hAnsi="宋体"/>
          <w:b w:val="0"/>
          <w:bCs/>
          <w:color w:val="auto"/>
          <w:sz w:val="22"/>
          <w:szCs w:val="22"/>
          <w:highlight w:val="none"/>
        </w:rPr>
        <w:t>，否则，视为无效响应。若最后报价与响应文件中报价一致的，可不提供附件</w:t>
      </w:r>
      <w:r>
        <w:rPr>
          <w:rFonts w:hint="eastAsia" w:ascii="宋体" w:hAnsi="宋体" w:eastAsia="宋体"/>
          <w:b w:val="0"/>
          <w:bCs/>
          <w:color w:val="auto"/>
          <w:sz w:val="22"/>
          <w:szCs w:val="22"/>
          <w:highlight w:val="none"/>
          <w:lang w:eastAsia="zh-CN"/>
        </w:rPr>
        <w:t>。</w:t>
      </w:r>
    </w:p>
    <w:p w14:paraId="3EAB5F54">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2"/>
          <w:szCs w:val="22"/>
          <w:highlight w:val="none"/>
        </w:rPr>
      </w:pPr>
      <w:r>
        <w:rPr>
          <w:rFonts w:hint="eastAsia" w:ascii="宋体" w:hAnsi="宋体" w:eastAsia="宋体"/>
          <w:color w:val="auto"/>
          <w:sz w:val="22"/>
          <w:szCs w:val="22"/>
          <w:highlight w:val="none"/>
          <w:lang w:val="en-US" w:eastAsia="zh-CN"/>
        </w:rPr>
        <w:t>5、</w:t>
      </w:r>
      <w:r>
        <w:rPr>
          <w:rFonts w:hint="eastAsia" w:ascii="宋体" w:hAnsi="宋体"/>
          <w:color w:val="auto"/>
          <w:sz w:val="22"/>
          <w:szCs w:val="22"/>
          <w:highlight w:val="none"/>
        </w:rPr>
        <w:t>本项目未经采购人同意不允许转包、分包，否则采购人有权没收履约保证金，情节严重的将终止合同</w:t>
      </w:r>
      <w:r>
        <w:rPr>
          <w:rFonts w:hint="eastAsia" w:ascii="宋体" w:hAnsi="宋体"/>
          <w:bCs/>
          <w:color w:val="auto"/>
          <w:sz w:val="22"/>
          <w:szCs w:val="22"/>
          <w:highlight w:val="none"/>
        </w:rPr>
        <w:t>。</w:t>
      </w:r>
    </w:p>
    <w:p w14:paraId="71F849C7">
      <w:pPr>
        <w:widowControl/>
        <w:spacing w:line="360" w:lineRule="auto"/>
        <w:jc w:val="both"/>
        <w:rPr>
          <w:rFonts w:ascii="宋体" w:hAnsi="宋体"/>
          <w:color w:val="auto"/>
          <w:sz w:val="22"/>
          <w:szCs w:val="22"/>
          <w:highlight w:val="none"/>
        </w:rPr>
      </w:pPr>
      <w:r>
        <w:rPr>
          <w:rFonts w:hint="eastAsia" w:ascii="宋体" w:hAnsi="宋体" w:eastAsia="宋体"/>
          <w:color w:val="auto"/>
          <w:sz w:val="22"/>
          <w:szCs w:val="22"/>
          <w:highlight w:val="none"/>
          <w:lang w:val="en-US" w:eastAsia="zh-CN"/>
        </w:rPr>
        <w:t>6、</w:t>
      </w:r>
      <w:r>
        <w:rPr>
          <w:rFonts w:hint="eastAsia" w:ascii="宋体" w:hAnsi="宋体"/>
          <w:color w:val="auto"/>
          <w:sz w:val="22"/>
          <w:szCs w:val="22"/>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2"/>
          <w:szCs w:val="22"/>
          <w:highlight w:val="none"/>
        </w:rPr>
        <w:t xml:space="preserve">1/10 </w:t>
      </w:r>
      <w:r>
        <w:rPr>
          <w:rFonts w:hint="eastAsia" w:ascii="宋体" w:hAnsi="宋体"/>
          <w:color w:val="auto"/>
          <w:sz w:val="22"/>
          <w:szCs w:val="22"/>
          <w:highlight w:val="none"/>
        </w:rPr>
        <w:t>的，采购人将对成交供应商进行处罚，限额为合同价格的</w:t>
      </w:r>
      <w:r>
        <w:rPr>
          <w:rFonts w:ascii="宋体" w:hAnsi="宋体"/>
          <w:color w:val="auto"/>
          <w:sz w:val="22"/>
          <w:szCs w:val="22"/>
          <w:highlight w:val="none"/>
        </w:rPr>
        <w:t>2%，</w:t>
      </w:r>
      <w:r>
        <w:rPr>
          <w:rFonts w:hint="eastAsia" w:ascii="宋体" w:hAnsi="宋体"/>
          <w:color w:val="auto"/>
          <w:sz w:val="22"/>
          <w:szCs w:val="22"/>
          <w:highlight w:val="none"/>
        </w:rPr>
        <w:t>并终止合同，且履约保证金不予退还。</w:t>
      </w:r>
    </w:p>
    <w:p w14:paraId="0AB6A650">
      <w:pPr>
        <w:widowControl/>
        <w:spacing w:line="360" w:lineRule="auto"/>
        <w:jc w:val="both"/>
        <w:rPr>
          <w:rFonts w:ascii="宋体" w:hAnsi="宋体"/>
          <w:color w:val="auto"/>
          <w:sz w:val="22"/>
          <w:szCs w:val="22"/>
          <w:highlight w:val="none"/>
        </w:rPr>
      </w:pPr>
      <w:r>
        <w:rPr>
          <w:rFonts w:hint="eastAsia" w:ascii="宋体" w:hAnsi="宋体" w:eastAsia="宋体"/>
          <w:color w:val="auto"/>
          <w:sz w:val="22"/>
          <w:szCs w:val="22"/>
          <w:highlight w:val="none"/>
          <w:lang w:val="en-US" w:eastAsia="zh-CN"/>
        </w:rPr>
        <w:t>7、</w:t>
      </w:r>
      <w:r>
        <w:rPr>
          <w:rFonts w:hint="eastAsia" w:ascii="宋体" w:hAnsi="宋体"/>
          <w:color w:val="auto"/>
          <w:sz w:val="22"/>
          <w:szCs w:val="22"/>
          <w:highlight w:val="none"/>
        </w:rPr>
        <w:t>供应商在施工期间须将施工区域用围挡封闭遮挡，确保施工区域与其他公共区域隔离,由此产生的费用由供应商自行承担。</w:t>
      </w:r>
    </w:p>
    <w:p w14:paraId="58E0D365">
      <w:pPr>
        <w:keepNext w:val="0"/>
        <w:keepLines w:val="0"/>
        <w:widowControl/>
        <w:suppressLineNumbers w:val="0"/>
        <w:spacing w:line="360" w:lineRule="auto"/>
        <w:jc w:val="left"/>
        <w:rPr>
          <w:sz w:val="22"/>
          <w:szCs w:val="22"/>
        </w:rPr>
      </w:pPr>
      <w:r>
        <w:rPr>
          <w:rFonts w:hint="eastAsia" w:ascii="宋体" w:hAnsi="宋体" w:eastAsia="宋体" w:cs="宋体"/>
          <w:snapToGrid w:val="0"/>
          <w:color w:val="000000"/>
          <w:kern w:val="0"/>
          <w:sz w:val="22"/>
          <w:szCs w:val="22"/>
          <w:lang w:val="en-US" w:eastAsia="zh-CN" w:bidi="ar"/>
        </w:rPr>
        <w:t xml:space="preserve">8、本项目供应商可自行前往施工现场进行勘察，并对清单及图纸仔细核算成本，报价应包括招标范围内的全部内容，含设备、材料、运保费（包括吊装）、装卸费、安装、 调试费、场内二次搬运费、管理费、保管、维修备件、专用工具、管理费、规费、利润 、税金及质保期内维修费用和相关技术服务费用等。 </w:t>
      </w:r>
    </w:p>
    <w:p w14:paraId="24DC0F87">
      <w:pPr>
        <w:pStyle w:val="3"/>
        <w:rPr>
          <w:rFonts w:hint="eastAsia" w:ascii="宋体" w:hAnsi="宋体" w:eastAsia="宋体" w:cs="宋体"/>
          <w:snapToGrid w:val="0"/>
          <w:color w:val="000000"/>
          <w:kern w:val="0"/>
          <w:sz w:val="22"/>
          <w:szCs w:val="22"/>
          <w:lang w:val="en-US" w:eastAsia="zh-CN" w:bidi="ar"/>
        </w:rPr>
      </w:pPr>
      <w:r>
        <w:rPr>
          <w:rFonts w:hint="eastAsia" w:ascii="宋体" w:hAnsi="宋体" w:eastAsia="宋体" w:cs="宋体"/>
          <w:snapToGrid w:val="0"/>
          <w:color w:val="000000"/>
          <w:kern w:val="0"/>
          <w:sz w:val="22"/>
          <w:szCs w:val="22"/>
          <w:lang w:val="en-US" w:eastAsia="zh-CN" w:bidi="ar"/>
        </w:rPr>
        <w:t>其它未尽事宜，请与采购人联系。</w:t>
      </w:r>
    </w:p>
    <w:p w14:paraId="05101FAF">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ACC6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BEF9F4">
                          <w:pPr>
                            <w:pStyle w:val="4"/>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7FBEF9F4">
                    <w:pPr>
                      <w:pStyle w:val="4"/>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447291"/>
    <w:multiLevelType w:val="singleLevel"/>
    <w:tmpl w:val="B1447291"/>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6341E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2026-05-18T07:39:49Z</dcterms:created>
  <dc:creator>Administrator</dc:creator>
  <cp:lastModifiedBy>Administrator</cp:lastModifiedBy>
  <dcterms:modified xsi:type="dcterms:W3CDTF">2026-05-18T07:40:02Z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eyJoZGlkIjoiZGIwMzYyMzczNzhlYzkzMGYyNGUyZWExOTcwMzAxMTEiLCJ1c2VySWQiOiI1OTI0MTQ4NTIifQ==</vt:lpwstr>
  </property>
  <property fmtid="{D5CDD505-2E9C-101B-9397-08002B2CF9AE}" pid="4" name="ICV">
    <vt:lpwstr>A3B9B75958A74A6DB6B5FE86821BB52C_12</vt:lpwstr>
  </property>
</Properties>
</file>