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4B2880">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0" w:name="_Toc20495"/>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0"/>
    </w:p>
    <w:p w14:paraId="29F373B1">
      <w:pPr>
        <w:pageBreakBefore w:val="0"/>
        <w:widowControl w:val="0"/>
        <w:wordWrap/>
        <w:overflowPunct/>
        <w:topLinePunct w:val="0"/>
        <w:bidi w:val="0"/>
        <w:spacing w:before="78" w:line="360" w:lineRule="auto"/>
        <w:jc w:val="both"/>
        <w:rPr>
          <w:rFonts w:hint="default" w:ascii="宋体" w:hAnsi="宋体" w:eastAsia="宋体" w:cs="宋体"/>
          <w:color w:val="auto"/>
          <w:spacing w:val="-5"/>
          <w:sz w:val="24"/>
          <w:szCs w:val="24"/>
          <w:highlight w:val="none"/>
          <w:lang w:val="en-US" w:eastAsia="zh-CN"/>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hint="eastAsia" w:ascii="宋体" w:hAnsi="宋体" w:eastAsia="宋体" w:cs="宋体"/>
          <w:color w:val="auto"/>
          <w:spacing w:val="25"/>
          <w:sz w:val="24"/>
          <w:szCs w:val="24"/>
          <w:highlight w:val="none"/>
        </w:rPr>
        <w:t>技术需求</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7"/>
        <w:gridCol w:w="8066"/>
      </w:tblGrid>
      <w:tr w14:paraId="4EFEB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8" w:hRule="atLeast"/>
          <w:jc w:val="center"/>
        </w:trPr>
        <w:tc>
          <w:tcPr>
            <w:tcW w:w="456" w:type="dxa"/>
            <w:vAlign w:val="center"/>
          </w:tcPr>
          <w:p w14:paraId="00307331">
            <w:pPr>
              <w:widowControl w:val="0"/>
              <w:jc w:val="center"/>
              <w:rPr>
                <w:rFonts w:hint="eastAsia" w:ascii="仿宋" w:hAnsi="仿宋" w:eastAsia="仿宋" w:cs="仿宋"/>
                <w:vertAlign w:val="baseline"/>
                <w:lang w:val="en-US" w:eastAsia="zh-CN"/>
              </w:rPr>
            </w:pPr>
            <w:r>
              <w:rPr>
                <w:rFonts w:hint="eastAsia" w:ascii="仿宋" w:hAnsi="仿宋" w:eastAsia="仿宋" w:cs="仿宋"/>
                <w:b/>
                <w:bCs/>
                <w:sz w:val="24"/>
                <w:szCs w:val="24"/>
                <w:lang w:val="en-US" w:eastAsia="zh-CN"/>
              </w:rPr>
              <w:t>双柱双层升降片课桌椅</w:t>
            </w:r>
          </w:p>
        </w:tc>
        <w:tc>
          <w:tcPr>
            <w:tcW w:w="8066" w:type="dxa"/>
          </w:tcPr>
          <w:p w14:paraId="009EE895">
            <w:pPr>
              <w:widowControl w:val="0"/>
              <w:jc w:val="both"/>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双柱双层升降片课桌椅整体规格为：650mm*450mm*760mm</w:t>
            </w:r>
          </w:p>
          <w:p w14:paraId="361EF4EF">
            <w:pPr>
              <w:widowControl w:val="0"/>
              <w:numPr>
                <w:ilvl w:val="0"/>
                <w:numId w:val="0"/>
              </w:numPr>
              <w:jc w:val="both"/>
              <w:rPr>
                <w:rFonts w:hint="eastAsia" w:ascii="仿宋" w:hAnsi="仿宋" w:eastAsia="仿宋" w:cs="仿宋"/>
                <w:b/>
                <w:bCs/>
                <w:kern w:val="2"/>
                <w:sz w:val="24"/>
                <w:szCs w:val="24"/>
                <w:lang w:val="en-US" w:eastAsia="zh-CN" w:bidi="ar-SA"/>
              </w:rPr>
            </w:pPr>
            <w:r>
              <w:rPr>
                <w:rFonts w:hint="eastAsia" w:ascii="仿宋" w:hAnsi="仿宋" w:eastAsia="仿宋" w:cs="仿宋"/>
                <w:b/>
                <w:bCs/>
                <w:kern w:val="2"/>
                <w:sz w:val="24"/>
                <w:szCs w:val="24"/>
                <w:lang w:val="en-US" w:eastAsia="zh-CN" w:bidi="ar-SA"/>
              </w:rPr>
              <w:t>（一）原材料</w:t>
            </w:r>
          </w:p>
          <w:p w14:paraId="680921D3">
            <w:pPr>
              <w:widowControl w:val="0"/>
              <w:numPr>
                <w:ilvl w:val="0"/>
                <w:numId w:val="0"/>
              </w:numPr>
              <w:jc w:val="both"/>
              <w:rPr>
                <w:rFonts w:hint="eastAsia" w:ascii="仿宋" w:hAnsi="仿宋" w:eastAsia="仿宋" w:cs="仿宋"/>
                <w:b/>
                <w:bCs/>
                <w:sz w:val="24"/>
                <w:szCs w:val="24"/>
                <w:lang w:val="en-US" w:eastAsia="zh-CN"/>
              </w:rPr>
            </w:pPr>
            <w:r>
              <w:rPr>
                <w:rFonts w:hint="eastAsia" w:ascii="仿宋" w:hAnsi="仿宋" w:eastAsia="仿宋" w:cs="仿宋"/>
                <w:b/>
                <w:bCs/>
                <w:kern w:val="2"/>
                <w:sz w:val="24"/>
                <w:szCs w:val="24"/>
                <w:lang w:val="en-US" w:eastAsia="zh-CN" w:bidi="ar-SA"/>
              </w:rPr>
              <w:t>1、</w:t>
            </w:r>
            <w:r>
              <w:rPr>
                <w:rFonts w:hint="eastAsia" w:ascii="仿宋" w:hAnsi="仿宋" w:eastAsia="仿宋" w:cs="仿宋"/>
                <w:b/>
                <w:bCs/>
                <w:sz w:val="24"/>
                <w:szCs w:val="24"/>
                <w:lang w:val="en-US" w:eastAsia="zh-CN"/>
              </w:rPr>
              <w:t>桌面板</w:t>
            </w:r>
            <w:r>
              <w:rPr>
                <w:rFonts w:hint="eastAsia" w:ascii="仿宋" w:hAnsi="仿宋" w:eastAsia="仿宋" w:cs="仿宋"/>
                <w:sz w:val="24"/>
                <w:szCs w:val="24"/>
                <w:lang w:val="en-US" w:eastAsia="zh-CN"/>
              </w:rPr>
              <w:t>：规格650mm*450mm*18mm，采用环保理化板，PP塑料一次注塑成型，桌面板左上方带有杯槽和刻度尺，刻度尺上带有2条档笔条，桌面靠胸前采用内弧设计，符合人体工程学及人性化设计便于学生书写，桌面板与书斗采用自攻螺丝组合固定。</w:t>
            </w:r>
          </w:p>
          <w:p w14:paraId="103C1388">
            <w:pPr>
              <w:widowControl w:val="0"/>
              <w:numPr>
                <w:ilvl w:val="0"/>
                <w:numId w:val="0"/>
              </w:numPr>
              <w:jc w:val="both"/>
              <w:rPr>
                <w:rFonts w:hint="eastAsia" w:ascii="仿宋" w:hAnsi="仿宋" w:eastAsia="仿宋" w:cs="仿宋"/>
                <w:sz w:val="24"/>
                <w:szCs w:val="24"/>
                <w:lang w:val="en-US" w:eastAsia="zh-CN"/>
              </w:rPr>
            </w:pPr>
            <w:r>
              <w:rPr>
                <w:rFonts w:hint="eastAsia" w:ascii="仿宋" w:hAnsi="仿宋" w:eastAsia="仿宋" w:cs="仿宋"/>
                <w:b/>
                <w:bCs/>
                <w:kern w:val="2"/>
                <w:sz w:val="24"/>
                <w:szCs w:val="24"/>
                <w:lang w:val="en-US" w:eastAsia="zh-CN" w:bidi="ar-SA"/>
              </w:rPr>
              <w:t>2、桌</w:t>
            </w:r>
            <w:r>
              <w:rPr>
                <w:rFonts w:hint="eastAsia" w:ascii="仿宋" w:hAnsi="仿宋" w:eastAsia="仿宋" w:cs="仿宋"/>
                <w:b/>
                <w:bCs/>
                <w:sz w:val="24"/>
                <w:szCs w:val="24"/>
                <w:lang w:val="en-US" w:eastAsia="zh-CN"/>
              </w:rPr>
              <w:t>斗板</w:t>
            </w:r>
            <w:r>
              <w:rPr>
                <w:rFonts w:hint="eastAsia" w:ascii="仿宋" w:hAnsi="仿宋" w:eastAsia="仿宋" w:cs="仿宋"/>
                <w:sz w:val="24"/>
                <w:szCs w:val="24"/>
                <w:lang w:val="en-US" w:eastAsia="zh-CN"/>
              </w:rPr>
              <w:t>：采用≥0.8mm厚冷轧钢板经液压机拉伸一次成型，斗口前方设有18mm的方边，内带8mm一次成型圆边。环保烤塑粉，经高温粉体烤塑，耐刮耐磨。</w:t>
            </w:r>
          </w:p>
          <w:p w14:paraId="0CDCDAAB">
            <w:pPr>
              <w:widowControl w:val="0"/>
              <w:numPr>
                <w:ilvl w:val="0"/>
                <w:numId w:val="0"/>
              </w:numPr>
              <w:jc w:val="both"/>
              <w:rPr>
                <w:rFonts w:hint="eastAsia" w:ascii="仿宋" w:hAnsi="仿宋" w:eastAsia="仿宋" w:cs="仿宋"/>
                <w:sz w:val="24"/>
                <w:szCs w:val="24"/>
                <w:lang w:val="en-US" w:eastAsia="zh-CN"/>
              </w:rPr>
            </w:pPr>
            <w:r>
              <w:rPr>
                <w:rFonts w:hint="eastAsia" w:ascii="仿宋" w:hAnsi="仿宋" w:eastAsia="仿宋" w:cs="仿宋"/>
                <w:b/>
                <w:bCs/>
                <w:kern w:val="2"/>
                <w:sz w:val="24"/>
                <w:szCs w:val="24"/>
                <w:lang w:val="en-US" w:eastAsia="zh-CN" w:bidi="ar-SA"/>
              </w:rPr>
              <w:t>3、课桌</w:t>
            </w:r>
            <w:r>
              <w:rPr>
                <w:rFonts w:hint="eastAsia" w:ascii="仿宋" w:hAnsi="仿宋" w:eastAsia="仿宋" w:cs="仿宋"/>
                <w:b/>
                <w:bCs/>
                <w:sz w:val="24"/>
                <w:szCs w:val="24"/>
                <w:lang w:val="en-US" w:eastAsia="zh-CN"/>
              </w:rPr>
              <w:t>升降片:</w:t>
            </w:r>
            <w:r>
              <w:rPr>
                <w:rFonts w:hint="eastAsia" w:ascii="仿宋" w:hAnsi="仿宋" w:eastAsia="仿宋" w:cs="仿宋"/>
                <w:sz w:val="24"/>
                <w:szCs w:val="24"/>
                <w:lang w:val="en-US" w:eastAsia="zh-CN"/>
              </w:rPr>
              <w:t>采用主体上宽350mm下宽265mm总高度470mm厚度≥0.8mm的冷轧板一次冲压而成，成型后上斗高192mm，下斗高208mm，升降片必须具有两列调节升降圆形孔，两列孔距为110mm；</w:t>
            </w:r>
            <w:r>
              <w:rPr>
                <w:rFonts w:hint="eastAsia" w:ascii="仿宋" w:hAnsi="仿宋" w:eastAsia="仿宋" w:cs="仿宋"/>
                <w:sz w:val="24"/>
                <w:szCs w:val="24"/>
              </w:rPr>
              <w:t>桌子升降片上带有能安装铁挂钩或塑料挂钩的孔</w:t>
            </w:r>
            <w:r>
              <w:rPr>
                <w:rFonts w:hint="eastAsia" w:ascii="仿宋" w:hAnsi="仿宋" w:eastAsia="仿宋" w:cs="仿宋"/>
                <w:sz w:val="24"/>
                <w:szCs w:val="24"/>
                <w:lang w:eastAsia="zh-CN"/>
              </w:rPr>
              <w:t>以及放</w:t>
            </w:r>
            <w:r>
              <w:rPr>
                <w:rFonts w:hint="eastAsia" w:ascii="仿宋" w:hAnsi="仿宋" w:eastAsia="仿宋" w:cs="仿宋"/>
                <w:sz w:val="24"/>
                <w:szCs w:val="24"/>
                <w:lang w:val="en-US" w:eastAsia="zh-CN"/>
              </w:rPr>
              <w:t>座位编号</w:t>
            </w:r>
            <w:r>
              <w:rPr>
                <w:rFonts w:hint="eastAsia" w:ascii="仿宋" w:hAnsi="仿宋" w:eastAsia="仿宋" w:cs="仿宋"/>
                <w:sz w:val="24"/>
                <w:szCs w:val="24"/>
                <w:lang w:eastAsia="zh-CN"/>
              </w:rPr>
              <w:t>卡片或身份</w:t>
            </w:r>
            <w:r>
              <w:rPr>
                <w:rFonts w:hint="eastAsia" w:ascii="仿宋" w:hAnsi="仿宋" w:eastAsia="仿宋" w:cs="仿宋"/>
                <w:sz w:val="24"/>
                <w:szCs w:val="24"/>
                <w:lang w:val="en-US" w:eastAsia="zh-CN"/>
              </w:rPr>
              <w:t>识别证件</w:t>
            </w:r>
            <w:r>
              <w:rPr>
                <w:rFonts w:hint="eastAsia" w:ascii="仿宋" w:hAnsi="仿宋" w:eastAsia="仿宋" w:cs="仿宋"/>
                <w:sz w:val="24"/>
                <w:szCs w:val="24"/>
                <w:lang w:eastAsia="zh-CN"/>
              </w:rPr>
              <w:t>的方孔。</w:t>
            </w:r>
            <w:r>
              <w:rPr>
                <w:rFonts w:hint="eastAsia" w:ascii="仿宋" w:hAnsi="仿宋" w:eastAsia="仿宋" w:cs="仿宋"/>
                <w:sz w:val="24"/>
                <w:szCs w:val="24"/>
                <w:lang w:val="en-US" w:eastAsia="zh-CN"/>
              </w:rPr>
              <w:t>升降片周围及边缘有加强筋，增加韧性及书斗承重力。书斗开口处做卷边处理（起到保护不被刮伤作用）</w:t>
            </w:r>
          </w:p>
          <w:p w14:paraId="7DBE8129">
            <w:pPr>
              <w:widowControl w:val="0"/>
              <w:numPr>
                <w:ilvl w:val="0"/>
                <w:numId w:val="0"/>
              </w:numPr>
              <w:jc w:val="both"/>
              <w:rPr>
                <w:rFonts w:hint="eastAsia" w:ascii="仿宋" w:hAnsi="仿宋" w:eastAsia="仿宋" w:cs="仿宋"/>
                <w:sz w:val="24"/>
                <w:szCs w:val="24"/>
                <w:lang w:val="en-US" w:eastAsia="zh-CN"/>
              </w:rPr>
            </w:pPr>
            <w:r>
              <w:rPr>
                <w:rFonts w:hint="eastAsia" w:ascii="仿宋" w:hAnsi="仿宋" w:eastAsia="仿宋" w:cs="仿宋"/>
                <w:b/>
                <w:bCs/>
                <w:kern w:val="2"/>
                <w:sz w:val="24"/>
                <w:szCs w:val="24"/>
                <w:lang w:val="en-US" w:eastAsia="zh-CN" w:bidi="ar-SA"/>
              </w:rPr>
              <w:t>4、座靠背</w:t>
            </w:r>
            <w:r>
              <w:rPr>
                <w:rFonts w:hint="eastAsia" w:ascii="仿宋" w:hAnsi="仿宋" w:eastAsia="仿宋" w:cs="仿宋"/>
                <w:kern w:val="2"/>
                <w:sz w:val="24"/>
                <w:szCs w:val="24"/>
                <w:lang w:val="en-US" w:eastAsia="zh-CN" w:bidi="ar-SA"/>
              </w:rPr>
              <w:t>：椅子座板规格宽400mm*深360mm*厚18mm，靠背规格宽400mm*高180mm*厚18mm，坐板和靠背</w:t>
            </w:r>
            <w:r>
              <w:rPr>
                <w:rFonts w:hint="eastAsia" w:ascii="仿宋" w:hAnsi="仿宋" w:eastAsia="仿宋" w:cs="仿宋"/>
                <w:sz w:val="24"/>
                <w:szCs w:val="24"/>
                <w:lang w:val="en-US" w:eastAsia="zh-CN"/>
              </w:rPr>
              <w:t>采用环保理化板，PP塑料一次注塑成型。</w:t>
            </w:r>
          </w:p>
          <w:p w14:paraId="18EFFA7F">
            <w:pPr>
              <w:widowControl w:val="0"/>
              <w:numPr>
                <w:ilvl w:val="0"/>
                <w:numId w:val="0"/>
              </w:numPr>
              <w:jc w:val="both"/>
              <w:rPr>
                <w:rFonts w:hint="eastAsia" w:ascii="仿宋" w:hAnsi="仿宋" w:eastAsia="仿宋" w:cs="仿宋"/>
                <w:sz w:val="24"/>
                <w:szCs w:val="24"/>
                <w:lang w:val="en-US" w:eastAsia="zh-CN"/>
              </w:rPr>
            </w:pPr>
            <w:r>
              <w:rPr>
                <w:rFonts w:hint="eastAsia" w:ascii="仿宋" w:hAnsi="仿宋" w:eastAsia="仿宋" w:cs="仿宋"/>
                <w:b/>
                <w:bCs/>
                <w:sz w:val="24"/>
                <w:szCs w:val="24"/>
                <w:lang w:val="en-US" w:eastAsia="zh-CN"/>
              </w:rPr>
              <w:t>5、课椅升降片：</w:t>
            </w:r>
            <w:r>
              <w:rPr>
                <w:rFonts w:hint="eastAsia" w:ascii="仿宋" w:hAnsi="仿宋" w:eastAsia="仿宋" w:cs="仿宋"/>
                <w:sz w:val="24"/>
                <w:szCs w:val="24"/>
                <w:lang w:val="en-US" w:eastAsia="zh-CN"/>
              </w:rPr>
              <w:t>采用主体上宽20mm下宽16.5mm总高度18mm厚度≥0.8mm的冷轧板一次冲压而成。升降片具有两列升降圆形孔，升降片四周边缘带有一次性冲压成型的加强筋，开口处需折边处理。</w:t>
            </w:r>
          </w:p>
          <w:p w14:paraId="2554421C">
            <w:pPr>
              <w:widowControl w:val="0"/>
              <w:numPr>
                <w:ilvl w:val="0"/>
                <w:numId w:val="0"/>
              </w:numPr>
              <w:jc w:val="both"/>
              <w:rPr>
                <w:rFonts w:hint="eastAsia" w:ascii="仿宋" w:hAnsi="仿宋" w:eastAsia="仿宋" w:cs="仿宋"/>
                <w:sz w:val="24"/>
                <w:szCs w:val="24"/>
                <w:lang w:val="en-US" w:eastAsia="zh-CN"/>
              </w:rPr>
            </w:pPr>
            <w:r>
              <w:rPr>
                <w:rFonts w:hint="eastAsia" w:ascii="仿宋" w:hAnsi="仿宋" w:eastAsia="仿宋" w:cs="仿宋"/>
                <w:b/>
                <w:bCs/>
                <w:sz w:val="24"/>
                <w:szCs w:val="24"/>
                <w:lang w:val="en-US" w:eastAsia="zh-CN"/>
              </w:rPr>
              <w:t>6、桌椅钢架：</w:t>
            </w:r>
            <w:r>
              <w:rPr>
                <w:rFonts w:hint="eastAsia" w:ascii="仿宋" w:hAnsi="仿宋" w:eastAsia="仿宋" w:cs="仿宋"/>
                <w:sz w:val="24"/>
                <w:szCs w:val="24"/>
                <w:lang w:val="en-US" w:eastAsia="zh-CN"/>
              </w:rPr>
              <w:t>底腿采用≥20×50×1.0mm厚的扁圆管，立柱采用≥20×50×1.0mm厚的扁圆管焊接而成。</w:t>
            </w:r>
          </w:p>
          <w:p w14:paraId="43DC2066">
            <w:pPr>
              <w:widowControl w:val="0"/>
              <w:numPr>
                <w:ilvl w:val="0"/>
                <w:numId w:val="0"/>
              </w:numPr>
              <w:jc w:val="both"/>
              <w:rPr>
                <w:rFonts w:hint="eastAsia" w:ascii="仿宋" w:hAnsi="仿宋" w:eastAsia="仿宋" w:cs="仿宋"/>
                <w:sz w:val="24"/>
                <w:szCs w:val="24"/>
                <w:lang w:val="en-US" w:eastAsia="zh-CN"/>
              </w:rPr>
            </w:pPr>
            <w:r>
              <w:rPr>
                <w:rFonts w:hint="eastAsia" w:ascii="仿宋" w:hAnsi="仿宋" w:eastAsia="仿宋" w:cs="仿宋"/>
                <w:b/>
                <w:bCs/>
                <w:sz w:val="24"/>
                <w:szCs w:val="24"/>
                <w:lang w:val="en-US" w:eastAsia="zh-CN"/>
              </w:rPr>
              <w:t>7、脚套：</w:t>
            </w:r>
            <w:r>
              <w:rPr>
                <w:rFonts w:hint="eastAsia" w:ascii="仿宋" w:hAnsi="仿宋" w:eastAsia="仿宋" w:cs="仿宋"/>
                <w:sz w:val="24"/>
                <w:szCs w:val="24"/>
                <w:lang w:val="en-US" w:eastAsia="zh-CN"/>
              </w:rPr>
              <w:t>采用PP塑料一次注塑成型，脚套有倒钩技术，不易脱落，耐磨、耐老化，脚套底部加厚加宽，增加着地面积</w:t>
            </w:r>
          </w:p>
          <w:p w14:paraId="2E392585">
            <w:pPr>
              <w:widowControl w:val="0"/>
              <w:numPr>
                <w:ilvl w:val="0"/>
                <w:numId w:val="0"/>
              </w:numPr>
              <w:jc w:val="both"/>
              <w:rPr>
                <w:rFonts w:hint="eastAsia" w:ascii="仿宋" w:hAnsi="仿宋" w:eastAsia="仿宋" w:cs="仿宋"/>
                <w:sz w:val="24"/>
                <w:szCs w:val="24"/>
                <w:lang w:val="en-US" w:eastAsia="zh-CN"/>
              </w:rPr>
            </w:pPr>
            <w:r>
              <w:rPr>
                <w:rFonts w:hint="eastAsia" w:ascii="仿宋" w:hAnsi="仿宋" w:eastAsia="仿宋" w:cs="仿宋"/>
                <w:b/>
                <w:bCs/>
                <w:sz w:val="24"/>
                <w:szCs w:val="24"/>
                <w:lang w:val="en-US" w:eastAsia="zh-CN"/>
              </w:rPr>
              <w:t>8、升降功能：</w:t>
            </w:r>
            <w:r>
              <w:rPr>
                <w:rFonts w:hint="eastAsia" w:ascii="仿宋" w:hAnsi="仿宋" w:eastAsia="仿宋" w:cs="仿宋"/>
                <w:sz w:val="24"/>
                <w:szCs w:val="24"/>
                <w:lang w:val="en-US" w:eastAsia="zh-CN"/>
              </w:rPr>
              <w:t>使用升降片升降，根据学生要求调出所需的高度。</w:t>
            </w:r>
          </w:p>
          <w:p w14:paraId="054835C8">
            <w:pPr>
              <w:widowControl w:val="0"/>
              <w:numPr>
                <w:ilvl w:val="0"/>
                <w:numId w:val="0"/>
              </w:numPr>
              <w:jc w:val="both"/>
              <w:rPr>
                <w:rFonts w:hint="eastAsia" w:ascii="仿宋" w:hAnsi="仿宋" w:eastAsia="仿宋" w:cs="仿宋"/>
                <w:sz w:val="24"/>
                <w:szCs w:val="24"/>
                <w:lang w:val="en-US" w:eastAsia="zh-CN"/>
              </w:rPr>
            </w:pPr>
            <w:r>
              <w:rPr>
                <w:rFonts w:hint="eastAsia" w:ascii="仿宋" w:hAnsi="仿宋" w:eastAsia="仿宋" w:cs="仿宋"/>
                <w:b/>
                <w:bCs/>
                <w:sz w:val="24"/>
                <w:szCs w:val="24"/>
                <w:lang w:val="en-US" w:eastAsia="zh-CN"/>
              </w:rPr>
              <w:t>★9、钢板（冷轧钢板）：</w:t>
            </w:r>
            <w:r>
              <w:rPr>
                <w:rFonts w:hint="eastAsia" w:ascii="仿宋" w:hAnsi="仿宋" w:eastAsia="仿宋" w:cs="仿宋"/>
                <w:sz w:val="24"/>
                <w:szCs w:val="24"/>
                <w:lang w:val="en-US" w:eastAsia="zh-CN"/>
              </w:rPr>
              <w:t>须符合GB/T 3325-2017《金属家具通用技术条件》、GB/T1732-1993《漆膜耐冲击性测定法》，检测内容至少须包含①外观性能：涂层应无漏喷、锈蚀和脱色、掉色现象；涂层应光滑均匀，色泽一致，应无流挂、疙瘩、皱皮、飞漆等缺陷；②硬度≥7H ；③冲击强度：冲击高度≥700mm ，应无剥落、裂纹、皱纹；④附着力≥1级。</w:t>
            </w:r>
          </w:p>
          <w:p w14:paraId="571DF4ED">
            <w:pPr>
              <w:pStyle w:val="2"/>
              <w:widowControl w:val="0"/>
              <w:spacing w:before="0" w:after="0" w:line="240" w:lineRule="auto"/>
              <w:jc w:val="both"/>
              <w:rPr>
                <w:rFonts w:hint="eastAsia" w:ascii="仿宋" w:hAnsi="仿宋" w:eastAsia="仿宋" w:cs="仿宋"/>
                <w:highlight w:val="none"/>
                <w:lang w:val="en-US" w:eastAsia="zh-CN"/>
              </w:rPr>
            </w:pPr>
            <w:r>
              <w:rPr>
                <w:rFonts w:hint="eastAsia" w:ascii="仿宋" w:hAnsi="仿宋" w:eastAsia="仿宋" w:cs="仿宋"/>
                <w:b/>
                <w:bCs/>
                <w:sz w:val="24"/>
                <w:szCs w:val="24"/>
                <w:highlight w:val="none"/>
                <w:lang w:val="en-US" w:eastAsia="zh-CN"/>
              </w:rPr>
              <w:t>（响应文件中提供相应承诺函（格式自拟），并加盖供应商公章。）</w:t>
            </w:r>
          </w:p>
          <w:p w14:paraId="48F67312">
            <w:pPr>
              <w:widowControl w:val="0"/>
              <w:numPr>
                <w:ilvl w:val="0"/>
                <w:numId w:val="0"/>
              </w:numPr>
              <w:jc w:val="both"/>
              <w:rPr>
                <w:rFonts w:hint="eastAsia" w:ascii="仿宋" w:hAnsi="仿宋" w:eastAsia="仿宋" w:cs="仿宋"/>
                <w:sz w:val="24"/>
                <w:szCs w:val="24"/>
                <w:lang w:val="en-US" w:eastAsia="zh-CN"/>
              </w:rPr>
            </w:pPr>
            <w:r>
              <w:rPr>
                <w:rFonts w:hint="eastAsia" w:ascii="仿宋" w:hAnsi="仿宋" w:eastAsia="仿宋" w:cs="仿宋"/>
                <w:b/>
                <w:bCs/>
                <w:sz w:val="24"/>
                <w:szCs w:val="24"/>
                <w:lang w:val="en-US" w:eastAsia="zh-CN"/>
              </w:rPr>
              <w:t>★10、钢管：</w:t>
            </w:r>
            <w:r>
              <w:rPr>
                <w:rFonts w:hint="eastAsia" w:ascii="仿宋" w:hAnsi="仿宋" w:eastAsia="仿宋" w:cs="仿宋"/>
                <w:sz w:val="24"/>
                <w:szCs w:val="24"/>
                <w:lang w:val="en-US" w:eastAsia="zh-CN"/>
              </w:rPr>
              <w:t>须符合QB/T 4767-2014《家具用钢构件》、GB/T 246-2007《金属管压扁试验方法》、GB/T 230.1-2018《金属材料 洛氏硬度试验》，检测内容至少须包含（1）产品外观合格；（2）化学成分（质量分数）%：C≤0.07%、Si≤0.75%、Mn≤2.00%、P≤0.045%、S≤0.030%、Ni（8.00~10.50）%、Cr（17.50~19.50）%、N≤0.10%；（3）规定塑性延伸强度≥245MPa；（4）抗拉强度≥550MPa；（5）断后伸长率≥50%；（6）压扁试验无目视可见裂缝或裂口；（7）硬度（HRBW）合格。</w:t>
            </w:r>
          </w:p>
          <w:p w14:paraId="087290AB">
            <w:pPr>
              <w:pStyle w:val="2"/>
              <w:widowControl w:val="0"/>
              <w:spacing w:before="0" w:after="0" w:line="240" w:lineRule="auto"/>
              <w:jc w:val="both"/>
              <w:rPr>
                <w:rFonts w:hint="eastAsia" w:ascii="仿宋" w:hAnsi="仿宋" w:eastAsia="仿宋" w:cs="仿宋"/>
                <w:highlight w:val="none"/>
                <w:lang w:val="en-US" w:eastAsia="zh-CN"/>
              </w:rPr>
            </w:pPr>
            <w:r>
              <w:rPr>
                <w:rFonts w:hint="eastAsia" w:ascii="仿宋" w:hAnsi="仿宋" w:eastAsia="仿宋" w:cs="仿宋"/>
                <w:b/>
                <w:bCs/>
                <w:sz w:val="24"/>
                <w:szCs w:val="24"/>
                <w:highlight w:val="none"/>
                <w:lang w:val="en-US" w:eastAsia="zh-CN"/>
              </w:rPr>
              <w:t>（响应文件中提供相应承诺函（格式自拟），并加盖供应商公章。）</w:t>
            </w:r>
          </w:p>
          <w:p w14:paraId="3791A753">
            <w:pPr>
              <w:widowControl w:val="0"/>
              <w:numPr>
                <w:ilvl w:val="0"/>
                <w:numId w:val="0"/>
              </w:numPr>
              <w:jc w:val="both"/>
              <w:rPr>
                <w:rFonts w:hint="eastAsia" w:ascii="仿宋" w:hAnsi="仿宋" w:eastAsia="仿宋" w:cs="仿宋"/>
                <w:b/>
                <w:bCs/>
                <w:kern w:val="2"/>
                <w:sz w:val="24"/>
                <w:szCs w:val="24"/>
                <w:lang w:val="en-US" w:eastAsia="zh-CN" w:bidi="ar-SA"/>
              </w:rPr>
            </w:pPr>
          </w:p>
          <w:p w14:paraId="2EFCB682">
            <w:pPr>
              <w:widowControl w:val="0"/>
              <w:numPr>
                <w:ilvl w:val="0"/>
                <w:numId w:val="0"/>
              </w:numPr>
              <w:jc w:val="both"/>
              <w:rPr>
                <w:rFonts w:hint="eastAsia" w:ascii="仿宋" w:hAnsi="仿宋" w:eastAsia="仿宋" w:cs="仿宋"/>
                <w:lang w:val="en-US" w:eastAsia="zh-CN"/>
              </w:rPr>
            </w:pPr>
            <w:r>
              <w:rPr>
                <w:rFonts w:hint="eastAsia" w:ascii="仿宋" w:hAnsi="仿宋" w:eastAsia="仿宋" w:cs="仿宋"/>
                <w:b/>
                <w:bCs/>
                <w:kern w:val="2"/>
                <w:sz w:val="24"/>
                <w:szCs w:val="24"/>
                <w:lang w:val="en-US" w:eastAsia="zh-CN" w:bidi="ar-SA"/>
              </w:rPr>
              <w:t>（二）成品</w:t>
            </w:r>
          </w:p>
          <w:p w14:paraId="4532AF29">
            <w:pPr>
              <w:widowControl w:val="0"/>
              <w:numPr>
                <w:ilvl w:val="0"/>
                <w:numId w:val="0"/>
              </w:numPr>
              <w:jc w:val="both"/>
              <w:rPr>
                <w:rFonts w:hint="eastAsia" w:ascii="仿宋" w:hAnsi="仿宋" w:eastAsia="仿宋" w:cs="仿宋"/>
                <w:sz w:val="24"/>
                <w:szCs w:val="24"/>
                <w:lang w:val="en-US" w:eastAsia="zh-CN"/>
              </w:rPr>
            </w:pPr>
            <w:r>
              <w:rPr>
                <w:rFonts w:hint="eastAsia" w:ascii="仿宋" w:hAnsi="仿宋" w:eastAsia="仿宋" w:cs="仿宋"/>
                <w:b/>
                <w:bCs/>
                <w:sz w:val="24"/>
                <w:szCs w:val="24"/>
                <w:lang w:val="en-US" w:eastAsia="zh-CN"/>
              </w:rPr>
              <w:t>★1、课桌</w:t>
            </w:r>
            <w:r>
              <w:rPr>
                <w:rFonts w:hint="eastAsia" w:ascii="仿宋" w:hAnsi="仿宋" w:eastAsia="仿宋" w:cs="仿宋"/>
                <w:sz w:val="24"/>
                <w:szCs w:val="24"/>
                <w:lang w:val="en-US" w:eastAsia="zh-CN"/>
              </w:rPr>
              <w:t>：须符合QB/T4071-2021《课桌椅》、GB/T3325-2024《金属家具通用技术条件》、GB/T17657-2022《人造板及饰面人造板理化性能试验方法》，检测内容至少须包含耐液性≥3级，耐湿热≥3级，耐干热≥3级，附着力≥3级，耐磨性≥3级，抗冲击≥3级，甲醛释放量≤0.07mg/L，可溶性重金属铅、镉、铬、汞均未检出，桌面垂直静载荷、桌腿跌落、桌面水平静载荷、耐腐蚀、耐香烟灼烧均符合。</w:t>
            </w:r>
          </w:p>
          <w:p w14:paraId="229EE95C">
            <w:pPr>
              <w:pStyle w:val="2"/>
              <w:widowControl w:val="0"/>
              <w:spacing w:before="0" w:after="0" w:line="240" w:lineRule="auto"/>
              <w:jc w:val="both"/>
              <w:rPr>
                <w:rFonts w:hint="eastAsia" w:ascii="仿宋" w:hAnsi="仿宋" w:eastAsia="仿宋" w:cs="仿宋"/>
                <w:highlight w:val="none"/>
                <w:lang w:val="en-US" w:eastAsia="zh-CN"/>
              </w:rPr>
            </w:pPr>
            <w:r>
              <w:rPr>
                <w:rFonts w:hint="eastAsia" w:ascii="仿宋" w:hAnsi="仿宋" w:eastAsia="仿宋" w:cs="仿宋"/>
                <w:b/>
                <w:bCs/>
                <w:sz w:val="24"/>
                <w:szCs w:val="24"/>
                <w:highlight w:val="none"/>
                <w:lang w:val="en-US" w:eastAsia="zh-CN"/>
              </w:rPr>
              <w:t>（响应文件中提供相应承诺函（格式自拟），并加盖供应商公章。）</w:t>
            </w:r>
          </w:p>
          <w:p w14:paraId="4206600F">
            <w:pPr>
              <w:widowControl w:val="0"/>
              <w:numPr>
                <w:ilvl w:val="0"/>
                <w:numId w:val="0"/>
              </w:numPr>
              <w:jc w:val="both"/>
              <w:rPr>
                <w:rFonts w:hint="eastAsia" w:ascii="仿宋" w:hAnsi="仿宋" w:eastAsia="仿宋" w:cs="仿宋"/>
                <w:sz w:val="24"/>
                <w:szCs w:val="24"/>
                <w:lang w:val="en-US" w:eastAsia="zh-CN"/>
              </w:rPr>
            </w:pPr>
            <w:r>
              <w:rPr>
                <w:rFonts w:hint="eastAsia" w:ascii="仿宋" w:hAnsi="仿宋" w:eastAsia="仿宋" w:cs="仿宋"/>
                <w:b/>
                <w:bCs/>
                <w:sz w:val="24"/>
                <w:szCs w:val="24"/>
                <w:lang w:val="en-US" w:eastAsia="zh-CN"/>
              </w:rPr>
              <w:t>★2、课椅</w:t>
            </w:r>
            <w:r>
              <w:rPr>
                <w:rFonts w:hint="eastAsia" w:ascii="仿宋" w:hAnsi="仿宋" w:eastAsia="仿宋" w:cs="仿宋"/>
                <w:sz w:val="24"/>
                <w:szCs w:val="24"/>
                <w:lang w:val="en-US" w:eastAsia="zh-CN"/>
              </w:rPr>
              <w:t>：须符合QB/T 4071-2021《课桌椅》、GB/T3325-2024《金属家具通用技术条件》、GB/T 17657-2022《人造板及饰面人造板理化性能试验方法》，检测内容至少须包含耐液性≥3级，耐湿热≥3级，耐干热≥3级，附着力≥3级，耐磨性≥3级，抗冲击≥3级，甲醛释放量≤0.07mg/L，可溶性重金属铅、镉、铬、汞均未检出，座面、椅背联合静载荷、座面侧向静载荷、椅腿向前静载荷、椅腿侧向静载荷、座面冲击、椅背冲击、椅腿跌落、椅子向前倾翻、椅子向后倾翻、耐腐蚀、耐香烟灼烧均符合。</w:t>
            </w:r>
          </w:p>
          <w:p w14:paraId="6FC1E9CD">
            <w:pPr>
              <w:pStyle w:val="2"/>
              <w:widowControl w:val="0"/>
              <w:spacing w:before="0" w:after="0" w:line="240" w:lineRule="auto"/>
              <w:jc w:val="both"/>
              <w:rPr>
                <w:rFonts w:hint="eastAsia" w:ascii="仿宋" w:hAnsi="仿宋" w:eastAsia="仿宋" w:cs="仿宋"/>
                <w:lang w:val="en-US" w:eastAsia="zh-CN"/>
              </w:rPr>
            </w:pPr>
            <w:r>
              <w:rPr>
                <w:rFonts w:hint="eastAsia" w:ascii="仿宋" w:hAnsi="仿宋" w:eastAsia="仿宋" w:cs="仿宋"/>
                <w:b/>
                <w:bCs/>
                <w:sz w:val="24"/>
                <w:szCs w:val="24"/>
                <w:highlight w:val="none"/>
                <w:lang w:val="en-US" w:eastAsia="zh-CN"/>
              </w:rPr>
              <w:t>（响应文件中提供相应承诺函（格式自拟），并加盖供应商公章。）</w:t>
            </w:r>
          </w:p>
        </w:tc>
      </w:tr>
      <w:tr w14:paraId="2F6D1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2"/>
            <w:vAlign w:val="center"/>
          </w:tcPr>
          <w:p w14:paraId="7C88A134">
            <w:pPr>
              <w:widowControl w:val="0"/>
              <w:numPr>
                <w:ilvl w:val="0"/>
                <w:numId w:val="0"/>
              </w:numPr>
              <w:jc w:val="both"/>
              <w:rPr>
                <w:rFonts w:hint="eastAsia" w:ascii="仿宋" w:hAnsi="仿宋" w:eastAsia="仿宋" w:cs="仿宋"/>
                <w:color w:val="auto"/>
                <w:sz w:val="24"/>
                <w:szCs w:val="24"/>
                <w:lang w:val="en-US" w:eastAsia="zh-CN"/>
              </w:rPr>
            </w:pPr>
            <w:r>
              <w:rPr>
                <w:rFonts w:hint="eastAsia" w:ascii="仿宋" w:hAnsi="仿宋" w:eastAsia="仿宋" w:cs="仿宋"/>
                <w:sz w:val="24"/>
                <w:szCs w:val="24"/>
                <w:lang w:val="en-US" w:eastAsia="zh-CN"/>
              </w:rPr>
              <w:t>备注：（1）以上涉及到尺寸的均允许2%以内的偏差范围,材料厚度只允许正偏离。</w:t>
            </w:r>
          </w:p>
          <w:p w14:paraId="46EB5D27">
            <w:pPr>
              <w:widowControl w:val="0"/>
              <w:numPr>
                <w:ilvl w:val="0"/>
                <w:numId w:val="0"/>
              </w:numPr>
              <w:jc w:val="both"/>
              <w:rPr>
                <w:rFonts w:hint="eastAsia" w:ascii="仿宋" w:hAnsi="仿宋" w:eastAsia="仿宋" w:cs="仿宋"/>
                <w:b/>
                <w:bCs/>
                <w:sz w:val="24"/>
                <w:szCs w:val="24"/>
                <w:lang w:val="en-US" w:eastAsia="zh-CN"/>
              </w:rPr>
            </w:pPr>
            <w:r>
              <w:rPr>
                <w:rFonts w:hint="eastAsia" w:ascii="仿宋" w:hAnsi="仿宋" w:eastAsia="仿宋" w:cs="仿宋"/>
                <w:color w:val="auto"/>
                <w:sz w:val="24"/>
                <w:szCs w:val="24"/>
                <w:lang w:val="en-US" w:eastAsia="zh-CN"/>
              </w:rPr>
              <w:t>（2）</w:t>
            </w:r>
            <w:r>
              <w:rPr>
                <w:rFonts w:hint="eastAsia" w:ascii="仿宋" w:hAnsi="仿宋" w:eastAsia="仿宋" w:cs="仿宋"/>
                <w:b/>
                <w:bCs/>
                <w:color w:val="auto"/>
                <w:sz w:val="24"/>
                <w:szCs w:val="24"/>
                <w:lang w:val="en-US" w:eastAsia="zh-CN"/>
              </w:rPr>
              <w:t>成交供应商须在签订合同后3个日</w:t>
            </w:r>
            <w:r>
              <w:rPr>
                <w:rFonts w:hint="eastAsia" w:ascii="仿宋" w:hAnsi="仿宋" w:eastAsia="仿宋" w:cs="仿宋"/>
                <w:b/>
                <w:bCs/>
                <w:sz w:val="24"/>
                <w:szCs w:val="24"/>
                <w:lang w:val="en-US" w:eastAsia="zh-CN"/>
              </w:rPr>
              <w:t>历日内提供一套双柱双层升降片课桌椅成品和检测报告原件供采购人查验，如有作假或未按时提供，按虚假响应报相关部门处理。</w:t>
            </w:r>
          </w:p>
        </w:tc>
      </w:tr>
    </w:tbl>
    <w:p w14:paraId="50DBB83C">
      <w:pPr>
        <w:pageBreakBefore w:val="0"/>
        <w:widowControl w:val="0"/>
        <w:wordWrap/>
        <w:overflowPunct/>
        <w:topLinePunct w:val="0"/>
        <w:bidi w:val="0"/>
        <w:spacing w:line="258" w:lineRule="auto"/>
        <w:rPr>
          <w:color w:val="auto"/>
          <w:highlight w:val="none"/>
        </w:rPr>
      </w:pPr>
    </w:p>
    <w:p w14:paraId="2D204476">
      <w:pPr>
        <w:pStyle w:val="4"/>
        <w:tabs>
          <w:tab w:val="left" w:pos="567"/>
        </w:tabs>
        <w:spacing w:line="360" w:lineRule="auto"/>
        <w:ind w:firstLine="0" w:firstLineChars="0"/>
      </w:pPr>
      <w:r>
        <w:rPr>
          <w:rFonts w:hint="eastAsia" w:ascii="宋体" w:hAnsi="宋体" w:eastAsia="宋体" w:cs="宋体"/>
          <w:b/>
          <w:bCs/>
          <w:spacing w:val="1"/>
          <w:sz w:val="24"/>
          <w:szCs w:val="24"/>
        </w:rPr>
        <w:t>注：</w:t>
      </w:r>
      <w:r>
        <w:rPr>
          <w:rFonts w:hint="eastAsia" w:ascii="宋体" w:hAnsi="宋体" w:eastAsia="宋体" w:cs="宋体"/>
          <w:b/>
          <w:bCs/>
          <w:sz w:val="24"/>
          <w:szCs w:val="24"/>
        </w:rPr>
        <w:t>上述所有技术需求</w:t>
      </w:r>
      <w:r>
        <w:rPr>
          <w:rFonts w:hint="eastAsia" w:ascii="宋体" w:hAnsi="宋体" w:eastAsia="宋体" w:cs="宋体"/>
          <w:b/>
          <w:bCs/>
          <w:sz w:val="24"/>
          <w:szCs w:val="24"/>
          <w:lang w:eastAsia="zh-CN"/>
        </w:rPr>
        <w:t>，</w:t>
      </w:r>
      <w:r>
        <w:rPr>
          <w:rFonts w:hint="eastAsia" w:ascii="宋体" w:hAnsi="宋体" w:eastAsia="宋体" w:cs="宋体"/>
          <w:b/>
          <w:bCs/>
          <w:sz w:val="24"/>
          <w:szCs w:val="24"/>
        </w:rPr>
        <w:t>供应商需完全响应，不满足的视为响应无效。</w:t>
      </w:r>
    </w:p>
    <w:p w14:paraId="7B5E64D0">
      <w:pPr>
        <w:pageBreakBefore w:val="0"/>
        <w:widowControl w:val="0"/>
        <w:wordWrap/>
        <w:overflowPunct/>
        <w:topLinePunct w:val="0"/>
        <w:bidi w:val="0"/>
        <w:spacing w:before="78" w:line="360" w:lineRule="auto"/>
        <w:rPr>
          <w:rFonts w:ascii="宋体" w:hAnsi="宋体" w:eastAsia="宋体" w:cs="宋体"/>
          <w:color w:val="auto"/>
          <w:spacing w:val="-6"/>
          <w:sz w:val="24"/>
          <w:szCs w:val="24"/>
          <w:highlight w:val="none"/>
          <w:lang w:eastAsia="zh-CN"/>
        </w:rPr>
      </w:pPr>
    </w:p>
    <w:p w14:paraId="225956AD">
      <w:pPr>
        <w:pageBreakBefore w:val="0"/>
        <w:widowControl w:val="0"/>
        <w:wordWrap/>
        <w:overflowPunct/>
        <w:topLinePunct w:val="0"/>
        <w:bidi w:val="0"/>
        <w:spacing w:before="78" w:line="360" w:lineRule="auto"/>
        <w:rPr>
          <w:rFonts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w:t>
      </w:r>
      <w:r>
        <w:rPr>
          <w:rFonts w:hint="eastAsia" w:ascii="宋体" w:hAnsi="宋体" w:eastAsia="宋体" w:cs="宋体"/>
          <w:color w:val="auto"/>
          <w:spacing w:val="-6"/>
          <w:sz w:val="24"/>
          <w:szCs w:val="24"/>
          <w:highlight w:val="none"/>
          <w:lang w:val="en-US" w:eastAsia="zh-CN"/>
        </w:rPr>
        <w:t>二</w:t>
      </w:r>
      <w:r>
        <w:rPr>
          <w:rFonts w:ascii="宋体" w:hAnsi="宋体" w:eastAsia="宋体" w:cs="宋体"/>
          <w:color w:val="auto"/>
          <w:spacing w:val="-6"/>
          <w:sz w:val="24"/>
          <w:szCs w:val="24"/>
          <w:highlight w:val="none"/>
          <w:lang w:eastAsia="zh-CN"/>
        </w:rPr>
        <w:t>）</w:t>
      </w:r>
      <w:r>
        <w:rPr>
          <w:rFonts w:ascii="宋体" w:hAnsi="宋体" w:eastAsia="宋体" w:cs="宋体"/>
          <w:color w:val="auto"/>
          <w:spacing w:val="32"/>
          <w:sz w:val="24"/>
          <w:szCs w:val="24"/>
          <w:highlight w:val="none"/>
          <w:lang w:eastAsia="zh-CN"/>
        </w:rPr>
        <w:t xml:space="preserve"> </w:t>
      </w:r>
      <w:r>
        <w:rPr>
          <w:rFonts w:hint="eastAsia" w:ascii="宋体" w:hAnsi="宋体" w:cs="宋体"/>
          <w:color w:val="auto"/>
          <w:spacing w:val="0"/>
          <w:position w:val="0"/>
          <w:sz w:val="24"/>
          <w:szCs w:val="24"/>
          <w:highlight w:val="none"/>
        </w:rPr>
        <w:t>商务条款</w:t>
      </w:r>
    </w:p>
    <w:p w14:paraId="4C036E0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rPr>
        <w:t>付款方式：在签订合同后，成交供应商需向采购人缴纳合同总金额5%的履约保证金，项目完成经验收合格并收到成交供应商税务发票后支付全款；5%履约保证金待验收合格后，接到成交供应商退款申请后于30日内，无任何质量问题则一次性全额无息退回。</w:t>
      </w:r>
    </w:p>
    <w:p w14:paraId="136DFD7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交货期：合同签订后5日内完成供货、安装、调试并验收合格。成交供应商负责送货至采购人地点。</w:t>
      </w:r>
    </w:p>
    <w:p w14:paraId="48B6D72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rPr>
        <w:t>安装与验收</w:t>
      </w:r>
    </w:p>
    <w:p w14:paraId="7C60646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（1）</w:t>
      </w:r>
      <w:r>
        <w:rPr>
          <w:rFonts w:hint="eastAsia" w:asciiTheme="minorEastAsia" w:hAnsiTheme="minorEastAsia" w:eastAsiaTheme="minorEastAsia" w:cstheme="minorEastAsia"/>
          <w:sz w:val="24"/>
          <w:szCs w:val="24"/>
        </w:rPr>
        <w:t>成交供应商必须依照谈判文件的要求和响应文件的承诺，将货物安装并调试至正常运行的最佳状态。</w:t>
      </w:r>
    </w:p>
    <w:p w14:paraId="67833FA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货物按谈判文件、响应文件要求及国家标准验收，若无国家标准则按行业标准验收。所有货物为原制造商制造的全新产品，整体无污染，无侵权行为、表面无划损、无任何缺陷隐患。</w:t>
      </w:r>
    </w:p>
    <w:p w14:paraId="6BDAD10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rPr>
        <w:t>货物具有出厂合格证、包装箱号与出厂批号一致，并可追索查阅。所有随货物的附件必须齐全。</w:t>
      </w:r>
    </w:p>
    <w:p w14:paraId="46C5959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（4）</w:t>
      </w:r>
      <w:r>
        <w:rPr>
          <w:rFonts w:hint="eastAsia" w:asciiTheme="minorEastAsia" w:hAnsiTheme="minorEastAsia" w:eastAsiaTheme="minorEastAsia" w:cstheme="minorEastAsia"/>
          <w:sz w:val="24"/>
          <w:szCs w:val="24"/>
        </w:rPr>
        <w:t>货物到达用户现场后，采购人可随时对货物随机抽样（随机抽样不多于3次，每次不多于3种产品，每种每次不多于2组/部/个）送国家有关部门认定具备检测资质的机构按招标（或投标）文件技术指标要求、木种要求进行检测。如抽检样品不符合产品技术参数要求，采购人可扣除中标供应商履约保证金，并终止采购合同追究供应商相应经济及法律责任。若检测时需做破坏性试验的产品，其数量将不计入最终供货数量，检测费用由中标供应商承担。</w:t>
      </w:r>
    </w:p>
    <w:p w14:paraId="4FD6F22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4、</w:t>
      </w:r>
      <w:r>
        <w:rPr>
          <w:rFonts w:hint="eastAsia" w:asciiTheme="minorEastAsia" w:hAnsiTheme="minorEastAsia" w:eastAsiaTheme="minorEastAsia" w:cstheme="minorEastAsia"/>
          <w:sz w:val="24"/>
          <w:szCs w:val="24"/>
        </w:rPr>
        <w:t>售后服务期为：3年；售后服务期自采购人在货物质量验收表上签字之日起计算，保修费用计入总价。</w:t>
      </w:r>
    </w:p>
    <w:p w14:paraId="5721E40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rPr>
        <w:t>售后服务期内，成交供应商负责对其提供的货物整机进行维修和系统维护，不再收取任何费用，但不可抗力（如火灾、雷击等）造成的故障除外。</w:t>
      </w:r>
    </w:p>
    <w:p w14:paraId="7C6557A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6、</w:t>
      </w:r>
      <w:r>
        <w:rPr>
          <w:rFonts w:hint="eastAsia" w:asciiTheme="minorEastAsia" w:hAnsiTheme="minorEastAsia" w:eastAsiaTheme="minorEastAsia" w:cstheme="minorEastAsia"/>
          <w:sz w:val="24"/>
          <w:szCs w:val="24"/>
        </w:rPr>
        <w:t>所有货物保修服务方式均为成交供应商上门保修，即由成交供应商派员到货物使用现场维修，由此产生的一切费用均由成交供应商承担。</w:t>
      </w:r>
    </w:p>
    <w:p w14:paraId="7CF4869A">
      <w:pPr>
        <w:pStyle w:val="4"/>
        <w:pageBreakBefore w:val="0"/>
        <w:tabs>
          <w:tab w:val="left" w:pos="567"/>
        </w:tabs>
        <w:wordWrap/>
        <w:overflowPunct/>
        <w:topLinePunct w:val="0"/>
        <w:autoSpaceDE w:val="0"/>
        <w:autoSpaceDN w:val="0"/>
        <w:bidi w:val="0"/>
        <w:adjustRightInd w:val="0"/>
        <w:snapToGrid w:val="0"/>
        <w:spacing w:line="360" w:lineRule="auto"/>
        <w:ind w:firstLine="0" w:firstLineChars="0"/>
        <w:rPr>
          <w:rFonts w:hint="eastAsia" w:ascii="宋体" w:hAnsi="宋体" w:eastAsia="宋体" w:cs="宋体"/>
          <w:color w:val="auto"/>
          <w:sz w:val="24"/>
          <w:szCs w:val="24"/>
          <w:highlight w:val="none"/>
          <w:lang w:eastAsia="zh-CN"/>
        </w:rPr>
      </w:pPr>
      <w:r>
        <w:rPr>
          <w:rFonts w:hint="eastAsia" w:ascii="宋体" w:hAnsi="宋体" w:eastAsia="宋体" w:cs="宋体"/>
          <w:b/>
          <w:bCs/>
          <w:spacing w:val="1"/>
          <w:sz w:val="24"/>
          <w:szCs w:val="24"/>
        </w:rPr>
        <w:t>注</w:t>
      </w:r>
      <w:r>
        <w:rPr>
          <w:rFonts w:hint="eastAsia" w:ascii="宋体" w:hAnsi="宋体" w:eastAsia="宋体" w:cs="宋体"/>
          <w:b/>
          <w:bCs/>
          <w:sz w:val="24"/>
          <w:szCs w:val="24"/>
        </w:rPr>
        <w:t>：上述所有商务条款，供应商需完全响应，不满足的视为响应无效。</w:t>
      </w:r>
      <w:bookmarkStart w:id="1" w:name="bookmark82"/>
      <w:bookmarkEnd w:id="1"/>
    </w:p>
    <w:p w14:paraId="45ECF457">
      <w:bookmarkStart w:id="2" w:name="_GoBack"/>
      <w:bookmarkEnd w:id="2"/>
    </w:p>
    <w:sectPr>
      <w:footerReference r:id="rId3" w:type="default"/>
      <w:pgSz w:w="11906" w:h="16839"/>
      <w:pgMar w:top="1429" w:right="1587" w:bottom="1429" w:left="158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D8BDAC">
    <w:pPr>
      <w:pStyle w:val="5"/>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526ED5">
                          <w:pPr>
                            <w:pStyle w:val="5"/>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35526ED5">
                    <w:pPr>
                      <w:pStyle w:val="5"/>
                    </w:pPr>
                    <w:r>
                      <w:fldChar w:fldCharType="begin"/>
                    </w:r>
                    <w:r>
                      <w:instrText xml:space="preserve"> PAGE  \* MERGEFORMAT </w:instrText>
                    </w:r>
                    <w:r>
                      <w:fldChar w:fldCharType="separate"/>
                    </w:r>
                    <w:r>
                      <w:t>61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E535611"/>
    <w:rsid w:val="3E5356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8">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w:basedOn w:val="1"/>
    <w:next w:val="4"/>
    <w:qFormat/>
    <w:uiPriority w:val="0"/>
    <w:rPr>
      <w:rFonts w:ascii="仿宋" w:hAnsi="仿宋" w:eastAsia="仿宋" w:cs="仿宋"/>
      <w:sz w:val="30"/>
      <w:szCs w:val="30"/>
    </w:rPr>
  </w:style>
  <w:style w:type="paragraph" w:styleId="4">
    <w:name w:val="Body Text First Indent"/>
    <w:basedOn w:val="3"/>
    <w:qFormat/>
    <w:uiPriority w:val="0"/>
    <w:pPr>
      <w:ind w:firstLine="420" w:firstLineChars="100"/>
    </w:pPr>
  </w:style>
  <w:style w:type="paragraph" w:styleId="5">
    <w:name w:val="footer"/>
    <w:basedOn w:val="1"/>
    <w:qFormat/>
    <w:uiPriority w:val="0"/>
    <w:pPr>
      <w:tabs>
        <w:tab w:val="center" w:pos="4153"/>
        <w:tab w:val="right" w:pos="8306"/>
      </w:tabs>
    </w:pPr>
    <w:rPr>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2026-05-15T09:17:00Z</dcterms:created>
  <dc:creator>落幕wata.</dc:creator>
  <cp:lastModifiedBy>落幕wata.</cp:lastModifiedBy>
  <dcterms:modified xsi:type="dcterms:W3CDTF">2026-05-15T09:17:46Z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5092AC8612734C3B9CA738E30BCD6D0E_11</vt:lpwstr>
  </property>
  <property fmtid="{D5CDD505-2E9C-101B-9397-08002B2CF9AE}" pid="4" name="KSOTemplateDocerSaveRecord">
    <vt:lpwstr>eyJoZGlkIjoiNDU5M2FjZGI5NTAwN2ZjZWY1NTZjNjkyYzYxNzZiNDEiLCJ1c2VySWQiOiI2NTQzMTYyODQifQ==</vt:lpwstr>
  </property>
</Properties>
</file>