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CE78041">
      <w:pPr>
        <w:pageBreakBefore w:val="0"/>
        <w:widowControl w:val="0"/>
        <w:wordWrap/>
        <w:overflowPunct/>
        <w:topLinePunct w:val="0"/>
        <w:bidi w:val="0"/>
        <w:spacing w:before="63" w:line="224" w:lineRule="auto"/>
        <w:jc w:val="center"/>
        <w:rPr>
          <w:rFonts w:ascii="宋体" w:hAnsi="宋体" w:eastAsia="宋体" w:cs="宋体"/>
          <w:color w:val="auto"/>
          <w:sz w:val="31"/>
          <w:szCs w:val="31"/>
          <w:highlight w:val="none"/>
          <w:lang w:eastAsia="zh-CN"/>
        </w:rPr>
      </w:pPr>
      <w:r>
        <w:rPr>
          <w:rFonts w:hint="eastAsia" w:ascii="宋体" w:hAnsi="宋体" w:eastAsia="宋体" w:cs="宋体"/>
          <w:color w:val="auto"/>
          <w:spacing w:val="9"/>
          <w:sz w:val="31"/>
          <w:szCs w:val="31"/>
          <w:highlight w:val="none"/>
          <w:lang w:eastAsia="zh-CN"/>
          <w14:textOutline w14:w="5791" w14:cap="sq" w14:cmpd="sng" w14:algn="ctr">
            <w14:solidFill>
              <w14:srgbClr w14:val="000000"/>
            </w14:solidFill>
            <w14:prstDash w14:val="solid"/>
            <w14:bevel/>
          </w14:textOutline>
        </w:rPr>
        <w:t>采购需求</w:t>
      </w:r>
    </w:p>
    <w:p w14:paraId="10EC163E">
      <w:pPr>
        <w:pageBreakBefore w:val="0"/>
        <w:widowControl w:val="0"/>
        <w:wordWrap/>
        <w:overflowPunct/>
        <w:topLinePunct w:val="0"/>
        <w:bidi w:val="0"/>
        <w:spacing w:line="309" w:lineRule="auto"/>
        <w:jc w:val="center"/>
        <w:rPr>
          <w:color w:val="auto"/>
          <w:highlight w:val="none"/>
          <w:lang w:eastAsia="zh-CN"/>
        </w:rPr>
      </w:pPr>
    </w:p>
    <w:p w14:paraId="0F2A714C">
      <w:pPr>
        <w:pageBreakBefore w:val="0"/>
        <w:widowControl w:val="0"/>
        <w:wordWrap/>
        <w:overflowPunct/>
        <w:topLinePunct w:val="0"/>
        <w:bidi w:val="0"/>
        <w:spacing w:before="78" w:line="220" w:lineRule="auto"/>
        <w:jc w:val="center"/>
        <w:outlineLvl w:val="1"/>
        <w:rPr>
          <w:rFonts w:ascii="宋体" w:hAnsi="宋体" w:eastAsia="宋体" w:cs="宋体"/>
          <w:color w:val="auto"/>
          <w:sz w:val="28"/>
          <w:szCs w:val="28"/>
          <w:highlight w:val="none"/>
        </w:rPr>
      </w:pPr>
      <w:r>
        <w:rPr>
          <w:rFonts w:ascii="宋体" w:hAnsi="宋体" w:eastAsia="宋体" w:cs="宋体"/>
          <w:color w:val="auto"/>
          <w:spacing w:val="-2"/>
          <w:sz w:val="28"/>
          <w:szCs w:val="28"/>
          <w:highlight w:val="none"/>
          <w14:textOutline w14:w="4356" w14:cap="sq" w14:cmpd="sng" w14:algn="ctr">
            <w14:solidFill>
              <w14:srgbClr w14:val="000000"/>
            </w14:solidFill>
            <w14:prstDash w14:val="solid"/>
            <w14:bevel/>
          </w14:textOutline>
        </w:rPr>
        <w:t>一、</w:t>
      </w:r>
      <w:r>
        <w:rPr>
          <w:rFonts w:hint="eastAsia" w:ascii="宋体" w:hAnsi="宋体" w:eastAsia="宋体" w:cs="宋体"/>
          <w:color w:val="auto"/>
          <w:spacing w:val="-2"/>
          <w:sz w:val="28"/>
          <w:szCs w:val="28"/>
          <w:highlight w:val="none"/>
          <w:lang w:val="en-US" w:eastAsia="zh-CN"/>
          <w14:textOutline w14:w="4356" w14:cap="sq" w14:cmpd="sng" w14:algn="ctr">
            <w14:solidFill>
              <w14:srgbClr w14:val="000000"/>
            </w14:solidFill>
            <w14:prstDash w14:val="solid"/>
            <w14:bevel/>
          </w14:textOutline>
        </w:rPr>
        <w:t>采购</w:t>
      </w:r>
      <w:r>
        <w:rPr>
          <w:rFonts w:ascii="宋体" w:hAnsi="宋体" w:eastAsia="宋体" w:cs="宋体"/>
          <w:color w:val="auto"/>
          <w:spacing w:val="-2"/>
          <w:sz w:val="28"/>
          <w:szCs w:val="28"/>
          <w:highlight w:val="none"/>
          <w14:textOutline w14:w="4356" w14:cap="sq" w14:cmpd="sng" w14:algn="ctr">
            <w14:solidFill>
              <w14:srgbClr w14:val="000000"/>
            </w14:solidFill>
            <w14:prstDash w14:val="solid"/>
            <w14:bevel/>
          </w14:textOutline>
        </w:rPr>
        <w:t>需求</w:t>
      </w:r>
      <w:r>
        <w:rPr>
          <w:rFonts w:hint="eastAsia" w:ascii="宋体" w:hAnsi="宋体" w:eastAsia="宋体" w:cs="宋体"/>
          <w:color w:val="auto"/>
          <w:spacing w:val="-2"/>
          <w:sz w:val="28"/>
          <w:szCs w:val="28"/>
          <w:highlight w:val="none"/>
          <w:lang w:val="en-US" w:eastAsia="zh-CN"/>
          <w14:textOutline w14:w="4356" w14:cap="sq" w14:cmpd="sng" w14:algn="ctr">
            <w14:solidFill>
              <w14:srgbClr w14:val="000000"/>
            </w14:solidFill>
            <w14:prstDash w14:val="solid"/>
            <w14:bevel/>
          </w14:textOutline>
        </w:rPr>
        <w:t>一览</w:t>
      </w:r>
      <w:r>
        <w:rPr>
          <w:rFonts w:ascii="宋体" w:hAnsi="宋体" w:eastAsia="宋体" w:cs="宋体"/>
          <w:color w:val="auto"/>
          <w:spacing w:val="-2"/>
          <w:sz w:val="28"/>
          <w:szCs w:val="28"/>
          <w:highlight w:val="none"/>
          <w14:textOutline w14:w="4356" w14:cap="sq" w14:cmpd="sng" w14:algn="ctr">
            <w14:solidFill>
              <w14:srgbClr w14:val="000000"/>
            </w14:solidFill>
            <w14:prstDash w14:val="solid"/>
            <w14:bevel/>
          </w14:textOutline>
        </w:rPr>
        <w:t>表</w:t>
      </w:r>
    </w:p>
    <w:p w14:paraId="00D6E72B">
      <w:pPr>
        <w:pageBreakBefore w:val="0"/>
        <w:widowControl w:val="0"/>
        <w:wordWrap/>
        <w:overflowPunct/>
        <w:topLinePunct w:val="0"/>
        <w:bidi w:val="0"/>
        <w:spacing w:before="64"/>
        <w:rPr>
          <w:color w:val="auto"/>
          <w:highlight w:val="none"/>
        </w:rPr>
      </w:pPr>
    </w:p>
    <w:tbl>
      <w:tblPr>
        <w:tblStyle w:val="6"/>
        <w:tblW w:w="9139" w:type="dxa"/>
        <w:tblInd w:w="-309"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2048"/>
        <w:gridCol w:w="817"/>
        <w:gridCol w:w="6274"/>
      </w:tblGrid>
      <w:tr w14:paraId="1C8660B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292" w:hRule="atLeast"/>
        </w:trPr>
        <w:tc>
          <w:tcPr>
            <w:tcW w:w="2048" w:type="dxa"/>
            <w:tcBorders>
              <w:right w:val="nil"/>
            </w:tcBorders>
          </w:tcPr>
          <w:p w14:paraId="27CEC85E">
            <w:pPr>
              <w:pageBreakBefore w:val="0"/>
              <w:widowControl w:val="0"/>
              <w:wordWrap/>
              <w:overflowPunct/>
              <w:topLinePunct w:val="0"/>
              <w:bidi w:val="0"/>
              <w:spacing w:before="183" w:line="223" w:lineRule="auto"/>
              <w:ind w:left="1091"/>
              <w:rPr>
                <w:rFonts w:ascii="宋体" w:hAnsi="宋体" w:eastAsia="宋体" w:cs="宋体"/>
                <w:color w:val="auto"/>
                <w:sz w:val="24"/>
                <w:szCs w:val="24"/>
                <w:highlight w:val="none"/>
              </w:rPr>
            </w:pPr>
            <w:r>
              <w:rPr>
                <w:color w:val="auto"/>
                <w:highlight w:val="none"/>
              </w:rPr>
              <w:drawing>
                <wp:anchor distT="0" distB="0" distL="0" distR="0" simplePos="0" relativeHeight="251659264" behindDoc="1" locked="0" layoutInCell="1" allowOverlap="1">
                  <wp:simplePos x="0" y="0"/>
                  <wp:positionH relativeFrom="column">
                    <wp:posOffset>6985</wp:posOffset>
                  </wp:positionH>
                  <wp:positionV relativeFrom="paragraph">
                    <wp:posOffset>0</wp:posOffset>
                  </wp:positionV>
                  <wp:extent cx="1805305" cy="1485265"/>
                  <wp:effectExtent l="0" t="0" r="8255" b="8255"/>
                  <wp:wrapNone/>
                  <wp:docPr id="6" name="IM 6"/>
                  <wp:cNvGraphicFramePr/>
                  <a:graphic xmlns:a="http://schemas.openxmlformats.org/drawingml/2006/main">
                    <a:graphicData uri="http://schemas.openxmlformats.org/drawingml/2006/picture">
                      <pic:pic xmlns:pic="http://schemas.openxmlformats.org/drawingml/2006/picture">
                        <pic:nvPicPr>
                          <pic:cNvPr id="6" name="IM 6"/>
                          <pic:cNvPicPr/>
                        </pic:nvPicPr>
                        <pic:blipFill>
                          <a:blip r:embed="rId4"/>
                          <a:stretch>
                            <a:fillRect/>
                          </a:stretch>
                        </pic:blipFill>
                        <pic:spPr>
                          <a:xfrm>
                            <a:off x="0" y="0"/>
                            <a:ext cx="1805051" cy="1485442"/>
                          </a:xfrm>
                          <a:prstGeom prst="rect">
                            <a:avLst/>
                          </a:prstGeom>
                        </pic:spPr>
                      </pic:pic>
                    </a:graphicData>
                  </a:graphic>
                </wp:anchor>
              </w:drawing>
            </w:r>
            <w:r>
              <w:rPr>
                <w:rFonts w:ascii="宋体" w:hAnsi="宋体" w:eastAsia="宋体" w:cs="宋体"/>
                <w:color w:val="auto"/>
                <w:sz w:val="24"/>
                <w:szCs w:val="24"/>
                <w:highlight w:val="none"/>
              </w:rPr>
              <w:t>名</w:t>
            </w:r>
          </w:p>
          <w:p w14:paraId="6C82F925">
            <w:pPr>
              <w:pStyle w:val="7"/>
              <w:pageBreakBefore w:val="0"/>
              <w:widowControl w:val="0"/>
              <w:wordWrap/>
              <w:overflowPunct/>
              <w:topLinePunct w:val="0"/>
              <w:bidi w:val="0"/>
              <w:spacing w:line="245" w:lineRule="auto"/>
              <w:rPr>
                <w:color w:val="auto"/>
                <w:highlight w:val="none"/>
              </w:rPr>
            </w:pPr>
          </w:p>
          <w:p w14:paraId="40F7ED8D">
            <w:pPr>
              <w:pStyle w:val="7"/>
              <w:pageBreakBefore w:val="0"/>
              <w:widowControl w:val="0"/>
              <w:wordWrap/>
              <w:overflowPunct/>
              <w:topLinePunct w:val="0"/>
              <w:bidi w:val="0"/>
              <w:spacing w:line="246" w:lineRule="auto"/>
              <w:rPr>
                <w:color w:val="auto"/>
                <w:highlight w:val="none"/>
              </w:rPr>
            </w:pPr>
          </w:p>
          <w:p w14:paraId="22D0E8F0">
            <w:pPr>
              <w:pageBreakBefore w:val="0"/>
              <w:widowControl w:val="0"/>
              <w:wordWrap/>
              <w:overflowPunct/>
              <w:topLinePunct w:val="0"/>
              <w:bidi w:val="0"/>
              <w:spacing w:before="78" w:line="219" w:lineRule="auto"/>
              <w:ind w:left="481"/>
              <w:rPr>
                <w:rFonts w:ascii="宋体" w:hAnsi="宋体" w:eastAsia="宋体" w:cs="宋体"/>
                <w:color w:val="auto"/>
                <w:sz w:val="24"/>
                <w:szCs w:val="24"/>
                <w:highlight w:val="none"/>
              </w:rPr>
            </w:pPr>
            <w:r>
              <w:rPr>
                <w:rFonts w:ascii="宋体" w:hAnsi="宋体" w:eastAsia="宋体" w:cs="宋体"/>
                <w:color w:val="auto"/>
                <w:sz w:val="24"/>
                <w:szCs w:val="24"/>
                <w:highlight w:val="none"/>
              </w:rPr>
              <w:t>内</w:t>
            </w:r>
          </w:p>
          <w:p w14:paraId="2CCD6524">
            <w:pPr>
              <w:pStyle w:val="7"/>
              <w:pageBreakBefore w:val="0"/>
              <w:widowControl w:val="0"/>
              <w:wordWrap/>
              <w:overflowPunct/>
              <w:topLinePunct w:val="0"/>
              <w:bidi w:val="0"/>
              <w:spacing w:line="338" w:lineRule="auto"/>
              <w:rPr>
                <w:color w:val="auto"/>
                <w:highlight w:val="none"/>
              </w:rPr>
            </w:pPr>
          </w:p>
          <w:p w14:paraId="56739E74">
            <w:pPr>
              <w:pageBreakBefore w:val="0"/>
              <w:widowControl w:val="0"/>
              <w:wordWrap/>
              <w:overflowPunct/>
              <w:topLinePunct w:val="0"/>
              <w:bidi w:val="0"/>
              <w:spacing w:before="78" w:line="220" w:lineRule="auto"/>
              <w:ind w:left="1311"/>
              <w:rPr>
                <w:rFonts w:ascii="宋体" w:hAnsi="宋体" w:eastAsia="宋体" w:cs="宋体"/>
                <w:color w:val="auto"/>
                <w:sz w:val="24"/>
                <w:szCs w:val="24"/>
                <w:highlight w:val="none"/>
              </w:rPr>
            </w:pPr>
            <w:r>
              <w:rPr>
                <w:rFonts w:ascii="宋体" w:hAnsi="宋体" w:eastAsia="宋体" w:cs="宋体"/>
                <w:color w:val="auto"/>
                <w:sz w:val="24"/>
                <w:szCs w:val="24"/>
                <w:highlight w:val="none"/>
              </w:rPr>
              <w:t>容</w:t>
            </w:r>
          </w:p>
        </w:tc>
        <w:tc>
          <w:tcPr>
            <w:tcW w:w="817" w:type="dxa"/>
            <w:tcBorders>
              <w:left w:val="nil"/>
            </w:tcBorders>
          </w:tcPr>
          <w:p w14:paraId="12B26195">
            <w:pPr>
              <w:pStyle w:val="7"/>
              <w:pageBreakBefore w:val="0"/>
              <w:widowControl w:val="0"/>
              <w:wordWrap/>
              <w:overflowPunct/>
              <w:topLinePunct w:val="0"/>
              <w:bidi w:val="0"/>
              <w:spacing w:line="263" w:lineRule="auto"/>
              <w:rPr>
                <w:color w:val="auto"/>
                <w:highlight w:val="none"/>
              </w:rPr>
            </w:pPr>
          </w:p>
          <w:p w14:paraId="0743B18A">
            <w:pPr>
              <w:pStyle w:val="7"/>
              <w:pageBreakBefore w:val="0"/>
              <w:widowControl w:val="0"/>
              <w:wordWrap/>
              <w:overflowPunct/>
              <w:topLinePunct w:val="0"/>
              <w:bidi w:val="0"/>
              <w:spacing w:line="263" w:lineRule="auto"/>
              <w:rPr>
                <w:color w:val="auto"/>
                <w:highlight w:val="none"/>
              </w:rPr>
            </w:pPr>
          </w:p>
          <w:p w14:paraId="144BF3D0">
            <w:pPr>
              <w:pStyle w:val="7"/>
              <w:pageBreakBefore w:val="0"/>
              <w:widowControl w:val="0"/>
              <w:wordWrap/>
              <w:overflowPunct/>
              <w:topLinePunct w:val="0"/>
              <w:bidi w:val="0"/>
              <w:spacing w:line="264" w:lineRule="auto"/>
              <w:rPr>
                <w:color w:val="auto"/>
                <w:highlight w:val="none"/>
              </w:rPr>
            </w:pPr>
          </w:p>
          <w:p w14:paraId="537402C6">
            <w:pPr>
              <w:pageBreakBefore w:val="0"/>
              <w:widowControl w:val="0"/>
              <w:wordWrap/>
              <w:overflowPunct/>
              <w:topLinePunct w:val="0"/>
              <w:bidi w:val="0"/>
              <w:spacing w:before="78" w:line="221" w:lineRule="auto"/>
              <w:ind w:left="192"/>
              <w:rPr>
                <w:rFonts w:ascii="宋体" w:hAnsi="宋体" w:eastAsia="宋体" w:cs="宋体"/>
                <w:color w:val="auto"/>
                <w:sz w:val="24"/>
                <w:szCs w:val="24"/>
                <w:highlight w:val="none"/>
              </w:rPr>
            </w:pPr>
            <w:r>
              <w:rPr>
                <w:rFonts w:ascii="宋体" w:hAnsi="宋体" w:eastAsia="宋体" w:cs="宋体"/>
                <w:color w:val="auto"/>
                <w:sz w:val="24"/>
                <w:szCs w:val="24"/>
                <w:highlight w:val="none"/>
              </w:rPr>
              <w:t>称</w:t>
            </w:r>
          </w:p>
        </w:tc>
        <w:tc>
          <w:tcPr>
            <w:tcW w:w="6274" w:type="dxa"/>
            <w:vAlign w:val="center"/>
          </w:tcPr>
          <w:p w14:paraId="08CE9823">
            <w:pPr>
              <w:pStyle w:val="7"/>
              <w:pageBreakBefore w:val="0"/>
              <w:widowControl w:val="0"/>
              <w:wordWrap/>
              <w:overflowPunct/>
              <w:topLinePunct w:val="0"/>
              <w:bidi w:val="0"/>
              <w:jc w:val="center"/>
              <w:rPr>
                <w:color w:val="auto"/>
                <w:highlight w:val="none"/>
              </w:rPr>
            </w:pPr>
            <w:r>
              <w:rPr>
                <w:rFonts w:hint="eastAsia" w:asciiTheme="minorEastAsia" w:hAnsiTheme="minorEastAsia" w:eastAsiaTheme="minorEastAsia" w:cstheme="minorEastAsia"/>
                <w:snapToGrid w:val="0"/>
                <w:color w:val="auto"/>
                <w:spacing w:val="0"/>
                <w:position w:val="0"/>
                <w:sz w:val="24"/>
                <w:szCs w:val="24"/>
                <w:highlight w:val="none"/>
                <w:lang w:val="en-US" w:eastAsia="zh-CN" w:bidi="ar-SA"/>
              </w:rPr>
              <w:t>月湖区高标准农田整治提升项目设计服务</w:t>
            </w:r>
          </w:p>
        </w:tc>
      </w:tr>
      <w:tr w14:paraId="23D2DFA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4" w:hRule="atLeast"/>
        </w:trPr>
        <w:tc>
          <w:tcPr>
            <w:tcW w:w="2865" w:type="dxa"/>
            <w:gridSpan w:val="2"/>
          </w:tcPr>
          <w:p w14:paraId="4F837650">
            <w:pPr>
              <w:pageBreakBefore w:val="0"/>
              <w:widowControl w:val="0"/>
              <w:wordWrap/>
              <w:overflowPunct/>
              <w:topLinePunct w:val="0"/>
              <w:bidi w:val="0"/>
              <w:spacing w:before="253" w:line="219" w:lineRule="auto"/>
              <w:ind w:left="1188"/>
              <w:rPr>
                <w:rFonts w:ascii="宋体" w:hAnsi="宋体" w:eastAsia="宋体" w:cs="宋体"/>
                <w:color w:val="auto"/>
                <w:sz w:val="24"/>
                <w:szCs w:val="24"/>
                <w:highlight w:val="none"/>
              </w:rPr>
            </w:pPr>
            <w:r>
              <w:rPr>
                <w:rFonts w:ascii="宋体" w:hAnsi="宋体" w:eastAsia="宋体" w:cs="宋体"/>
                <w:color w:val="auto"/>
                <w:spacing w:val="-6"/>
                <w:sz w:val="24"/>
                <w:szCs w:val="24"/>
                <w:highlight w:val="none"/>
              </w:rPr>
              <w:t>数量</w:t>
            </w:r>
          </w:p>
        </w:tc>
        <w:tc>
          <w:tcPr>
            <w:tcW w:w="6274" w:type="dxa"/>
            <w:vAlign w:val="center"/>
          </w:tcPr>
          <w:p w14:paraId="0E4CD573">
            <w:pPr>
              <w:pStyle w:val="7"/>
              <w:pageBreakBefore w:val="0"/>
              <w:widowControl w:val="0"/>
              <w:wordWrap/>
              <w:overflowPunct/>
              <w:topLinePunct w:val="0"/>
              <w:bidi w:val="0"/>
              <w:jc w:val="center"/>
              <w:rPr>
                <w:color w:val="auto"/>
                <w:highlight w:val="none"/>
              </w:rPr>
            </w:pPr>
            <w:r>
              <w:rPr>
                <w:rFonts w:hint="eastAsia" w:asciiTheme="minorEastAsia" w:hAnsiTheme="minorEastAsia" w:eastAsiaTheme="minorEastAsia" w:cstheme="minorEastAsia"/>
                <w:snapToGrid w:val="0"/>
                <w:color w:val="auto"/>
                <w:spacing w:val="0"/>
                <w:position w:val="0"/>
                <w:sz w:val="24"/>
                <w:szCs w:val="24"/>
                <w:highlight w:val="none"/>
                <w:lang w:val="en-US" w:eastAsia="zh-CN" w:bidi="ar-SA"/>
              </w:rPr>
              <w:t>1项</w:t>
            </w:r>
          </w:p>
        </w:tc>
      </w:tr>
      <w:tr w14:paraId="612DA0B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103" w:hRule="atLeast"/>
        </w:trPr>
        <w:tc>
          <w:tcPr>
            <w:tcW w:w="2865" w:type="dxa"/>
            <w:gridSpan w:val="2"/>
          </w:tcPr>
          <w:p w14:paraId="74E77148">
            <w:pPr>
              <w:pageBreakBefore w:val="0"/>
              <w:widowControl w:val="0"/>
              <w:wordWrap/>
              <w:overflowPunct/>
              <w:topLinePunct w:val="0"/>
              <w:bidi w:val="0"/>
              <w:spacing w:before="253" w:line="219" w:lineRule="auto"/>
              <w:ind w:left="1071"/>
              <w:rPr>
                <w:rFonts w:ascii="宋体" w:hAnsi="宋体" w:eastAsia="宋体" w:cs="宋体"/>
                <w:color w:val="auto"/>
                <w:sz w:val="24"/>
                <w:szCs w:val="24"/>
                <w:highlight w:val="none"/>
              </w:rPr>
            </w:pPr>
            <w:r>
              <w:rPr>
                <w:rFonts w:hint="eastAsia" w:ascii="宋体" w:hAnsi="宋体" w:eastAsia="宋体" w:cs="宋体"/>
                <w:color w:val="auto"/>
                <w:spacing w:val="-5"/>
                <w:sz w:val="24"/>
                <w:szCs w:val="24"/>
                <w:highlight w:val="none"/>
                <w:lang w:val="en-US" w:eastAsia="zh-CN"/>
              </w:rPr>
              <w:t>服务</w:t>
            </w:r>
            <w:r>
              <w:rPr>
                <w:rFonts w:ascii="宋体" w:hAnsi="宋体" w:eastAsia="宋体" w:cs="宋体"/>
                <w:color w:val="auto"/>
                <w:spacing w:val="-5"/>
                <w:sz w:val="24"/>
                <w:szCs w:val="24"/>
                <w:highlight w:val="none"/>
              </w:rPr>
              <w:t>期</w:t>
            </w:r>
          </w:p>
        </w:tc>
        <w:tc>
          <w:tcPr>
            <w:tcW w:w="6274" w:type="dxa"/>
            <w:vAlign w:val="center"/>
          </w:tcPr>
          <w:p w14:paraId="2856DFA6">
            <w:pPr>
              <w:pStyle w:val="7"/>
              <w:pageBreakBefore w:val="0"/>
              <w:widowControl w:val="0"/>
              <w:wordWrap/>
              <w:overflowPunct/>
              <w:topLinePunct w:val="0"/>
              <w:bidi w:val="0"/>
              <w:jc w:val="center"/>
              <w:rPr>
                <w:color w:val="auto"/>
                <w:highlight w:val="none"/>
              </w:rPr>
            </w:pPr>
            <w:r>
              <w:rPr>
                <w:rFonts w:hint="eastAsia"/>
                <w:color w:val="auto"/>
                <w:highlight w:val="none"/>
              </w:rPr>
              <w:t>合同签订后</w:t>
            </w:r>
            <w:r>
              <w:rPr>
                <w:rFonts w:hint="eastAsia" w:eastAsia="宋体"/>
                <w:color w:val="auto"/>
                <w:highlight w:val="none"/>
                <w:lang w:val="en-US" w:eastAsia="zh-CN"/>
              </w:rPr>
              <w:t>45</w:t>
            </w:r>
            <w:r>
              <w:rPr>
                <w:rFonts w:hint="eastAsia"/>
                <w:color w:val="auto"/>
                <w:highlight w:val="none"/>
              </w:rPr>
              <w:t xml:space="preserve">日内完成初步设计报告编制（内容包含勘察、测量、概算编制等）及施工图设计；施工期现场服务期限为：自项目开工起至工程完工验收之日止。 </w:t>
            </w:r>
            <w:bookmarkStart w:id="1" w:name="_GoBack"/>
            <w:bookmarkEnd w:id="1"/>
          </w:p>
        </w:tc>
      </w:tr>
      <w:tr w14:paraId="19CBEEE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4" w:hRule="atLeast"/>
        </w:trPr>
        <w:tc>
          <w:tcPr>
            <w:tcW w:w="2865" w:type="dxa"/>
            <w:gridSpan w:val="2"/>
          </w:tcPr>
          <w:p w14:paraId="69591CCF">
            <w:pPr>
              <w:pageBreakBefore w:val="0"/>
              <w:widowControl w:val="0"/>
              <w:wordWrap/>
              <w:overflowPunct/>
              <w:topLinePunct w:val="0"/>
              <w:bidi w:val="0"/>
              <w:spacing w:before="256" w:line="219" w:lineRule="auto"/>
              <w:ind w:left="951"/>
              <w:rPr>
                <w:rFonts w:ascii="宋体" w:hAnsi="宋体" w:eastAsia="宋体" w:cs="宋体"/>
                <w:color w:val="auto"/>
                <w:sz w:val="24"/>
                <w:szCs w:val="24"/>
                <w:highlight w:val="none"/>
              </w:rPr>
            </w:pPr>
            <w:r>
              <w:rPr>
                <w:rFonts w:hint="eastAsia" w:ascii="宋体" w:hAnsi="宋体" w:eastAsia="宋体" w:cs="宋体"/>
                <w:color w:val="auto"/>
                <w:spacing w:val="-4"/>
                <w:sz w:val="24"/>
                <w:szCs w:val="24"/>
                <w:highlight w:val="none"/>
                <w:lang w:val="en-US" w:eastAsia="zh-CN"/>
              </w:rPr>
              <w:t>服务</w:t>
            </w:r>
            <w:r>
              <w:rPr>
                <w:rFonts w:ascii="宋体" w:hAnsi="宋体" w:eastAsia="宋体" w:cs="宋体"/>
                <w:color w:val="auto"/>
                <w:spacing w:val="-4"/>
                <w:sz w:val="24"/>
                <w:szCs w:val="24"/>
                <w:highlight w:val="none"/>
              </w:rPr>
              <w:t>地点</w:t>
            </w:r>
          </w:p>
        </w:tc>
        <w:tc>
          <w:tcPr>
            <w:tcW w:w="6274" w:type="dxa"/>
            <w:vAlign w:val="center"/>
          </w:tcPr>
          <w:p w14:paraId="4BB6DCE7">
            <w:pPr>
              <w:pStyle w:val="7"/>
              <w:pageBreakBefore w:val="0"/>
              <w:widowControl w:val="0"/>
              <w:wordWrap/>
              <w:overflowPunct/>
              <w:topLinePunct w:val="0"/>
              <w:bidi w:val="0"/>
              <w:jc w:val="center"/>
              <w:rPr>
                <w:color w:val="auto"/>
                <w:highlight w:val="none"/>
              </w:rPr>
            </w:pPr>
            <w:r>
              <w:rPr>
                <w:rFonts w:hint="eastAsia" w:asciiTheme="minorEastAsia" w:hAnsiTheme="minorEastAsia" w:eastAsiaTheme="minorEastAsia" w:cstheme="minorEastAsia"/>
                <w:snapToGrid w:val="0"/>
                <w:color w:val="auto"/>
                <w:spacing w:val="0"/>
                <w:position w:val="0"/>
                <w:sz w:val="24"/>
                <w:szCs w:val="24"/>
                <w:highlight w:val="none"/>
                <w:lang w:val="en-US" w:eastAsia="zh-CN" w:bidi="ar-SA"/>
              </w:rPr>
              <w:t>招标人指定地点</w:t>
            </w:r>
          </w:p>
        </w:tc>
      </w:tr>
      <w:tr w14:paraId="31E8564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171" w:hRule="atLeast"/>
        </w:trPr>
        <w:tc>
          <w:tcPr>
            <w:tcW w:w="2865" w:type="dxa"/>
            <w:gridSpan w:val="2"/>
            <w:vAlign w:val="center"/>
          </w:tcPr>
          <w:p w14:paraId="62C91BD2">
            <w:pPr>
              <w:pageBreakBefore w:val="0"/>
              <w:widowControl w:val="0"/>
              <w:wordWrap/>
              <w:overflowPunct/>
              <w:topLinePunct w:val="0"/>
              <w:bidi w:val="0"/>
              <w:spacing w:before="256" w:line="221" w:lineRule="auto"/>
              <w:jc w:val="center"/>
              <w:rPr>
                <w:rFonts w:ascii="宋体" w:hAnsi="宋体" w:eastAsia="宋体" w:cs="宋体"/>
                <w:color w:val="auto"/>
                <w:sz w:val="24"/>
                <w:szCs w:val="24"/>
                <w:highlight w:val="none"/>
              </w:rPr>
            </w:pPr>
            <w:r>
              <w:rPr>
                <w:rFonts w:ascii="宋体" w:hAnsi="宋体" w:eastAsia="宋体" w:cs="宋体"/>
                <w:color w:val="auto"/>
                <w:spacing w:val="-7"/>
                <w:sz w:val="24"/>
                <w:szCs w:val="24"/>
                <w:highlight w:val="none"/>
              </w:rPr>
              <w:t>备注</w:t>
            </w:r>
          </w:p>
        </w:tc>
        <w:tc>
          <w:tcPr>
            <w:tcW w:w="6274" w:type="dxa"/>
            <w:vAlign w:val="center"/>
          </w:tcPr>
          <w:p w14:paraId="350793D5">
            <w:pPr>
              <w:pStyle w:val="7"/>
              <w:pageBreakBefore w:val="0"/>
              <w:widowControl w:val="0"/>
              <w:wordWrap/>
              <w:overflowPunct/>
              <w:topLinePunct w:val="0"/>
              <w:bidi w:val="0"/>
              <w:spacing w:line="360" w:lineRule="auto"/>
              <w:ind w:firstLine="480" w:firstLineChars="200"/>
              <w:jc w:val="left"/>
              <w:rPr>
                <w:rFonts w:hint="default" w:eastAsia="宋体"/>
                <w:color w:val="auto"/>
                <w:highlight w:val="none"/>
                <w:lang w:val="en-US" w:eastAsia="zh-CN"/>
              </w:rPr>
            </w:pPr>
            <w:r>
              <w:rPr>
                <w:rFonts w:hint="eastAsia"/>
                <w:color w:val="auto"/>
                <w:sz w:val="24"/>
                <w:szCs w:val="24"/>
                <w:highlight w:val="none"/>
                <w:lang w:val="en-US" w:eastAsia="zh-CN"/>
              </w:rPr>
              <w:t>/</w:t>
            </w:r>
          </w:p>
        </w:tc>
      </w:tr>
    </w:tbl>
    <w:p w14:paraId="29E86EFE">
      <w:pPr>
        <w:keepNext w:val="0"/>
        <w:keepLines w:val="0"/>
        <w:pageBreakBefore w:val="0"/>
        <w:widowControl w:val="0"/>
        <w:kinsoku w:val="0"/>
        <w:wordWrap/>
        <w:overflowPunct/>
        <w:topLinePunct w:val="0"/>
        <w:autoSpaceDE w:val="0"/>
        <w:autoSpaceDN w:val="0"/>
        <w:bidi w:val="0"/>
        <w:adjustRightInd w:val="0"/>
        <w:snapToGrid w:val="0"/>
        <w:spacing w:after="313" w:afterLines="100" w:line="219" w:lineRule="auto"/>
        <w:jc w:val="both"/>
        <w:textAlignment w:val="baseline"/>
        <w:outlineLvl w:val="1"/>
        <w:rPr>
          <w:rFonts w:hint="eastAsia" w:ascii="宋体" w:hAnsi="宋体" w:eastAsia="宋体" w:cs="宋体"/>
          <w:color w:val="auto"/>
          <w:spacing w:val="-2"/>
          <w:sz w:val="28"/>
          <w:szCs w:val="28"/>
          <w:highlight w:val="none"/>
          <w:lang w:val="en-US" w:eastAsia="zh-CN"/>
          <w14:textOutline w14:w="4356" w14:cap="sq" w14:cmpd="sng" w14:algn="ctr">
            <w14:solidFill>
              <w14:srgbClr w14:val="000000"/>
            </w14:solidFill>
            <w14:prstDash w14:val="solid"/>
            <w14:bevel/>
          </w14:textOutline>
        </w:rPr>
      </w:pPr>
      <w:bookmarkStart w:id="0" w:name="bookmark81"/>
      <w:bookmarkEnd w:id="0"/>
    </w:p>
    <w:p w14:paraId="0D9C0787">
      <w:pPr>
        <w:keepNext w:val="0"/>
        <w:keepLines w:val="0"/>
        <w:pageBreakBefore w:val="0"/>
        <w:widowControl w:val="0"/>
        <w:kinsoku w:val="0"/>
        <w:wordWrap/>
        <w:overflowPunct/>
        <w:topLinePunct w:val="0"/>
        <w:autoSpaceDE w:val="0"/>
        <w:autoSpaceDN w:val="0"/>
        <w:bidi w:val="0"/>
        <w:adjustRightInd w:val="0"/>
        <w:snapToGrid w:val="0"/>
        <w:spacing w:after="313" w:afterLines="100" w:line="219" w:lineRule="auto"/>
        <w:jc w:val="center"/>
        <w:textAlignment w:val="baseline"/>
        <w:outlineLvl w:val="1"/>
        <w:rPr>
          <w:rFonts w:hint="default" w:ascii="宋体" w:hAnsi="宋体" w:eastAsia="宋体" w:cs="宋体"/>
          <w:color w:val="auto"/>
          <w:spacing w:val="-2"/>
          <w:sz w:val="28"/>
          <w:szCs w:val="28"/>
          <w:highlight w:val="none"/>
          <w:lang w:val="en-US" w:eastAsia="zh-CN"/>
          <w14:textOutline w14:w="4356" w14:cap="sq" w14:cmpd="sng" w14:algn="ctr">
            <w14:solidFill>
              <w14:srgbClr w14:val="000000"/>
            </w14:solidFill>
            <w14:prstDash w14:val="solid"/>
            <w14:bevel/>
          </w14:textOutline>
        </w:rPr>
      </w:pPr>
      <w:r>
        <w:rPr>
          <w:rFonts w:hint="eastAsia" w:ascii="宋体" w:hAnsi="宋体" w:eastAsia="宋体" w:cs="宋体"/>
          <w:color w:val="auto"/>
          <w:spacing w:val="-2"/>
          <w:sz w:val="28"/>
          <w:szCs w:val="28"/>
          <w:highlight w:val="none"/>
          <w:lang w:val="en-US" w:eastAsia="zh-CN"/>
          <w14:textOutline w14:w="4356" w14:cap="sq" w14:cmpd="sng" w14:algn="ctr">
            <w14:solidFill>
              <w14:srgbClr w14:val="000000"/>
            </w14:solidFill>
            <w14:prstDash w14:val="solid"/>
            <w14:bevel/>
          </w14:textOutline>
        </w:rPr>
        <w:t>二</w:t>
      </w:r>
      <w:r>
        <w:rPr>
          <w:rFonts w:ascii="宋体" w:hAnsi="宋体" w:eastAsia="宋体" w:cs="宋体"/>
          <w:color w:val="auto"/>
          <w:spacing w:val="-2"/>
          <w:sz w:val="28"/>
          <w:szCs w:val="28"/>
          <w:highlight w:val="none"/>
          <w14:textOutline w14:w="4356" w14:cap="sq" w14:cmpd="sng" w14:algn="ctr">
            <w14:solidFill>
              <w14:srgbClr w14:val="000000"/>
            </w14:solidFill>
            <w14:prstDash w14:val="solid"/>
            <w14:bevel/>
          </w14:textOutline>
        </w:rPr>
        <w:t>、</w:t>
      </w:r>
      <w:r>
        <w:rPr>
          <w:rFonts w:hint="eastAsia" w:ascii="宋体" w:hAnsi="宋体" w:eastAsia="宋体" w:cs="宋体"/>
          <w:color w:val="auto"/>
          <w:spacing w:val="-2"/>
          <w:sz w:val="28"/>
          <w:szCs w:val="28"/>
          <w:highlight w:val="none"/>
          <w:lang w:val="en-US" w:eastAsia="zh-CN"/>
          <w14:textOutline w14:w="4356" w14:cap="sq" w14:cmpd="sng" w14:algn="ctr">
            <w14:solidFill>
              <w14:srgbClr w14:val="000000"/>
            </w14:solidFill>
            <w14:prstDash w14:val="solid"/>
            <w14:bevel/>
          </w14:textOutline>
        </w:rPr>
        <w:t>采购需求及技术要求</w:t>
      </w:r>
    </w:p>
    <w:p w14:paraId="213747FE">
      <w:pPr>
        <w:pageBreakBefore w:val="0"/>
        <w:widowControl w:val="0"/>
        <w:wordWrap/>
        <w:overflowPunct/>
        <w:topLinePunct w:val="0"/>
        <w:bidi w:val="0"/>
        <w:spacing w:before="78" w:line="360" w:lineRule="auto"/>
        <w:rPr>
          <w:rFonts w:hint="default" w:ascii="宋体" w:hAnsi="宋体" w:eastAsia="宋体" w:cs="宋体"/>
          <w:b/>
          <w:bCs/>
          <w:color w:val="auto"/>
          <w:sz w:val="24"/>
          <w:szCs w:val="24"/>
          <w:highlight w:val="none"/>
          <w:lang w:val="en-US" w:eastAsia="zh-CN"/>
        </w:rPr>
      </w:pPr>
      <w:r>
        <w:rPr>
          <w:rFonts w:ascii="宋体" w:hAnsi="宋体" w:eastAsia="宋体" w:cs="宋体"/>
          <w:b/>
          <w:bCs/>
          <w:color w:val="auto"/>
          <w:spacing w:val="-5"/>
          <w:sz w:val="24"/>
          <w:szCs w:val="24"/>
          <w:highlight w:val="none"/>
        </w:rPr>
        <w:t>（一）</w:t>
      </w:r>
      <w:r>
        <w:rPr>
          <w:rFonts w:hint="eastAsia" w:ascii="宋体" w:hAnsi="宋体" w:eastAsia="宋体" w:cs="宋体"/>
          <w:b/>
          <w:bCs/>
          <w:color w:val="auto"/>
          <w:spacing w:val="-5"/>
          <w:sz w:val="24"/>
          <w:szCs w:val="24"/>
          <w:highlight w:val="none"/>
          <w:lang w:val="en-US" w:eastAsia="zh-CN"/>
        </w:rPr>
        <w:t>项目背景与目标</w:t>
      </w:r>
    </w:p>
    <w:p w14:paraId="64E188C9">
      <w:pPr>
        <w:pageBreakBefore w:val="0"/>
        <w:widowControl w:val="0"/>
        <w:wordWrap/>
        <w:overflowPunct/>
        <w:topLinePunct w:val="0"/>
        <w:bidi w:val="0"/>
        <w:spacing w:line="360" w:lineRule="auto"/>
        <w:ind w:firstLine="421" w:firstLineChars="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为深入贯彻落实国家粮食安全战略，提升耕地质量等级与农业综合生产能力，实施月湖区高标准农田整治提升项目。通过对现有</w:t>
      </w:r>
      <w:r>
        <w:rPr>
          <w:rFonts w:hint="eastAsia" w:ascii="宋体" w:hAnsi="宋体" w:eastAsia="宋体" w:cs="宋体"/>
          <w:color w:val="auto"/>
          <w:sz w:val="24"/>
          <w:szCs w:val="24"/>
          <w:highlight w:val="none"/>
          <w:lang w:val="en-US" w:eastAsia="zh-CN"/>
        </w:rPr>
        <w:t>已建成的约17000亩高标准</w:t>
      </w:r>
      <w:r>
        <w:rPr>
          <w:rFonts w:hint="eastAsia" w:ascii="宋体" w:hAnsi="宋体" w:eastAsia="宋体" w:cs="宋体"/>
          <w:color w:val="auto"/>
          <w:sz w:val="24"/>
          <w:szCs w:val="24"/>
          <w:highlight w:val="none"/>
        </w:rPr>
        <w:t>农田</w:t>
      </w:r>
      <w:r>
        <w:rPr>
          <w:rFonts w:hint="eastAsia" w:ascii="宋体" w:hAnsi="宋体" w:eastAsia="宋体" w:cs="宋体"/>
          <w:color w:val="auto"/>
          <w:sz w:val="24"/>
          <w:szCs w:val="24"/>
          <w:highlight w:val="none"/>
          <w:lang w:val="en-US" w:eastAsia="zh-CN"/>
        </w:rPr>
        <w:t>进行排查，对项目区部分年久失修、局部损毁较重的高标准农田工程设施，进行修复维修，恢复正常使用功能。重点修复机耕道、生产路、下田板等田间道路；整治明渠、排水沟、管道等输配水工程；维修加固农桥、渡槽、涵洞等渠系建筑物；更新改造机井等水源工程及配套设备设施。</w:t>
      </w:r>
      <w:r>
        <w:rPr>
          <w:rFonts w:hint="eastAsia" w:ascii="宋体" w:hAnsi="宋体" w:eastAsia="宋体" w:cs="宋体"/>
          <w:color w:val="auto"/>
          <w:sz w:val="24"/>
          <w:szCs w:val="24"/>
          <w:highlight w:val="none"/>
        </w:rPr>
        <w:t>修复改造、设施补齐与提质增效，实现“田成方、渠相通、路相连、旱能灌、涝能排”的建设目标，打造集中连片、设施完善、高产稳产、生态良好、抗灾能力强、宜于机械化作业的高标准农田，为保障粮食安全奠定坚实基础。</w:t>
      </w:r>
    </w:p>
    <w:p w14:paraId="276FDB9A">
      <w:pPr>
        <w:pageBreakBefore w:val="0"/>
        <w:widowControl w:val="0"/>
        <w:wordWrap/>
        <w:overflowPunct/>
        <w:topLinePunct w:val="0"/>
        <w:bidi w:val="0"/>
        <w:spacing w:line="360" w:lineRule="auto"/>
        <w:rPr>
          <w:rFonts w:hint="eastAsia" w:ascii="宋体" w:hAnsi="宋体" w:eastAsia="宋体" w:cs="宋体"/>
          <w:b/>
          <w:bCs/>
          <w:color w:val="auto"/>
          <w:sz w:val="24"/>
          <w:szCs w:val="24"/>
          <w:highlight w:val="none"/>
          <w:lang w:eastAsia="zh-CN"/>
        </w:rPr>
      </w:pPr>
      <w:r>
        <w:rPr>
          <w:rFonts w:hint="eastAsia" w:ascii="宋体" w:hAnsi="宋体" w:eastAsia="宋体" w:cs="宋体"/>
          <w:b/>
          <w:bCs/>
          <w:color w:val="auto"/>
          <w:sz w:val="24"/>
          <w:szCs w:val="24"/>
          <w:highlight w:val="none"/>
          <w:lang w:eastAsia="zh-CN"/>
        </w:rPr>
        <w:t>（</w:t>
      </w:r>
      <w:r>
        <w:rPr>
          <w:rFonts w:hint="eastAsia" w:ascii="宋体" w:hAnsi="宋体" w:eastAsia="宋体" w:cs="宋体"/>
          <w:b/>
          <w:bCs/>
          <w:color w:val="auto"/>
          <w:sz w:val="24"/>
          <w:szCs w:val="24"/>
          <w:highlight w:val="none"/>
          <w:lang w:val="en-US" w:eastAsia="zh-CN"/>
        </w:rPr>
        <w:t>二</w:t>
      </w:r>
      <w:r>
        <w:rPr>
          <w:rFonts w:hint="eastAsia" w:ascii="宋体" w:hAnsi="宋体" w:eastAsia="宋体" w:cs="宋体"/>
          <w:b/>
          <w:bCs/>
          <w:color w:val="auto"/>
          <w:sz w:val="24"/>
          <w:szCs w:val="24"/>
          <w:highlight w:val="none"/>
          <w:lang w:eastAsia="zh-CN"/>
        </w:rPr>
        <w:t>）建设范围与</w:t>
      </w:r>
      <w:r>
        <w:rPr>
          <w:rFonts w:hint="eastAsia" w:ascii="宋体" w:hAnsi="宋体" w:eastAsia="宋体" w:cs="宋体"/>
          <w:b/>
          <w:bCs/>
          <w:color w:val="auto"/>
          <w:sz w:val="24"/>
          <w:szCs w:val="24"/>
          <w:highlight w:val="none"/>
          <w:lang w:val="en-US" w:eastAsia="zh-CN"/>
        </w:rPr>
        <w:t>主要</w:t>
      </w:r>
      <w:r>
        <w:rPr>
          <w:rFonts w:hint="eastAsia" w:ascii="宋体" w:hAnsi="宋体" w:eastAsia="宋体" w:cs="宋体"/>
          <w:b/>
          <w:bCs/>
          <w:color w:val="auto"/>
          <w:sz w:val="24"/>
          <w:szCs w:val="24"/>
          <w:highlight w:val="none"/>
          <w:lang w:eastAsia="zh-CN"/>
        </w:rPr>
        <w:t>内容</w:t>
      </w:r>
    </w:p>
    <w:p w14:paraId="32EA6EED">
      <w:pPr>
        <w:pageBreakBefore w:val="0"/>
        <w:widowControl w:val="0"/>
        <w:wordWrap/>
        <w:overflowPunct/>
        <w:topLinePunct w:val="0"/>
        <w:bidi w:val="0"/>
        <w:spacing w:line="360" w:lineRule="auto"/>
        <w:ind w:firstLine="421" w:firstLineChars="0"/>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项目实施区域为鹰潭市月湖区范围内已建成需整治提升的高标准农田，重点覆盖童家镇、四青街道等主要涉农区域，以永久基本农田为核心，不含25度以上坡耕地、严格管控类耕地、生态保护红线等禁建区域。主要建设内容包括：土地平整与田块整治、土壤改良、灌溉与排水工程、田间道路工程、农田防护与生态环境保持工程、附属设施工程等。</w:t>
      </w:r>
    </w:p>
    <w:p w14:paraId="2C767B0C">
      <w:pPr>
        <w:pageBreakBefore w:val="0"/>
        <w:widowControl w:val="0"/>
        <w:wordWrap/>
        <w:overflowPunct/>
        <w:topLinePunct w:val="0"/>
        <w:bidi w:val="0"/>
        <w:spacing w:line="360" w:lineRule="auto"/>
        <w:rPr>
          <w:rFonts w:hint="default" w:ascii="宋体" w:hAnsi="宋体" w:eastAsia="宋体" w:cs="宋体"/>
          <w:b/>
          <w:bCs/>
          <w:color w:val="auto"/>
          <w:sz w:val="24"/>
          <w:szCs w:val="24"/>
          <w:highlight w:val="none"/>
          <w:lang w:val="en-US" w:eastAsia="zh-CN"/>
        </w:rPr>
      </w:pPr>
      <w:r>
        <w:rPr>
          <w:rFonts w:hint="eastAsia" w:ascii="宋体" w:hAnsi="宋体" w:eastAsia="宋体" w:cs="宋体"/>
          <w:b/>
          <w:bCs/>
          <w:color w:val="auto"/>
          <w:sz w:val="24"/>
          <w:szCs w:val="24"/>
          <w:highlight w:val="none"/>
          <w:lang w:eastAsia="zh-CN"/>
        </w:rPr>
        <w:t>（</w:t>
      </w:r>
      <w:r>
        <w:rPr>
          <w:rFonts w:hint="eastAsia" w:ascii="宋体" w:hAnsi="宋体" w:eastAsia="宋体" w:cs="宋体"/>
          <w:b/>
          <w:bCs/>
          <w:color w:val="auto"/>
          <w:sz w:val="24"/>
          <w:szCs w:val="24"/>
          <w:highlight w:val="none"/>
          <w:lang w:val="en-US" w:eastAsia="zh-CN"/>
        </w:rPr>
        <w:t>三</w:t>
      </w:r>
      <w:r>
        <w:rPr>
          <w:rFonts w:hint="eastAsia" w:ascii="宋体" w:hAnsi="宋体" w:eastAsia="宋体" w:cs="宋体"/>
          <w:b/>
          <w:bCs/>
          <w:color w:val="auto"/>
          <w:sz w:val="24"/>
          <w:szCs w:val="24"/>
          <w:highlight w:val="none"/>
          <w:lang w:eastAsia="zh-CN"/>
        </w:rPr>
        <w:t>）</w:t>
      </w:r>
      <w:r>
        <w:rPr>
          <w:rFonts w:hint="eastAsia" w:ascii="宋体" w:hAnsi="宋体" w:eastAsia="宋体" w:cs="宋体"/>
          <w:b/>
          <w:bCs/>
          <w:color w:val="auto"/>
          <w:sz w:val="24"/>
          <w:szCs w:val="24"/>
          <w:highlight w:val="none"/>
          <w:lang w:val="en-US" w:eastAsia="zh-CN"/>
        </w:rPr>
        <w:t>服务内容及要求</w:t>
      </w:r>
    </w:p>
    <w:p w14:paraId="79AFADAF">
      <w:pPr>
        <w:pageBreakBefore w:val="0"/>
        <w:widowControl w:val="0"/>
        <w:wordWrap/>
        <w:overflowPunct/>
        <w:topLinePunct w:val="0"/>
        <w:bidi w:val="0"/>
        <w:spacing w:line="360"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lang w:val="en-US" w:eastAsia="zh-CN"/>
        </w:rPr>
        <w:t>1</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rPr>
        <w:t>勘察设计服务范围</w:t>
      </w:r>
    </w:p>
    <w:p w14:paraId="11F943D3">
      <w:pPr>
        <w:pageBreakBefore w:val="0"/>
        <w:widowControl w:val="0"/>
        <w:wordWrap/>
        <w:overflowPunct/>
        <w:topLinePunct w:val="0"/>
        <w:bidi w:val="0"/>
        <w:spacing w:line="360" w:lineRule="auto"/>
        <w:ind w:firstLine="240" w:firstLineChars="10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val="en-US" w:eastAsia="zh-CN"/>
        </w:rPr>
        <w:t>①</w:t>
      </w:r>
      <w:r>
        <w:rPr>
          <w:rFonts w:hint="eastAsia" w:ascii="宋体" w:hAnsi="宋体" w:eastAsia="宋体" w:cs="宋体"/>
          <w:color w:val="auto"/>
          <w:sz w:val="24"/>
          <w:szCs w:val="24"/>
          <w:highlight w:val="none"/>
        </w:rPr>
        <w:t>承担本项目的勘察、现状测量、地形测绘、等全部前期基础工作，提供完整的勘察成果。</w:t>
      </w:r>
    </w:p>
    <w:p w14:paraId="69057F24">
      <w:pPr>
        <w:pageBreakBefore w:val="0"/>
        <w:widowControl w:val="0"/>
        <w:wordWrap/>
        <w:overflowPunct/>
        <w:topLinePunct w:val="0"/>
        <w:bidi w:val="0"/>
        <w:spacing w:line="360" w:lineRule="auto"/>
        <w:ind w:firstLine="240" w:firstLineChars="10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val="en-US" w:eastAsia="zh-CN"/>
        </w:rPr>
        <w:t>②</w:t>
      </w:r>
      <w:r>
        <w:rPr>
          <w:rFonts w:hint="eastAsia" w:ascii="宋体" w:hAnsi="宋体" w:eastAsia="宋体" w:cs="宋体"/>
          <w:color w:val="auto"/>
          <w:sz w:val="24"/>
          <w:szCs w:val="24"/>
          <w:highlight w:val="none"/>
        </w:rPr>
        <w:t>完成项目</w:t>
      </w:r>
      <w:r>
        <w:rPr>
          <w:rFonts w:hint="eastAsia" w:ascii="宋体" w:hAnsi="宋体" w:eastAsia="宋体" w:cs="宋体"/>
          <w:color w:val="auto"/>
          <w:sz w:val="24"/>
          <w:szCs w:val="24"/>
          <w:highlight w:val="none"/>
          <w:lang w:val="en-US" w:eastAsia="zh-CN"/>
        </w:rPr>
        <w:t>的</w:t>
      </w:r>
      <w:r>
        <w:rPr>
          <w:rFonts w:hint="eastAsia" w:ascii="宋体" w:hAnsi="宋体" w:eastAsia="宋体" w:cs="宋体"/>
          <w:color w:val="auto"/>
          <w:sz w:val="24"/>
          <w:szCs w:val="24"/>
          <w:highlight w:val="none"/>
        </w:rPr>
        <w:t>初步设计编制（含设计说明书、图纸、投资概算），配合完成初步设计审查及修改工作。</w:t>
      </w:r>
    </w:p>
    <w:p w14:paraId="079C1AC7">
      <w:pPr>
        <w:pageBreakBefore w:val="0"/>
        <w:widowControl w:val="0"/>
        <w:wordWrap/>
        <w:overflowPunct/>
        <w:topLinePunct w:val="0"/>
        <w:bidi w:val="0"/>
        <w:spacing w:line="360" w:lineRule="auto"/>
        <w:ind w:firstLine="240" w:firstLineChars="10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val="en-US" w:eastAsia="zh-CN"/>
        </w:rPr>
        <w:t>③</w:t>
      </w:r>
      <w:r>
        <w:rPr>
          <w:rFonts w:hint="eastAsia" w:ascii="宋体" w:hAnsi="宋体" w:eastAsia="宋体" w:cs="宋体"/>
          <w:color w:val="auto"/>
          <w:sz w:val="24"/>
          <w:szCs w:val="24"/>
          <w:highlight w:val="none"/>
        </w:rPr>
        <w:t>完成项目施工图设计编制，配合完成施工图审查及修改工作。</w:t>
      </w:r>
    </w:p>
    <w:p w14:paraId="673AAC66">
      <w:pPr>
        <w:pageBreakBefore w:val="0"/>
        <w:widowControl w:val="0"/>
        <w:wordWrap/>
        <w:overflowPunct/>
        <w:topLinePunct w:val="0"/>
        <w:bidi w:val="0"/>
        <w:spacing w:line="360" w:lineRule="auto"/>
        <w:ind w:firstLine="240" w:firstLineChars="10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val="en-US" w:eastAsia="zh-CN"/>
        </w:rPr>
        <w:t>④</w:t>
      </w:r>
      <w:r>
        <w:rPr>
          <w:rFonts w:hint="eastAsia" w:ascii="宋体" w:hAnsi="宋体" w:eastAsia="宋体" w:cs="宋体"/>
          <w:color w:val="auto"/>
          <w:sz w:val="24"/>
          <w:szCs w:val="24"/>
          <w:highlight w:val="none"/>
        </w:rPr>
        <w:t>提供施工阶段全过程技术服务，包括但不限于：设计交底、图纸会审、现场技术服务、设计变更、技术问题处理等。</w:t>
      </w:r>
    </w:p>
    <w:p w14:paraId="2FBA0286">
      <w:pPr>
        <w:pageBreakBefore w:val="0"/>
        <w:widowControl w:val="0"/>
        <w:wordWrap/>
        <w:overflowPunct/>
        <w:topLinePunct w:val="0"/>
        <w:bidi w:val="0"/>
        <w:spacing w:line="360" w:lineRule="auto"/>
        <w:ind w:firstLine="240" w:firstLineChars="10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val="en-US" w:eastAsia="zh-CN"/>
        </w:rPr>
        <w:t>⑤</w:t>
      </w:r>
      <w:r>
        <w:rPr>
          <w:rFonts w:hint="eastAsia" w:ascii="宋体" w:hAnsi="宋体" w:eastAsia="宋体" w:cs="宋体"/>
          <w:color w:val="auto"/>
          <w:sz w:val="24"/>
          <w:szCs w:val="24"/>
          <w:highlight w:val="none"/>
        </w:rPr>
        <w:t>配合项目竣工验收、审计、结算、绩效评价及上级主管部门检查等相关工作。</w:t>
      </w:r>
    </w:p>
    <w:p w14:paraId="38E27829">
      <w:pPr>
        <w:pageBreakBefore w:val="0"/>
        <w:widowControl w:val="0"/>
        <w:wordWrap/>
        <w:overflowPunct/>
        <w:topLinePunct w:val="0"/>
        <w:bidi w:val="0"/>
        <w:spacing w:line="360" w:lineRule="auto"/>
        <w:rPr>
          <w:rFonts w:hint="eastAsia" w:ascii="宋体" w:hAnsi="宋体" w:eastAsia="宋体" w:cs="宋体"/>
          <w:b/>
          <w:bCs/>
          <w:color w:val="auto"/>
          <w:sz w:val="24"/>
          <w:szCs w:val="24"/>
          <w:highlight w:val="none"/>
        </w:rPr>
      </w:pPr>
      <w:r>
        <w:rPr>
          <w:rFonts w:hint="eastAsia" w:ascii="宋体" w:hAnsi="宋体" w:eastAsia="宋体" w:cs="宋体"/>
          <w:b/>
          <w:bCs/>
          <w:color w:val="auto"/>
          <w:sz w:val="24"/>
          <w:szCs w:val="24"/>
          <w:highlight w:val="none"/>
        </w:rPr>
        <w:t>（</w:t>
      </w:r>
      <w:r>
        <w:rPr>
          <w:rFonts w:hint="eastAsia" w:ascii="宋体" w:hAnsi="宋体" w:eastAsia="宋体" w:cs="宋体"/>
          <w:b/>
          <w:bCs/>
          <w:color w:val="auto"/>
          <w:sz w:val="24"/>
          <w:szCs w:val="24"/>
          <w:highlight w:val="none"/>
          <w:lang w:val="en-US" w:eastAsia="zh-CN"/>
        </w:rPr>
        <w:t>四</w:t>
      </w:r>
      <w:r>
        <w:rPr>
          <w:rFonts w:hint="eastAsia" w:ascii="宋体" w:hAnsi="宋体" w:eastAsia="宋体" w:cs="宋体"/>
          <w:b/>
          <w:bCs/>
          <w:color w:val="auto"/>
          <w:sz w:val="24"/>
          <w:szCs w:val="24"/>
          <w:highlight w:val="none"/>
        </w:rPr>
        <w:t>）设计依据与标准</w:t>
      </w:r>
    </w:p>
    <w:p w14:paraId="28900003">
      <w:pPr>
        <w:pageBreakBefore w:val="0"/>
        <w:widowControl w:val="0"/>
        <w:wordWrap/>
        <w:overflowPunct/>
        <w:topLinePunct w:val="0"/>
        <w:bidi w:val="0"/>
        <w:spacing w:line="360" w:lineRule="auto"/>
        <w:ind w:firstLine="421" w:firstLineChars="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投标人的设计工作必须符合国家、行业及地方现行的有关法律、法规、标准、规范及相关文件要求，主要包括但不限于：</w:t>
      </w:r>
    </w:p>
    <w:p w14:paraId="4E48F6EE">
      <w:pPr>
        <w:pageBreakBefore w:val="0"/>
        <w:widowControl w:val="0"/>
        <w:wordWrap/>
        <w:overflowPunct/>
        <w:topLinePunct w:val="0"/>
        <w:bidi w:val="0"/>
        <w:spacing w:line="360"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《高标准农田建设通则》（GB/T 30600-2022）</w:t>
      </w:r>
    </w:p>
    <w:p w14:paraId="33A7D609">
      <w:pPr>
        <w:pageBreakBefore w:val="0"/>
        <w:widowControl w:val="0"/>
        <w:wordWrap/>
        <w:overflowPunct/>
        <w:topLinePunct w:val="0"/>
        <w:bidi w:val="0"/>
        <w:spacing w:line="360"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《高标准农田建设标准》（NY/T 2949-2016）</w:t>
      </w:r>
    </w:p>
    <w:p w14:paraId="33664CE2">
      <w:pPr>
        <w:pageBreakBefore w:val="0"/>
        <w:widowControl w:val="0"/>
        <w:wordWrap/>
        <w:overflowPunct/>
        <w:topLinePunct w:val="0"/>
        <w:bidi w:val="0"/>
        <w:spacing w:line="360"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《土地整治项目设计报告编制规程》（TD/T 1038-2013）</w:t>
      </w:r>
    </w:p>
    <w:p w14:paraId="4FCDFEAF">
      <w:pPr>
        <w:pageBreakBefore w:val="0"/>
        <w:widowControl w:val="0"/>
        <w:wordWrap/>
        <w:overflowPunct/>
        <w:topLinePunct w:val="0"/>
        <w:bidi w:val="0"/>
        <w:spacing w:line="360"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《灌溉与排水工程设计标准》（GB</w:t>
      </w:r>
      <w:r>
        <w:rPr>
          <w:rFonts w:hint="eastAsia" w:ascii="宋体" w:hAnsi="宋体" w:eastAsia="宋体" w:cs="宋体"/>
          <w:color w:val="auto"/>
          <w:sz w:val="24"/>
          <w:szCs w:val="24"/>
          <w:highlight w:val="none"/>
          <w:lang w:val="en-US" w:eastAsia="zh-CN"/>
        </w:rPr>
        <w:t xml:space="preserve"> </w:t>
      </w:r>
      <w:r>
        <w:rPr>
          <w:rFonts w:hint="eastAsia" w:ascii="宋体" w:hAnsi="宋体" w:eastAsia="宋体" w:cs="宋体"/>
          <w:color w:val="auto"/>
          <w:sz w:val="24"/>
          <w:szCs w:val="24"/>
          <w:highlight w:val="none"/>
        </w:rPr>
        <w:t>50288-2018）</w:t>
      </w:r>
    </w:p>
    <w:p w14:paraId="585C0211">
      <w:pPr>
        <w:pageBreakBefore w:val="0"/>
        <w:widowControl w:val="0"/>
        <w:wordWrap/>
        <w:overflowPunct/>
        <w:topLinePunct w:val="0"/>
        <w:bidi w:val="0"/>
        <w:spacing w:line="360"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《农田排水工程技术规范》（SL/T</w:t>
      </w:r>
      <w:r>
        <w:rPr>
          <w:rFonts w:hint="eastAsia" w:ascii="宋体" w:hAnsi="宋体" w:eastAsia="宋体" w:cs="宋体"/>
          <w:color w:val="auto"/>
          <w:sz w:val="24"/>
          <w:szCs w:val="24"/>
          <w:highlight w:val="none"/>
          <w:lang w:val="en-US" w:eastAsia="zh-CN"/>
        </w:rPr>
        <w:t xml:space="preserve"> </w:t>
      </w:r>
      <w:r>
        <w:rPr>
          <w:rFonts w:hint="eastAsia" w:ascii="宋体" w:hAnsi="宋体" w:eastAsia="宋体" w:cs="宋体"/>
          <w:color w:val="auto"/>
          <w:sz w:val="24"/>
          <w:szCs w:val="24"/>
          <w:highlight w:val="none"/>
        </w:rPr>
        <w:t>4-20</w:t>
      </w:r>
      <w:r>
        <w:rPr>
          <w:rFonts w:hint="eastAsia" w:ascii="宋体" w:hAnsi="宋体" w:eastAsia="宋体" w:cs="宋体"/>
          <w:color w:val="auto"/>
          <w:sz w:val="24"/>
          <w:szCs w:val="24"/>
          <w:highlight w:val="none"/>
          <w:lang w:val="en-US" w:eastAsia="zh-CN"/>
        </w:rPr>
        <w:t>20</w:t>
      </w:r>
      <w:r>
        <w:rPr>
          <w:rFonts w:hint="eastAsia" w:ascii="宋体" w:hAnsi="宋体" w:eastAsia="宋体" w:cs="宋体"/>
          <w:color w:val="auto"/>
          <w:sz w:val="24"/>
          <w:szCs w:val="24"/>
          <w:highlight w:val="none"/>
        </w:rPr>
        <w:t>）</w:t>
      </w:r>
    </w:p>
    <w:p w14:paraId="2C6797F9">
      <w:pPr>
        <w:pageBreakBefore w:val="0"/>
        <w:widowControl w:val="0"/>
        <w:wordWrap/>
        <w:overflowPunct/>
        <w:topLinePunct w:val="0"/>
        <w:bidi w:val="0"/>
        <w:spacing w:line="360"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《江西省高标准农田建设项目管理办法》及相关配套文件</w:t>
      </w:r>
    </w:p>
    <w:p w14:paraId="3237D100">
      <w:pPr>
        <w:pageBreakBefore w:val="0"/>
        <w:widowControl w:val="0"/>
        <w:wordWrap/>
        <w:overflowPunct/>
        <w:topLinePunct w:val="0"/>
        <w:bidi w:val="0"/>
        <w:spacing w:line="360" w:lineRule="auto"/>
        <w:rPr>
          <w:rFonts w:hint="eastAsia" w:ascii="宋体" w:hAnsi="宋体" w:eastAsia="宋体" w:cs="宋体"/>
          <w:b/>
          <w:bCs/>
          <w:color w:val="auto"/>
          <w:sz w:val="24"/>
          <w:szCs w:val="24"/>
          <w:highlight w:val="none"/>
        </w:rPr>
      </w:pPr>
      <w:r>
        <w:rPr>
          <w:rFonts w:hint="eastAsia" w:ascii="宋体" w:hAnsi="宋体" w:eastAsia="宋体" w:cs="宋体"/>
          <w:b/>
          <w:bCs/>
          <w:color w:val="auto"/>
          <w:sz w:val="24"/>
          <w:szCs w:val="24"/>
          <w:highlight w:val="none"/>
        </w:rPr>
        <w:t>（</w:t>
      </w:r>
      <w:r>
        <w:rPr>
          <w:rFonts w:hint="eastAsia" w:ascii="宋体" w:hAnsi="宋体" w:eastAsia="宋体" w:cs="宋体"/>
          <w:b/>
          <w:bCs/>
          <w:color w:val="auto"/>
          <w:sz w:val="24"/>
          <w:szCs w:val="24"/>
          <w:highlight w:val="none"/>
          <w:lang w:val="en-US" w:eastAsia="zh-CN"/>
        </w:rPr>
        <w:t>五</w:t>
      </w:r>
      <w:r>
        <w:rPr>
          <w:rFonts w:hint="eastAsia" w:ascii="宋体" w:hAnsi="宋体" w:eastAsia="宋体" w:cs="宋体"/>
          <w:b/>
          <w:bCs/>
          <w:color w:val="auto"/>
          <w:sz w:val="24"/>
          <w:szCs w:val="24"/>
          <w:highlight w:val="none"/>
        </w:rPr>
        <w:t>）服务质量与技术要求</w:t>
      </w:r>
    </w:p>
    <w:p w14:paraId="555F9045">
      <w:pPr>
        <w:pageBreakBefore w:val="0"/>
        <w:widowControl w:val="0"/>
        <w:wordWrap/>
        <w:overflowPunct/>
        <w:topLinePunct w:val="0"/>
        <w:bidi w:val="0"/>
        <w:spacing w:line="360"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val="en-US" w:eastAsia="zh-CN"/>
        </w:rPr>
        <w:t>①</w:t>
      </w:r>
      <w:r>
        <w:rPr>
          <w:rFonts w:hint="eastAsia" w:ascii="宋体" w:hAnsi="宋体" w:eastAsia="宋体" w:cs="宋体"/>
          <w:color w:val="auto"/>
          <w:sz w:val="24"/>
          <w:szCs w:val="24"/>
          <w:highlight w:val="none"/>
        </w:rPr>
        <w:t>合规性要求：勘察设计成果须符合国家、行业及地方现行标准、规范和相关政策文件要求，满足农业农村、自然资源、水利、生态环境等相关部门的审查要求，确保成果可审批、可施工、可验收。</w:t>
      </w:r>
    </w:p>
    <w:p w14:paraId="01FDC8AF">
      <w:pPr>
        <w:pageBreakBefore w:val="0"/>
        <w:widowControl w:val="0"/>
        <w:wordWrap/>
        <w:overflowPunct/>
        <w:topLinePunct w:val="0"/>
        <w:bidi w:val="0"/>
        <w:spacing w:line="360"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val="en-US" w:eastAsia="zh-CN"/>
        </w:rPr>
        <w:t>②</w:t>
      </w:r>
      <w:r>
        <w:rPr>
          <w:rFonts w:hint="eastAsia" w:ascii="宋体" w:hAnsi="宋体" w:eastAsia="宋体" w:cs="宋体"/>
          <w:color w:val="auto"/>
          <w:sz w:val="24"/>
          <w:szCs w:val="24"/>
          <w:highlight w:val="none"/>
        </w:rPr>
        <w:t>科学性与合理性：设计方案应结合项目区现状，科学合理、经济适用，充分考虑工程实施的可行性、安全性和长效管护需求，避免重大设计缺陷和安全隐患。</w:t>
      </w:r>
    </w:p>
    <w:p w14:paraId="52A05132">
      <w:pPr>
        <w:pageBreakBefore w:val="0"/>
        <w:widowControl w:val="0"/>
        <w:wordWrap/>
        <w:overflowPunct/>
        <w:topLinePunct w:val="0"/>
        <w:bidi w:val="0"/>
        <w:spacing w:line="360"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val="en-US" w:eastAsia="zh-CN"/>
        </w:rPr>
        <w:t>③</w:t>
      </w:r>
      <w:r>
        <w:rPr>
          <w:rFonts w:hint="eastAsia" w:ascii="宋体" w:hAnsi="宋体" w:eastAsia="宋体" w:cs="宋体"/>
          <w:color w:val="auto"/>
          <w:sz w:val="24"/>
          <w:szCs w:val="24"/>
          <w:highlight w:val="none"/>
        </w:rPr>
        <w:t>全过程服务要求：中标人须派驻具备相应资格的设计代表提供现场服务，及时响应施工过程中的技术问题，配合采购人、监理单位、施工单位解决施工中的设计相关问题，确保工程顺利推进。</w:t>
      </w:r>
    </w:p>
    <w:p w14:paraId="0951B118">
      <w:pPr>
        <w:pageBreakBefore w:val="0"/>
        <w:widowControl w:val="0"/>
        <w:wordWrap/>
        <w:overflowPunct/>
        <w:topLinePunct w:val="0"/>
        <w:bidi w:val="0"/>
        <w:spacing w:line="360"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val="en-US" w:eastAsia="zh-CN"/>
        </w:rPr>
        <w:t>④</w:t>
      </w:r>
      <w:r>
        <w:rPr>
          <w:rFonts w:hint="eastAsia" w:ascii="宋体" w:hAnsi="宋体" w:eastAsia="宋体" w:cs="宋体"/>
          <w:color w:val="auto"/>
          <w:sz w:val="24"/>
          <w:szCs w:val="24"/>
          <w:highlight w:val="none"/>
        </w:rPr>
        <w:t>修改与完善要求：中标人须根据采购人、审查部门的意见，对勘察设计成果进行修改、补充和完善，直至通过相关审查。</w:t>
      </w:r>
    </w:p>
    <w:p w14:paraId="31795D8C">
      <w:pPr>
        <w:pageBreakBefore w:val="0"/>
        <w:widowControl w:val="0"/>
        <w:numPr>
          <w:ilvl w:val="0"/>
          <w:numId w:val="0"/>
        </w:numPr>
        <w:wordWrap/>
        <w:overflowPunct/>
        <w:topLinePunct w:val="0"/>
        <w:bidi w:val="0"/>
        <w:spacing w:line="245" w:lineRule="auto"/>
        <w:rPr>
          <w:rFonts w:hint="default" w:ascii="宋体" w:hAnsi="宋体" w:eastAsia="宋体" w:cs="宋体"/>
          <w:b/>
          <w:bCs/>
          <w:color w:val="auto"/>
          <w:sz w:val="24"/>
          <w:szCs w:val="24"/>
          <w:highlight w:val="none"/>
          <w:lang w:val="en-US" w:eastAsia="zh-CN"/>
        </w:rPr>
      </w:pPr>
      <w:r>
        <w:rPr>
          <w:rFonts w:hint="eastAsia" w:ascii="宋体" w:hAnsi="宋体" w:eastAsia="宋体" w:cs="宋体"/>
          <w:b/>
          <w:bCs/>
          <w:snapToGrid w:val="0"/>
          <w:color w:val="auto"/>
          <w:sz w:val="24"/>
          <w:szCs w:val="24"/>
          <w:lang w:val="en-US" w:eastAsia="zh-CN" w:bidi="ar-SA"/>
        </w:rPr>
        <w:t>（六）</w:t>
      </w:r>
      <w:r>
        <w:rPr>
          <w:rFonts w:hint="eastAsia" w:ascii="宋体" w:hAnsi="宋体" w:eastAsia="宋体" w:cs="宋体"/>
          <w:b/>
          <w:bCs/>
          <w:color w:val="auto"/>
          <w:sz w:val="24"/>
          <w:szCs w:val="24"/>
          <w:highlight w:val="none"/>
          <w:lang w:val="en-US" w:eastAsia="zh-CN"/>
        </w:rPr>
        <w:t>服务清单</w:t>
      </w:r>
    </w:p>
    <w:tbl>
      <w:tblPr>
        <w:tblStyle w:val="3"/>
        <w:tblW w:w="9337" w:type="dxa"/>
        <w:tblInd w:w="159" w:type="dxa"/>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
      <w:tblGrid>
        <w:gridCol w:w="821"/>
        <w:gridCol w:w="1032"/>
        <w:gridCol w:w="2304"/>
        <w:gridCol w:w="1440"/>
        <w:gridCol w:w="1992"/>
        <w:gridCol w:w="1748"/>
      </w:tblGrid>
      <w:tr w14:paraId="3B59526D">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782" w:hRule="exact"/>
        </w:trPr>
        <w:tc>
          <w:tcPr>
            <w:tcW w:w="821" w:type="dxa"/>
            <w:tcBorders>
              <w:top w:val="single" w:color="auto" w:sz="4" w:space="0"/>
              <w:left w:val="single" w:color="auto" w:sz="4" w:space="0"/>
              <w:right w:val="single" w:color="auto" w:sz="4" w:space="0"/>
            </w:tcBorders>
            <w:vAlign w:val="center"/>
          </w:tcPr>
          <w:p w14:paraId="3308933B">
            <w:pPr>
              <w:spacing w:line="400" w:lineRule="exact"/>
              <w:jc w:val="center"/>
              <w:rPr>
                <w:rFonts w:asciiTheme="minorEastAsia" w:hAnsiTheme="minorEastAsia" w:eastAsiaTheme="minorEastAsia" w:cstheme="minorEastAsia"/>
                <w:color w:val="auto"/>
                <w:sz w:val="24"/>
                <w:highlight w:val="none"/>
              </w:rPr>
            </w:pPr>
            <w:r>
              <w:rPr>
                <w:rFonts w:hint="eastAsia" w:asciiTheme="minorEastAsia" w:hAnsiTheme="minorEastAsia" w:eastAsiaTheme="minorEastAsia" w:cstheme="minorEastAsia"/>
                <w:color w:val="auto"/>
                <w:sz w:val="24"/>
                <w:highlight w:val="none"/>
              </w:rPr>
              <w:t>序号</w:t>
            </w:r>
          </w:p>
        </w:tc>
        <w:tc>
          <w:tcPr>
            <w:tcW w:w="3336" w:type="dxa"/>
            <w:gridSpan w:val="2"/>
            <w:tcBorders>
              <w:top w:val="single" w:color="auto" w:sz="4" w:space="0"/>
              <w:left w:val="single" w:color="auto" w:sz="4" w:space="0"/>
              <w:bottom w:val="single" w:color="auto" w:sz="4" w:space="0"/>
              <w:right w:val="single" w:color="auto" w:sz="4" w:space="0"/>
            </w:tcBorders>
            <w:vAlign w:val="center"/>
          </w:tcPr>
          <w:p w14:paraId="5CF06DCE">
            <w:pPr>
              <w:spacing w:line="400" w:lineRule="exact"/>
              <w:jc w:val="center"/>
              <w:rPr>
                <w:rFonts w:asciiTheme="minorEastAsia" w:hAnsiTheme="minorEastAsia" w:eastAsiaTheme="minorEastAsia" w:cstheme="minorEastAsia"/>
                <w:color w:val="auto"/>
                <w:sz w:val="24"/>
                <w:highlight w:val="none"/>
              </w:rPr>
            </w:pPr>
            <w:r>
              <w:rPr>
                <w:rFonts w:hint="eastAsia" w:asciiTheme="minorEastAsia" w:hAnsiTheme="minorEastAsia" w:eastAsiaTheme="minorEastAsia" w:cstheme="minorEastAsia"/>
                <w:color w:val="auto"/>
                <w:sz w:val="24"/>
                <w:highlight w:val="none"/>
              </w:rPr>
              <w:t>费用名称</w:t>
            </w:r>
          </w:p>
        </w:tc>
        <w:tc>
          <w:tcPr>
            <w:tcW w:w="1440" w:type="dxa"/>
            <w:tcBorders>
              <w:top w:val="single" w:color="auto" w:sz="4" w:space="0"/>
              <w:right w:val="single" w:color="auto" w:sz="4" w:space="0"/>
            </w:tcBorders>
            <w:vAlign w:val="center"/>
          </w:tcPr>
          <w:p w14:paraId="41469EC8">
            <w:pPr>
              <w:spacing w:line="400" w:lineRule="exact"/>
              <w:jc w:val="center"/>
              <w:rPr>
                <w:rFonts w:hint="default" w:asciiTheme="minorEastAsia" w:hAnsiTheme="minorEastAsia" w:eastAsiaTheme="minorEastAsia" w:cstheme="minorEastAsia"/>
                <w:color w:val="auto"/>
                <w:sz w:val="24"/>
                <w:highlight w:val="none"/>
                <w:lang w:val="en-US" w:eastAsia="zh-CN"/>
              </w:rPr>
            </w:pPr>
            <w:r>
              <w:rPr>
                <w:rFonts w:hint="eastAsia" w:asciiTheme="minorEastAsia" w:hAnsiTheme="minorEastAsia" w:eastAsiaTheme="minorEastAsia" w:cstheme="minorEastAsia"/>
                <w:color w:val="auto"/>
                <w:sz w:val="24"/>
                <w:highlight w:val="none"/>
                <w:lang w:val="en-US" w:eastAsia="zh-CN"/>
              </w:rPr>
              <w:t>计量单位</w:t>
            </w:r>
          </w:p>
        </w:tc>
        <w:tc>
          <w:tcPr>
            <w:tcW w:w="1992" w:type="dxa"/>
            <w:tcBorders>
              <w:top w:val="single" w:color="auto" w:sz="4" w:space="0"/>
              <w:left w:val="single" w:color="auto" w:sz="4" w:space="0"/>
              <w:right w:val="single" w:color="auto" w:sz="4" w:space="0"/>
            </w:tcBorders>
            <w:vAlign w:val="center"/>
          </w:tcPr>
          <w:p w14:paraId="3F7161B0">
            <w:pPr>
              <w:spacing w:line="400" w:lineRule="exact"/>
              <w:jc w:val="center"/>
              <w:rPr>
                <w:rFonts w:hint="eastAsia" w:asciiTheme="minorEastAsia" w:hAnsiTheme="minorEastAsia" w:eastAsiaTheme="minorEastAsia" w:cstheme="minorEastAsia"/>
                <w:color w:val="auto"/>
                <w:sz w:val="24"/>
                <w:highlight w:val="none"/>
                <w:lang w:eastAsia="zh-CN"/>
              </w:rPr>
            </w:pPr>
            <w:r>
              <w:rPr>
                <w:rFonts w:hint="eastAsia" w:asciiTheme="minorEastAsia" w:hAnsiTheme="minorEastAsia" w:eastAsiaTheme="minorEastAsia" w:cstheme="minorEastAsia"/>
                <w:color w:val="auto"/>
                <w:sz w:val="24"/>
                <w:highlight w:val="none"/>
                <w:lang w:val="en-US" w:eastAsia="zh-CN"/>
              </w:rPr>
              <w:t>工程量</w:t>
            </w:r>
          </w:p>
        </w:tc>
        <w:tc>
          <w:tcPr>
            <w:tcW w:w="1748" w:type="dxa"/>
            <w:tcBorders>
              <w:top w:val="single" w:color="auto" w:sz="4" w:space="0"/>
              <w:left w:val="single" w:color="auto" w:sz="4" w:space="0"/>
              <w:right w:val="single" w:color="auto" w:sz="4" w:space="0"/>
            </w:tcBorders>
            <w:vAlign w:val="center"/>
          </w:tcPr>
          <w:p w14:paraId="266D9195">
            <w:pPr>
              <w:spacing w:line="400" w:lineRule="exact"/>
              <w:jc w:val="center"/>
              <w:rPr>
                <w:rFonts w:hint="eastAsia" w:asciiTheme="minorEastAsia" w:hAnsiTheme="minorEastAsia" w:eastAsiaTheme="minorEastAsia" w:cstheme="minorEastAsia"/>
                <w:color w:val="auto"/>
                <w:sz w:val="24"/>
                <w:highlight w:val="none"/>
              </w:rPr>
            </w:pPr>
            <w:r>
              <w:rPr>
                <w:rFonts w:hint="eastAsia" w:asciiTheme="minorEastAsia" w:hAnsiTheme="minorEastAsia" w:eastAsiaTheme="minorEastAsia" w:cstheme="minorEastAsia"/>
                <w:color w:val="auto"/>
                <w:sz w:val="24"/>
                <w:highlight w:val="none"/>
              </w:rPr>
              <w:t>备注</w:t>
            </w:r>
          </w:p>
        </w:tc>
      </w:tr>
      <w:tr w14:paraId="2FAC07E2">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16" w:hRule="atLeast"/>
        </w:trPr>
        <w:tc>
          <w:tcPr>
            <w:tcW w:w="821" w:type="dxa"/>
            <w:vMerge w:val="restart"/>
            <w:tcBorders>
              <w:left w:val="single" w:color="auto" w:sz="4" w:space="0"/>
              <w:right w:val="single" w:color="auto" w:sz="4" w:space="0"/>
            </w:tcBorders>
            <w:vAlign w:val="center"/>
          </w:tcPr>
          <w:p w14:paraId="53D77675">
            <w:pPr>
              <w:spacing w:line="400" w:lineRule="exact"/>
              <w:jc w:val="center"/>
              <w:rPr>
                <w:rFonts w:asciiTheme="minorEastAsia" w:hAnsiTheme="minorEastAsia" w:eastAsiaTheme="minorEastAsia" w:cstheme="minorEastAsia"/>
                <w:color w:val="auto"/>
                <w:sz w:val="24"/>
                <w:highlight w:val="none"/>
              </w:rPr>
            </w:pPr>
            <w:r>
              <w:rPr>
                <w:rFonts w:hint="eastAsia" w:asciiTheme="minorEastAsia" w:hAnsiTheme="minorEastAsia" w:eastAsiaTheme="minorEastAsia" w:cstheme="minorEastAsia"/>
                <w:color w:val="auto"/>
                <w:sz w:val="24"/>
                <w:highlight w:val="none"/>
              </w:rPr>
              <w:t>1</w:t>
            </w:r>
          </w:p>
        </w:tc>
        <w:tc>
          <w:tcPr>
            <w:tcW w:w="1032" w:type="dxa"/>
            <w:vMerge w:val="restart"/>
            <w:tcBorders>
              <w:top w:val="single" w:color="auto" w:sz="4" w:space="0"/>
              <w:left w:val="single" w:color="auto" w:sz="4" w:space="0"/>
              <w:right w:val="single" w:color="auto" w:sz="4" w:space="0"/>
            </w:tcBorders>
            <w:vAlign w:val="center"/>
          </w:tcPr>
          <w:p w14:paraId="180E9988">
            <w:pPr>
              <w:spacing w:line="400" w:lineRule="exact"/>
              <w:jc w:val="center"/>
              <w:rPr>
                <w:rFonts w:asciiTheme="minorEastAsia" w:hAnsiTheme="minorEastAsia" w:eastAsiaTheme="minorEastAsia" w:cstheme="minorEastAsia"/>
                <w:color w:val="auto"/>
                <w:sz w:val="24"/>
                <w:highlight w:val="none"/>
              </w:rPr>
            </w:pPr>
            <w:r>
              <w:rPr>
                <w:rFonts w:hint="eastAsia" w:ascii="宋体" w:hAnsi="宋体" w:eastAsia="宋体" w:cs="宋体"/>
                <w:i w:val="0"/>
                <w:iCs w:val="0"/>
                <w:color w:val="000000"/>
                <w:kern w:val="0"/>
                <w:sz w:val="24"/>
                <w:szCs w:val="24"/>
                <w:u w:val="none"/>
                <w:lang w:val="en-US" w:eastAsia="zh-CN" w:bidi="ar"/>
              </w:rPr>
              <w:t>整治设计费</w:t>
            </w:r>
          </w:p>
        </w:tc>
        <w:tc>
          <w:tcPr>
            <w:tcW w:w="2304" w:type="dxa"/>
            <w:tcBorders>
              <w:top w:val="single" w:color="auto" w:sz="4" w:space="0"/>
              <w:left w:val="single" w:color="auto" w:sz="4" w:space="0"/>
              <w:bottom w:val="single" w:color="auto" w:sz="4" w:space="0"/>
              <w:right w:val="single" w:color="auto" w:sz="4" w:space="0"/>
            </w:tcBorders>
            <w:vAlign w:val="center"/>
          </w:tcPr>
          <w:p w14:paraId="7428131D">
            <w:pPr>
              <w:spacing w:line="400" w:lineRule="exact"/>
              <w:jc w:val="center"/>
              <w:rPr>
                <w:rFonts w:asciiTheme="minorEastAsia" w:hAnsiTheme="minorEastAsia" w:eastAsiaTheme="minorEastAsia" w:cstheme="minorEastAsia"/>
                <w:color w:val="auto"/>
                <w:sz w:val="24"/>
                <w:highlight w:val="none"/>
              </w:rPr>
            </w:pPr>
            <w:r>
              <w:rPr>
                <w:rFonts w:hint="eastAsia" w:ascii="宋体" w:hAnsi="宋体" w:eastAsia="宋体" w:cs="宋体"/>
                <w:i w:val="0"/>
                <w:iCs w:val="0"/>
                <w:color w:val="000000"/>
                <w:kern w:val="0"/>
                <w:sz w:val="24"/>
                <w:szCs w:val="24"/>
                <w:u w:val="none"/>
                <w:lang w:val="en-US" w:eastAsia="zh-CN" w:bidi="ar"/>
              </w:rPr>
              <w:t>勘查费</w:t>
            </w:r>
          </w:p>
        </w:tc>
        <w:tc>
          <w:tcPr>
            <w:tcW w:w="1440" w:type="dxa"/>
            <w:tcBorders>
              <w:bottom w:val="single" w:color="auto" w:sz="4" w:space="0"/>
              <w:right w:val="single" w:color="auto" w:sz="4" w:space="0"/>
            </w:tcBorders>
            <w:vAlign w:val="center"/>
          </w:tcPr>
          <w:p w14:paraId="6F9E0CEB">
            <w:pPr>
              <w:spacing w:line="400" w:lineRule="exact"/>
              <w:jc w:val="center"/>
              <w:rPr>
                <w:rFonts w:hint="default" w:asciiTheme="minorEastAsia" w:hAnsiTheme="minorEastAsia" w:eastAsiaTheme="minorEastAsia" w:cstheme="minorEastAsia"/>
                <w:color w:val="auto"/>
                <w:sz w:val="24"/>
                <w:highlight w:val="none"/>
                <w:lang w:val="en-US" w:eastAsia="zh-CN"/>
              </w:rPr>
            </w:pPr>
            <w:r>
              <w:rPr>
                <w:rFonts w:hint="eastAsia" w:asciiTheme="minorEastAsia" w:hAnsiTheme="minorEastAsia" w:eastAsiaTheme="minorEastAsia" w:cstheme="minorEastAsia"/>
                <w:color w:val="auto"/>
                <w:sz w:val="24"/>
                <w:highlight w:val="none"/>
                <w:lang w:val="en-US" w:eastAsia="zh-CN"/>
              </w:rPr>
              <w:t>亩</w:t>
            </w:r>
          </w:p>
        </w:tc>
        <w:tc>
          <w:tcPr>
            <w:tcW w:w="1992" w:type="dxa"/>
            <w:tcBorders>
              <w:left w:val="single" w:color="auto" w:sz="4" w:space="0"/>
              <w:bottom w:val="single" w:color="auto" w:sz="4" w:space="0"/>
              <w:right w:val="single" w:color="auto" w:sz="4" w:space="0"/>
            </w:tcBorders>
            <w:vAlign w:val="center"/>
          </w:tcPr>
          <w:p w14:paraId="784681EE">
            <w:pPr>
              <w:spacing w:line="400" w:lineRule="exact"/>
              <w:jc w:val="center"/>
              <w:rPr>
                <w:rFonts w:asciiTheme="minorEastAsia" w:hAnsiTheme="minorEastAsia" w:eastAsiaTheme="minorEastAsia" w:cstheme="minorEastAsia"/>
                <w:color w:val="auto"/>
                <w:sz w:val="24"/>
                <w:highlight w:val="none"/>
              </w:rPr>
            </w:pPr>
            <w:r>
              <w:rPr>
                <w:rFonts w:hint="eastAsia" w:asciiTheme="minorEastAsia" w:hAnsiTheme="minorEastAsia" w:eastAsiaTheme="minorEastAsia" w:cstheme="minorEastAsia"/>
                <w:color w:val="auto"/>
                <w:sz w:val="24"/>
                <w:highlight w:val="none"/>
                <w:lang w:val="en-US" w:eastAsia="zh-CN"/>
              </w:rPr>
              <w:t>17000</w:t>
            </w:r>
          </w:p>
        </w:tc>
        <w:tc>
          <w:tcPr>
            <w:tcW w:w="1748" w:type="dxa"/>
            <w:tcBorders>
              <w:left w:val="single" w:color="auto" w:sz="4" w:space="0"/>
              <w:right w:val="single" w:color="auto" w:sz="4" w:space="0"/>
            </w:tcBorders>
            <w:vAlign w:val="center"/>
          </w:tcPr>
          <w:p w14:paraId="09766B9F">
            <w:pPr>
              <w:spacing w:line="400" w:lineRule="exact"/>
              <w:jc w:val="center"/>
              <w:rPr>
                <w:rFonts w:asciiTheme="minorEastAsia" w:hAnsiTheme="minorEastAsia" w:eastAsiaTheme="minorEastAsia" w:cstheme="minorEastAsia"/>
                <w:color w:val="auto"/>
                <w:sz w:val="24"/>
                <w:highlight w:val="none"/>
              </w:rPr>
            </w:pPr>
            <w:r>
              <w:rPr>
                <w:rFonts w:hint="eastAsia" w:ascii="宋体" w:hAnsi="宋体" w:eastAsia="宋体" w:cs="宋体"/>
                <w:i w:val="0"/>
                <w:iCs w:val="0"/>
                <w:color w:val="000000"/>
                <w:sz w:val="24"/>
                <w:szCs w:val="24"/>
                <w:u w:val="none"/>
                <w:lang w:val="en-US" w:eastAsia="zh-CN"/>
              </w:rPr>
              <w:t>全面核查</w:t>
            </w:r>
          </w:p>
        </w:tc>
      </w:tr>
      <w:tr w14:paraId="1F5E73F5">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950" w:hRule="atLeast"/>
        </w:trPr>
        <w:tc>
          <w:tcPr>
            <w:tcW w:w="821" w:type="dxa"/>
            <w:vMerge w:val="continue"/>
            <w:tcBorders>
              <w:left w:val="single" w:color="auto" w:sz="4" w:space="0"/>
              <w:right w:val="single" w:color="auto" w:sz="4" w:space="0"/>
            </w:tcBorders>
            <w:vAlign w:val="center"/>
          </w:tcPr>
          <w:p w14:paraId="53DE98C3">
            <w:pPr>
              <w:spacing w:line="400" w:lineRule="exact"/>
              <w:jc w:val="center"/>
              <w:rPr>
                <w:rFonts w:hint="eastAsia" w:asciiTheme="minorEastAsia" w:hAnsiTheme="minorEastAsia" w:eastAsiaTheme="minorEastAsia" w:cstheme="minorEastAsia"/>
                <w:color w:val="auto"/>
                <w:sz w:val="24"/>
                <w:highlight w:val="none"/>
              </w:rPr>
            </w:pPr>
          </w:p>
        </w:tc>
        <w:tc>
          <w:tcPr>
            <w:tcW w:w="1032" w:type="dxa"/>
            <w:vMerge w:val="continue"/>
            <w:tcBorders>
              <w:left w:val="single" w:color="auto" w:sz="4" w:space="0"/>
              <w:right w:val="single" w:color="auto" w:sz="4" w:space="0"/>
            </w:tcBorders>
            <w:vAlign w:val="center"/>
          </w:tcPr>
          <w:p w14:paraId="2FFD3D14">
            <w:pPr>
              <w:spacing w:line="400" w:lineRule="exact"/>
              <w:jc w:val="center"/>
              <w:rPr>
                <w:rFonts w:asciiTheme="minorEastAsia" w:hAnsiTheme="minorEastAsia" w:eastAsiaTheme="minorEastAsia" w:cstheme="minorEastAsia"/>
                <w:color w:val="auto"/>
                <w:sz w:val="24"/>
                <w:highlight w:val="none"/>
              </w:rPr>
            </w:pPr>
          </w:p>
        </w:tc>
        <w:tc>
          <w:tcPr>
            <w:tcW w:w="2304" w:type="dxa"/>
            <w:tcBorders>
              <w:top w:val="single" w:color="auto" w:sz="4" w:space="0"/>
              <w:left w:val="single" w:color="auto" w:sz="4" w:space="0"/>
              <w:bottom w:val="single" w:color="auto" w:sz="4" w:space="0"/>
              <w:right w:val="single" w:color="auto" w:sz="4" w:space="0"/>
            </w:tcBorders>
            <w:vAlign w:val="center"/>
          </w:tcPr>
          <w:p w14:paraId="1CCA64C2">
            <w:pPr>
              <w:spacing w:line="240" w:lineRule="auto"/>
              <w:jc w:val="center"/>
              <w:rPr>
                <w:rFonts w:asciiTheme="minorEastAsia" w:hAnsiTheme="minorEastAsia" w:eastAsiaTheme="minorEastAsia" w:cstheme="minorEastAsia"/>
                <w:color w:val="auto"/>
                <w:sz w:val="24"/>
                <w:highlight w:val="none"/>
              </w:rPr>
            </w:pPr>
            <w:r>
              <w:rPr>
                <w:rFonts w:hint="eastAsia" w:ascii="宋体" w:hAnsi="宋体" w:eastAsia="宋体" w:cs="宋体"/>
                <w:i w:val="0"/>
                <w:iCs w:val="0"/>
                <w:color w:val="000000"/>
                <w:kern w:val="0"/>
                <w:sz w:val="24"/>
                <w:szCs w:val="24"/>
                <w:u w:val="none"/>
                <w:lang w:val="en-US" w:eastAsia="zh-CN" w:bidi="ar"/>
              </w:rPr>
              <w:t>施工图绘制及设计（以需要整治设计的问题数为准）</w:t>
            </w:r>
          </w:p>
        </w:tc>
        <w:tc>
          <w:tcPr>
            <w:tcW w:w="1440" w:type="dxa"/>
            <w:tcBorders>
              <w:top w:val="single" w:color="auto" w:sz="4" w:space="0"/>
              <w:bottom w:val="single" w:color="auto" w:sz="4" w:space="0"/>
              <w:right w:val="single" w:color="auto" w:sz="4" w:space="0"/>
            </w:tcBorders>
            <w:vAlign w:val="center"/>
          </w:tcPr>
          <w:p w14:paraId="3C7FC9E6">
            <w:pPr>
              <w:spacing w:line="400" w:lineRule="exact"/>
              <w:jc w:val="center"/>
              <w:rPr>
                <w:rFonts w:hint="default" w:asciiTheme="minorEastAsia" w:hAnsiTheme="minorEastAsia" w:eastAsiaTheme="minorEastAsia" w:cstheme="minorEastAsia"/>
                <w:color w:val="auto"/>
                <w:sz w:val="24"/>
                <w:highlight w:val="none"/>
                <w:lang w:val="en-US"/>
              </w:rPr>
            </w:pPr>
            <w:r>
              <w:rPr>
                <w:rFonts w:hint="eastAsia" w:ascii="宋体" w:hAnsi="宋体" w:eastAsia="宋体" w:cs="宋体"/>
                <w:i w:val="0"/>
                <w:iCs w:val="0"/>
                <w:color w:val="000000"/>
                <w:kern w:val="0"/>
                <w:sz w:val="24"/>
                <w:szCs w:val="24"/>
                <w:u w:val="none"/>
                <w:lang w:val="en-US" w:eastAsia="zh-CN" w:bidi="ar"/>
              </w:rPr>
              <w:t>个</w:t>
            </w:r>
          </w:p>
        </w:tc>
        <w:tc>
          <w:tcPr>
            <w:tcW w:w="1992" w:type="dxa"/>
            <w:tcBorders>
              <w:top w:val="single" w:color="auto" w:sz="4" w:space="0"/>
              <w:left w:val="single" w:color="auto" w:sz="4" w:space="0"/>
              <w:bottom w:val="single" w:color="auto" w:sz="4" w:space="0"/>
              <w:right w:val="single" w:color="auto" w:sz="4" w:space="0"/>
            </w:tcBorders>
            <w:vAlign w:val="center"/>
          </w:tcPr>
          <w:p w14:paraId="76F2E078">
            <w:pPr>
              <w:spacing w:line="400" w:lineRule="exact"/>
              <w:jc w:val="center"/>
              <w:rPr>
                <w:rFonts w:asciiTheme="minorEastAsia" w:hAnsiTheme="minorEastAsia" w:eastAsiaTheme="minorEastAsia" w:cstheme="minorEastAsia"/>
                <w:color w:val="auto"/>
                <w:sz w:val="24"/>
                <w:highlight w:val="none"/>
              </w:rPr>
            </w:pPr>
            <w:r>
              <w:rPr>
                <w:rFonts w:hint="eastAsia" w:ascii="宋体" w:hAnsi="宋体" w:eastAsia="宋体" w:cs="宋体"/>
                <w:i w:val="0"/>
                <w:iCs w:val="0"/>
                <w:color w:val="000000"/>
                <w:kern w:val="0"/>
                <w:sz w:val="24"/>
                <w:szCs w:val="24"/>
                <w:u w:val="none"/>
                <w:lang w:val="en-US" w:eastAsia="zh-CN" w:bidi="ar"/>
              </w:rPr>
              <w:t>500</w:t>
            </w:r>
          </w:p>
        </w:tc>
        <w:tc>
          <w:tcPr>
            <w:tcW w:w="1748" w:type="dxa"/>
            <w:vMerge w:val="restart"/>
            <w:tcBorders>
              <w:left w:val="single" w:color="auto" w:sz="4" w:space="0"/>
              <w:right w:val="single" w:color="auto" w:sz="4" w:space="0"/>
            </w:tcBorders>
            <w:vAlign w:val="center"/>
          </w:tcPr>
          <w:p w14:paraId="7871F170">
            <w:pPr>
              <w:spacing w:line="400" w:lineRule="exact"/>
              <w:jc w:val="center"/>
              <w:rPr>
                <w:rFonts w:hint="eastAsia" w:ascii="宋体" w:hAnsi="宋体" w:cs="宋体"/>
                <w:color w:val="auto"/>
                <w:sz w:val="24"/>
                <w:highlight w:val="none"/>
              </w:rPr>
            </w:pPr>
            <w:r>
              <w:rPr>
                <w:rFonts w:hint="eastAsia" w:ascii="宋体" w:hAnsi="宋体" w:eastAsia="宋体" w:cs="宋体"/>
                <w:i w:val="0"/>
                <w:iCs w:val="0"/>
                <w:color w:val="000000"/>
                <w:kern w:val="0"/>
                <w:sz w:val="24"/>
                <w:szCs w:val="24"/>
                <w:u w:val="none"/>
                <w:lang w:val="en-US" w:eastAsia="zh-CN" w:bidi="ar"/>
              </w:rPr>
              <w:t>具体以实际工作量为主</w:t>
            </w:r>
          </w:p>
        </w:tc>
      </w:tr>
      <w:tr w14:paraId="10047CEE">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512" w:hRule="atLeast"/>
        </w:trPr>
        <w:tc>
          <w:tcPr>
            <w:tcW w:w="821" w:type="dxa"/>
            <w:vMerge w:val="continue"/>
            <w:tcBorders>
              <w:left w:val="single" w:color="auto" w:sz="4" w:space="0"/>
              <w:right w:val="single" w:color="auto" w:sz="4" w:space="0"/>
            </w:tcBorders>
            <w:vAlign w:val="center"/>
          </w:tcPr>
          <w:p w14:paraId="0E51756C">
            <w:pPr>
              <w:spacing w:line="400" w:lineRule="exact"/>
              <w:jc w:val="center"/>
              <w:rPr>
                <w:rFonts w:hint="eastAsia" w:asciiTheme="minorEastAsia" w:hAnsiTheme="minorEastAsia" w:eastAsiaTheme="minorEastAsia" w:cstheme="minorEastAsia"/>
                <w:color w:val="auto"/>
                <w:sz w:val="24"/>
                <w:highlight w:val="none"/>
              </w:rPr>
            </w:pPr>
          </w:p>
        </w:tc>
        <w:tc>
          <w:tcPr>
            <w:tcW w:w="1032" w:type="dxa"/>
            <w:vMerge w:val="continue"/>
            <w:tcBorders>
              <w:left w:val="single" w:color="auto" w:sz="4" w:space="0"/>
              <w:right w:val="single" w:color="auto" w:sz="4" w:space="0"/>
            </w:tcBorders>
            <w:vAlign w:val="center"/>
          </w:tcPr>
          <w:p w14:paraId="2C9B1474">
            <w:pPr>
              <w:spacing w:line="400" w:lineRule="exact"/>
              <w:jc w:val="center"/>
              <w:rPr>
                <w:rFonts w:asciiTheme="minorEastAsia" w:hAnsiTheme="minorEastAsia" w:eastAsiaTheme="minorEastAsia" w:cstheme="minorEastAsia"/>
                <w:color w:val="auto"/>
                <w:sz w:val="24"/>
                <w:highlight w:val="none"/>
              </w:rPr>
            </w:pPr>
          </w:p>
        </w:tc>
        <w:tc>
          <w:tcPr>
            <w:tcW w:w="2304" w:type="dxa"/>
            <w:tcBorders>
              <w:top w:val="single" w:color="auto" w:sz="4" w:space="0"/>
              <w:left w:val="single" w:color="auto" w:sz="4" w:space="0"/>
              <w:bottom w:val="single" w:color="auto" w:sz="4" w:space="0"/>
              <w:right w:val="single" w:color="auto" w:sz="4" w:space="0"/>
            </w:tcBorders>
            <w:vAlign w:val="center"/>
          </w:tcPr>
          <w:p w14:paraId="06EE4D86">
            <w:pPr>
              <w:spacing w:line="400" w:lineRule="exact"/>
              <w:jc w:val="center"/>
              <w:rPr>
                <w:rFonts w:asciiTheme="minorEastAsia" w:hAnsiTheme="minorEastAsia" w:eastAsiaTheme="minorEastAsia" w:cstheme="minorEastAsia"/>
                <w:color w:val="auto"/>
                <w:sz w:val="24"/>
                <w:highlight w:val="none"/>
              </w:rPr>
            </w:pPr>
            <w:r>
              <w:rPr>
                <w:rFonts w:hint="eastAsia" w:ascii="宋体" w:hAnsi="宋体" w:eastAsia="宋体" w:cs="宋体"/>
                <w:i w:val="0"/>
                <w:iCs w:val="0"/>
                <w:color w:val="000000"/>
                <w:kern w:val="0"/>
                <w:sz w:val="24"/>
                <w:szCs w:val="24"/>
                <w:u w:val="none"/>
                <w:lang w:val="en-US" w:eastAsia="zh-CN" w:bidi="ar"/>
              </w:rPr>
              <w:t>设计报告编制</w:t>
            </w:r>
          </w:p>
        </w:tc>
        <w:tc>
          <w:tcPr>
            <w:tcW w:w="1440" w:type="dxa"/>
            <w:tcBorders>
              <w:top w:val="single" w:color="auto" w:sz="4" w:space="0"/>
              <w:bottom w:val="single" w:color="auto" w:sz="4" w:space="0"/>
              <w:right w:val="single" w:color="auto" w:sz="4" w:space="0"/>
            </w:tcBorders>
            <w:vAlign w:val="center"/>
          </w:tcPr>
          <w:p w14:paraId="3BC79C81">
            <w:pPr>
              <w:spacing w:line="400" w:lineRule="exact"/>
              <w:jc w:val="center"/>
              <w:rPr>
                <w:rFonts w:asciiTheme="minorEastAsia" w:hAnsiTheme="minorEastAsia" w:eastAsiaTheme="minorEastAsia" w:cstheme="minorEastAsia"/>
                <w:color w:val="auto"/>
                <w:sz w:val="24"/>
                <w:highlight w:val="none"/>
              </w:rPr>
            </w:pPr>
            <w:r>
              <w:rPr>
                <w:rFonts w:hint="eastAsia" w:asciiTheme="minorEastAsia" w:hAnsiTheme="minorEastAsia" w:eastAsiaTheme="minorEastAsia" w:cstheme="minorEastAsia"/>
                <w:color w:val="auto"/>
                <w:sz w:val="24"/>
                <w:highlight w:val="none"/>
                <w:lang w:val="en-US" w:eastAsia="zh-CN"/>
              </w:rPr>
              <w:t>亩</w:t>
            </w:r>
          </w:p>
        </w:tc>
        <w:tc>
          <w:tcPr>
            <w:tcW w:w="1992" w:type="dxa"/>
            <w:tcBorders>
              <w:top w:val="single" w:color="auto" w:sz="4" w:space="0"/>
              <w:left w:val="single" w:color="auto" w:sz="4" w:space="0"/>
              <w:bottom w:val="single" w:color="auto" w:sz="4" w:space="0"/>
              <w:right w:val="single" w:color="auto" w:sz="4" w:space="0"/>
            </w:tcBorders>
            <w:vAlign w:val="center"/>
          </w:tcPr>
          <w:p w14:paraId="04EE58DB">
            <w:pPr>
              <w:spacing w:line="400" w:lineRule="exact"/>
              <w:jc w:val="center"/>
              <w:rPr>
                <w:rFonts w:asciiTheme="minorEastAsia" w:hAnsiTheme="minorEastAsia" w:eastAsiaTheme="minorEastAsia" w:cstheme="minorEastAsia"/>
                <w:color w:val="auto"/>
                <w:sz w:val="24"/>
                <w:highlight w:val="none"/>
              </w:rPr>
            </w:pPr>
            <w:r>
              <w:rPr>
                <w:rFonts w:hint="eastAsia" w:ascii="宋体" w:hAnsi="宋体" w:eastAsia="宋体" w:cs="宋体"/>
                <w:i w:val="0"/>
                <w:iCs w:val="0"/>
                <w:color w:val="000000"/>
                <w:kern w:val="0"/>
                <w:sz w:val="24"/>
                <w:szCs w:val="24"/>
                <w:u w:val="none"/>
                <w:lang w:val="en-US" w:eastAsia="zh-CN" w:bidi="ar"/>
              </w:rPr>
              <w:t>16000</w:t>
            </w:r>
          </w:p>
        </w:tc>
        <w:tc>
          <w:tcPr>
            <w:tcW w:w="1748" w:type="dxa"/>
            <w:vMerge w:val="continue"/>
            <w:tcBorders>
              <w:left w:val="single" w:color="auto" w:sz="4" w:space="0"/>
              <w:right w:val="single" w:color="auto" w:sz="4" w:space="0"/>
            </w:tcBorders>
            <w:vAlign w:val="center"/>
          </w:tcPr>
          <w:p w14:paraId="3E3483D8">
            <w:pPr>
              <w:spacing w:line="400" w:lineRule="exact"/>
              <w:jc w:val="center"/>
              <w:rPr>
                <w:rFonts w:hint="eastAsia" w:ascii="宋体" w:hAnsi="宋体" w:cs="宋体"/>
                <w:color w:val="auto"/>
                <w:sz w:val="24"/>
                <w:highlight w:val="none"/>
              </w:rPr>
            </w:pPr>
          </w:p>
        </w:tc>
      </w:tr>
      <w:tr w14:paraId="6BC53DD2">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16" w:hRule="atLeast"/>
        </w:trPr>
        <w:tc>
          <w:tcPr>
            <w:tcW w:w="821" w:type="dxa"/>
            <w:vMerge w:val="continue"/>
            <w:tcBorders>
              <w:left w:val="single" w:color="auto" w:sz="4" w:space="0"/>
              <w:right w:val="single" w:color="auto" w:sz="4" w:space="0"/>
            </w:tcBorders>
            <w:vAlign w:val="center"/>
          </w:tcPr>
          <w:p w14:paraId="3A115FF3">
            <w:pPr>
              <w:spacing w:line="400" w:lineRule="exact"/>
              <w:jc w:val="center"/>
              <w:rPr>
                <w:rFonts w:hint="eastAsia" w:asciiTheme="minorEastAsia" w:hAnsiTheme="minorEastAsia" w:eastAsiaTheme="minorEastAsia" w:cstheme="minorEastAsia"/>
                <w:color w:val="auto"/>
                <w:sz w:val="24"/>
                <w:highlight w:val="none"/>
              </w:rPr>
            </w:pPr>
          </w:p>
        </w:tc>
        <w:tc>
          <w:tcPr>
            <w:tcW w:w="1032" w:type="dxa"/>
            <w:vMerge w:val="continue"/>
            <w:tcBorders>
              <w:left w:val="single" w:color="auto" w:sz="4" w:space="0"/>
              <w:right w:val="single" w:color="auto" w:sz="4" w:space="0"/>
            </w:tcBorders>
            <w:vAlign w:val="center"/>
          </w:tcPr>
          <w:p w14:paraId="705F8AF9">
            <w:pPr>
              <w:spacing w:line="400" w:lineRule="exact"/>
              <w:jc w:val="center"/>
              <w:rPr>
                <w:rFonts w:asciiTheme="minorEastAsia" w:hAnsiTheme="minorEastAsia" w:eastAsiaTheme="minorEastAsia" w:cstheme="minorEastAsia"/>
                <w:color w:val="auto"/>
                <w:sz w:val="24"/>
                <w:highlight w:val="none"/>
              </w:rPr>
            </w:pPr>
          </w:p>
        </w:tc>
        <w:tc>
          <w:tcPr>
            <w:tcW w:w="2304" w:type="dxa"/>
            <w:tcBorders>
              <w:top w:val="single" w:color="auto" w:sz="4" w:space="0"/>
              <w:left w:val="single" w:color="auto" w:sz="4" w:space="0"/>
              <w:right w:val="single" w:color="auto" w:sz="4" w:space="0"/>
            </w:tcBorders>
            <w:vAlign w:val="center"/>
          </w:tcPr>
          <w:p w14:paraId="7B22C4F8">
            <w:pPr>
              <w:spacing w:line="400" w:lineRule="exact"/>
              <w:jc w:val="center"/>
              <w:rPr>
                <w:rFonts w:asciiTheme="minorEastAsia" w:hAnsiTheme="minorEastAsia" w:eastAsiaTheme="minorEastAsia" w:cstheme="minorEastAsia"/>
                <w:color w:val="auto"/>
                <w:sz w:val="24"/>
                <w:highlight w:val="none"/>
              </w:rPr>
            </w:pPr>
            <w:r>
              <w:rPr>
                <w:rFonts w:hint="eastAsia" w:ascii="宋体" w:hAnsi="宋体" w:eastAsia="宋体" w:cs="宋体"/>
                <w:i w:val="0"/>
                <w:iCs w:val="0"/>
                <w:color w:val="000000"/>
                <w:kern w:val="0"/>
                <w:sz w:val="24"/>
                <w:szCs w:val="24"/>
                <w:u w:val="none"/>
                <w:lang w:val="en-US" w:eastAsia="zh-CN" w:bidi="ar"/>
              </w:rPr>
              <w:t>无人机航测</w:t>
            </w:r>
          </w:p>
        </w:tc>
        <w:tc>
          <w:tcPr>
            <w:tcW w:w="1440" w:type="dxa"/>
            <w:tcBorders>
              <w:top w:val="single" w:color="auto" w:sz="4" w:space="0"/>
              <w:right w:val="single" w:color="auto" w:sz="4" w:space="0"/>
            </w:tcBorders>
            <w:vAlign w:val="center"/>
          </w:tcPr>
          <w:p w14:paraId="5FF7D037">
            <w:pPr>
              <w:spacing w:line="400" w:lineRule="exact"/>
              <w:jc w:val="center"/>
              <w:rPr>
                <w:rFonts w:asciiTheme="minorEastAsia" w:hAnsiTheme="minorEastAsia" w:eastAsiaTheme="minorEastAsia" w:cstheme="minorEastAsia"/>
                <w:color w:val="auto"/>
                <w:sz w:val="24"/>
                <w:highlight w:val="none"/>
              </w:rPr>
            </w:pPr>
            <w:r>
              <w:rPr>
                <w:rFonts w:hint="eastAsia" w:asciiTheme="minorEastAsia" w:hAnsiTheme="minorEastAsia" w:eastAsiaTheme="minorEastAsia" w:cstheme="minorEastAsia"/>
                <w:color w:val="auto"/>
                <w:sz w:val="24"/>
                <w:highlight w:val="none"/>
                <w:lang w:val="en-US" w:eastAsia="zh-CN"/>
              </w:rPr>
              <w:t>亩</w:t>
            </w:r>
          </w:p>
        </w:tc>
        <w:tc>
          <w:tcPr>
            <w:tcW w:w="1992" w:type="dxa"/>
            <w:tcBorders>
              <w:top w:val="single" w:color="auto" w:sz="4" w:space="0"/>
              <w:left w:val="single" w:color="auto" w:sz="4" w:space="0"/>
              <w:right w:val="single" w:color="auto" w:sz="4" w:space="0"/>
            </w:tcBorders>
            <w:vAlign w:val="center"/>
          </w:tcPr>
          <w:p w14:paraId="046D4EB4">
            <w:pPr>
              <w:spacing w:line="400" w:lineRule="exact"/>
              <w:jc w:val="center"/>
              <w:rPr>
                <w:rFonts w:asciiTheme="minorEastAsia" w:hAnsiTheme="minorEastAsia" w:eastAsiaTheme="minorEastAsia" w:cstheme="minorEastAsia"/>
                <w:color w:val="auto"/>
                <w:sz w:val="24"/>
                <w:highlight w:val="none"/>
              </w:rPr>
            </w:pPr>
            <w:r>
              <w:rPr>
                <w:rFonts w:hint="eastAsia" w:ascii="宋体" w:hAnsi="宋体" w:eastAsia="宋体" w:cs="宋体"/>
                <w:i w:val="0"/>
                <w:iCs w:val="0"/>
                <w:color w:val="000000"/>
                <w:kern w:val="0"/>
                <w:sz w:val="24"/>
                <w:szCs w:val="24"/>
                <w:u w:val="none"/>
                <w:lang w:val="en-US" w:eastAsia="zh-CN" w:bidi="ar"/>
              </w:rPr>
              <w:t>16000</w:t>
            </w:r>
          </w:p>
        </w:tc>
        <w:tc>
          <w:tcPr>
            <w:tcW w:w="1748" w:type="dxa"/>
            <w:vMerge w:val="continue"/>
            <w:tcBorders>
              <w:left w:val="single" w:color="auto" w:sz="4" w:space="0"/>
              <w:right w:val="single" w:color="auto" w:sz="4" w:space="0"/>
            </w:tcBorders>
            <w:vAlign w:val="center"/>
          </w:tcPr>
          <w:p w14:paraId="711421BB">
            <w:pPr>
              <w:spacing w:line="400" w:lineRule="exact"/>
              <w:jc w:val="center"/>
              <w:rPr>
                <w:rFonts w:hint="eastAsia" w:ascii="宋体" w:hAnsi="宋体" w:cs="宋体"/>
                <w:color w:val="auto"/>
                <w:sz w:val="24"/>
                <w:highlight w:val="none"/>
              </w:rPr>
            </w:pPr>
          </w:p>
        </w:tc>
      </w:tr>
      <w:tr w14:paraId="07DE0D4F">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00" w:hRule="exact"/>
        </w:trPr>
        <w:tc>
          <w:tcPr>
            <w:tcW w:w="821" w:type="dxa"/>
            <w:tcBorders>
              <w:left w:val="single" w:color="auto" w:sz="4" w:space="0"/>
              <w:right w:val="single" w:color="auto" w:sz="4" w:space="0"/>
            </w:tcBorders>
            <w:vAlign w:val="center"/>
          </w:tcPr>
          <w:p w14:paraId="12D19122">
            <w:pPr>
              <w:spacing w:line="400" w:lineRule="exact"/>
              <w:jc w:val="center"/>
              <w:rPr>
                <w:rFonts w:asciiTheme="minorEastAsia" w:hAnsiTheme="minorEastAsia" w:eastAsiaTheme="minorEastAsia" w:cstheme="minorEastAsia"/>
                <w:color w:val="auto"/>
                <w:sz w:val="24"/>
                <w:highlight w:val="none"/>
              </w:rPr>
            </w:pPr>
            <w:r>
              <w:rPr>
                <w:rFonts w:hint="eastAsia" w:asciiTheme="minorEastAsia" w:hAnsiTheme="minorEastAsia" w:eastAsiaTheme="minorEastAsia" w:cstheme="minorEastAsia"/>
                <w:color w:val="auto"/>
                <w:sz w:val="24"/>
                <w:highlight w:val="none"/>
              </w:rPr>
              <w:t>2</w:t>
            </w:r>
          </w:p>
        </w:tc>
        <w:tc>
          <w:tcPr>
            <w:tcW w:w="3336" w:type="dxa"/>
            <w:gridSpan w:val="2"/>
            <w:tcBorders>
              <w:left w:val="single" w:color="auto" w:sz="4" w:space="0"/>
              <w:right w:val="single" w:color="auto" w:sz="4" w:space="0"/>
            </w:tcBorders>
            <w:vAlign w:val="center"/>
          </w:tcPr>
          <w:p w14:paraId="714DDFED">
            <w:pPr>
              <w:spacing w:line="400" w:lineRule="exact"/>
              <w:jc w:val="center"/>
              <w:rPr>
                <w:rFonts w:asciiTheme="minorEastAsia" w:hAnsiTheme="minorEastAsia" w:eastAsiaTheme="minorEastAsia" w:cstheme="minorEastAsia"/>
                <w:color w:val="auto"/>
                <w:sz w:val="24"/>
                <w:highlight w:val="none"/>
              </w:rPr>
            </w:pPr>
            <w:r>
              <w:rPr>
                <w:rFonts w:hint="eastAsia" w:ascii="宋体" w:hAnsi="宋体" w:eastAsia="宋体" w:cs="宋体"/>
                <w:i w:val="0"/>
                <w:iCs w:val="0"/>
                <w:color w:val="000000"/>
                <w:kern w:val="0"/>
                <w:sz w:val="24"/>
                <w:szCs w:val="24"/>
                <w:u w:val="none"/>
                <w:lang w:val="en-US" w:eastAsia="zh-CN" w:bidi="ar"/>
              </w:rPr>
              <w:t>概算编制费</w:t>
            </w:r>
          </w:p>
        </w:tc>
        <w:tc>
          <w:tcPr>
            <w:tcW w:w="1440" w:type="dxa"/>
            <w:tcBorders>
              <w:right w:val="single" w:color="auto" w:sz="4" w:space="0"/>
            </w:tcBorders>
            <w:vAlign w:val="center"/>
          </w:tcPr>
          <w:p w14:paraId="1ECBB5B9">
            <w:pPr>
              <w:spacing w:line="400" w:lineRule="exact"/>
              <w:jc w:val="center"/>
              <w:rPr>
                <w:rFonts w:asciiTheme="minorEastAsia" w:hAnsiTheme="minorEastAsia" w:eastAsiaTheme="minorEastAsia" w:cstheme="minorEastAsia"/>
                <w:color w:val="auto"/>
                <w:sz w:val="24"/>
                <w:highlight w:val="none"/>
              </w:rPr>
            </w:pPr>
            <w:r>
              <w:rPr>
                <w:rFonts w:hint="eastAsia" w:asciiTheme="minorEastAsia" w:hAnsiTheme="minorEastAsia" w:eastAsiaTheme="minorEastAsia" w:cstheme="minorEastAsia"/>
                <w:color w:val="auto"/>
                <w:sz w:val="24"/>
                <w:highlight w:val="none"/>
                <w:lang w:val="en-US" w:eastAsia="zh-CN"/>
              </w:rPr>
              <w:t>亩</w:t>
            </w:r>
          </w:p>
        </w:tc>
        <w:tc>
          <w:tcPr>
            <w:tcW w:w="1992" w:type="dxa"/>
            <w:tcBorders>
              <w:left w:val="single" w:color="auto" w:sz="4" w:space="0"/>
              <w:right w:val="single" w:color="auto" w:sz="4" w:space="0"/>
            </w:tcBorders>
            <w:vAlign w:val="center"/>
          </w:tcPr>
          <w:p w14:paraId="3DA87554">
            <w:pPr>
              <w:spacing w:line="400" w:lineRule="exact"/>
              <w:jc w:val="center"/>
              <w:rPr>
                <w:rFonts w:asciiTheme="minorEastAsia" w:hAnsiTheme="minorEastAsia" w:eastAsiaTheme="minorEastAsia" w:cstheme="minorEastAsia"/>
                <w:color w:val="auto"/>
                <w:sz w:val="24"/>
                <w:highlight w:val="none"/>
              </w:rPr>
            </w:pPr>
            <w:r>
              <w:rPr>
                <w:rFonts w:hint="eastAsia" w:asciiTheme="minorEastAsia" w:hAnsiTheme="minorEastAsia" w:eastAsiaTheme="minorEastAsia" w:cstheme="minorEastAsia"/>
                <w:color w:val="auto"/>
                <w:sz w:val="24"/>
                <w:highlight w:val="none"/>
                <w:lang w:val="en-US" w:eastAsia="zh-CN"/>
              </w:rPr>
              <w:t>17000</w:t>
            </w:r>
          </w:p>
        </w:tc>
        <w:tc>
          <w:tcPr>
            <w:tcW w:w="1748" w:type="dxa"/>
            <w:vMerge w:val="continue"/>
            <w:tcBorders>
              <w:left w:val="single" w:color="auto" w:sz="4" w:space="0"/>
              <w:right w:val="single" w:color="auto" w:sz="4" w:space="0"/>
            </w:tcBorders>
            <w:vAlign w:val="center"/>
          </w:tcPr>
          <w:p w14:paraId="1040CF2A">
            <w:pPr>
              <w:spacing w:line="400" w:lineRule="exact"/>
              <w:jc w:val="center"/>
              <w:rPr>
                <w:rFonts w:asciiTheme="minorEastAsia" w:hAnsiTheme="minorEastAsia" w:eastAsiaTheme="minorEastAsia" w:cstheme="minorEastAsia"/>
                <w:color w:val="auto"/>
                <w:sz w:val="24"/>
                <w:highlight w:val="none"/>
              </w:rPr>
            </w:pPr>
          </w:p>
        </w:tc>
      </w:tr>
      <w:tr w14:paraId="08B66B81">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54" w:hRule="exact"/>
        </w:trPr>
        <w:tc>
          <w:tcPr>
            <w:tcW w:w="821" w:type="dxa"/>
            <w:tcBorders>
              <w:left w:val="single" w:color="auto" w:sz="4" w:space="0"/>
              <w:right w:val="single" w:color="auto" w:sz="4" w:space="0"/>
            </w:tcBorders>
            <w:vAlign w:val="center"/>
          </w:tcPr>
          <w:p w14:paraId="0C7F3CE3">
            <w:pPr>
              <w:spacing w:line="400" w:lineRule="exact"/>
              <w:jc w:val="center"/>
              <w:rPr>
                <w:rFonts w:hint="eastAsia" w:asciiTheme="minorEastAsia" w:hAnsiTheme="minorEastAsia" w:eastAsiaTheme="minorEastAsia" w:cstheme="minorEastAsia"/>
                <w:color w:val="auto"/>
                <w:sz w:val="24"/>
                <w:highlight w:val="none"/>
                <w:lang w:val="en-US" w:eastAsia="zh-CN"/>
              </w:rPr>
            </w:pPr>
            <w:r>
              <w:rPr>
                <w:rFonts w:hint="eastAsia" w:asciiTheme="minorEastAsia" w:hAnsiTheme="minorEastAsia" w:eastAsiaTheme="minorEastAsia" w:cstheme="minorEastAsia"/>
                <w:color w:val="auto"/>
                <w:sz w:val="24"/>
                <w:highlight w:val="none"/>
                <w:lang w:val="en-US" w:eastAsia="zh-CN"/>
              </w:rPr>
              <w:t>3</w:t>
            </w:r>
          </w:p>
        </w:tc>
        <w:tc>
          <w:tcPr>
            <w:tcW w:w="3336" w:type="dxa"/>
            <w:gridSpan w:val="2"/>
            <w:tcBorders>
              <w:left w:val="single" w:color="auto" w:sz="4" w:space="0"/>
              <w:right w:val="single" w:color="auto" w:sz="4" w:space="0"/>
            </w:tcBorders>
            <w:vAlign w:val="center"/>
          </w:tcPr>
          <w:p w14:paraId="55943258">
            <w:pPr>
              <w:spacing w:line="400" w:lineRule="exact"/>
              <w:jc w:val="center"/>
              <w:rPr>
                <w:rFonts w:asciiTheme="minorEastAsia" w:hAnsiTheme="minorEastAsia" w:eastAsiaTheme="minorEastAsia" w:cstheme="minorEastAsia"/>
                <w:color w:val="auto"/>
                <w:sz w:val="24"/>
                <w:highlight w:val="none"/>
              </w:rPr>
            </w:pPr>
            <w:r>
              <w:rPr>
                <w:rFonts w:hint="eastAsia" w:ascii="宋体" w:hAnsi="宋体" w:eastAsia="宋体" w:cs="宋体"/>
                <w:i w:val="0"/>
                <w:iCs w:val="0"/>
                <w:color w:val="000000"/>
                <w:kern w:val="0"/>
                <w:sz w:val="24"/>
                <w:szCs w:val="24"/>
                <w:u w:val="none"/>
                <w:lang w:val="en-US" w:eastAsia="zh-CN" w:bidi="ar"/>
              </w:rPr>
              <w:t>改造提升设计费</w:t>
            </w:r>
          </w:p>
        </w:tc>
        <w:tc>
          <w:tcPr>
            <w:tcW w:w="1440" w:type="dxa"/>
            <w:tcBorders>
              <w:right w:val="single" w:color="auto" w:sz="4" w:space="0"/>
            </w:tcBorders>
            <w:vAlign w:val="center"/>
          </w:tcPr>
          <w:p w14:paraId="2A5AD06D">
            <w:pPr>
              <w:spacing w:line="400" w:lineRule="exact"/>
              <w:jc w:val="center"/>
              <w:rPr>
                <w:rFonts w:hint="default" w:asciiTheme="minorEastAsia" w:hAnsiTheme="minorEastAsia" w:eastAsiaTheme="minorEastAsia" w:cstheme="minorEastAsia"/>
                <w:color w:val="auto"/>
                <w:sz w:val="24"/>
                <w:highlight w:val="none"/>
                <w:lang w:val="en-US" w:eastAsia="zh-CN"/>
              </w:rPr>
            </w:pPr>
            <w:r>
              <w:rPr>
                <w:rFonts w:hint="eastAsia" w:asciiTheme="minorEastAsia" w:hAnsiTheme="minorEastAsia" w:eastAsiaTheme="minorEastAsia" w:cstheme="minorEastAsia"/>
                <w:color w:val="auto"/>
                <w:sz w:val="24"/>
                <w:highlight w:val="none"/>
                <w:lang w:val="en-US" w:eastAsia="zh-CN"/>
              </w:rPr>
              <w:t>亩</w:t>
            </w:r>
          </w:p>
        </w:tc>
        <w:tc>
          <w:tcPr>
            <w:tcW w:w="1992" w:type="dxa"/>
            <w:tcBorders>
              <w:left w:val="single" w:color="auto" w:sz="4" w:space="0"/>
              <w:right w:val="single" w:color="auto" w:sz="4" w:space="0"/>
            </w:tcBorders>
            <w:vAlign w:val="center"/>
          </w:tcPr>
          <w:p w14:paraId="6D3946CB">
            <w:pPr>
              <w:spacing w:line="400" w:lineRule="exact"/>
              <w:jc w:val="center"/>
              <w:rPr>
                <w:rFonts w:asciiTheme="minorEastAsia" w:hAnsiTheme="minorEastAsia" w:eastAsiaTheme="minorEastAsia" w:cstheme="minorEastAsia"/>
                <w:color w:val="auto"/>
                <w:sz w:val="24"/>
                <w:highlight w:val="none"/>
              </w:rPr>
            </w:pPr>
            <w:r>
              <w:rPr>
                <w:rFonts w:hint="eastAsia" w:asciiTheme="minorEastAsia" w:hAnsiTheme="minorEastAsia" w:eastAsiaTheme="minorEastAsia" w:cstheme="minorEastAsia"/>
                <w:color w:val="auto"/>
                <w:sz w:val="24"/>
                <w:highlight w:val="none"/>
                <w:lang w:val="en-US" w:eastAsia="zh-CN"/>
              </w:rPr>
              <w:t>1000</w:t>
            </w:r>
          </w:p>
        </w:tc>
        <w:tc>
          <w:tcPr>
            <w:tcW w:w="1748" w:type="dxa"/>
            <w:vMerge w:val="continue"/>
            <w:tcBorders>
              <w:left w:val="single" w:color="auto" w:sz="4" w:space="0"/>
              <w:right w:val="single" w:color="auto" w:sz="4" w:space="0"/>
            </w:tcBorders>
            <w:vAlign w:val="center"/>
          </w:tcPr>
          <w:p w14:paraId="6F72F4B9">
            <w:pPr>
              <w:spacing w:line="400" w:lineRule="exact"/>
              <w:jc w:val="center"/>
              <w:rPr>
                <w:rFonts w:asciiTheme="minorEastAsia" w:hAnsiTheme="minorEastAsia" w:eastAsiaTheme="minorEastAsia" w:cstheme="minorEastAsia"/>
                <w:color w:val="auto"/>
                <w:sz w:val="24"/>
                <w:highlight w:val="none"/>
              </w:rPr>
            </w:pPr>
          </w:p>
        </w:tc>
      </w:tr>
    </w:tbl>
    <w:p w14:paraId="1FB50F25"/>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9F17422"/>
    <w:rsid w:val="222C528B"/>
    <w:rsid w:val="356525A0"/>
    <w:rsid w:val="69C1482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kinsoku w:val="0"/>
      <w:autoSpaceDE w:val="0"/>
      <w:autoSpaceDN w:val="0"/>
      <w:adjustRightInd w:val="0"/>
      <w:snapToGrid w:val="0"/>
      <w:textAlignment w:val="baseline"/>
    </w:pPr>
    <w:rPr>
      <w:rFonts w:ascii="Arial" w:hAnsi="Arial" w:eastAsia="Arial" w:cs="Arial"/>
      <w:snapToGrid w:val="0"/>
      <w:color w:val="000000"/>
      <w:sz w:val="21"/>
      <w:szCs w:val="21"/>
      <w:lang w:val="en-US" w:eastAsia="en-US" w:bidi="ar-SA"/>
    </w:rPr>
  </w:style>
  <w:style w:type="character" w:default="1" w:styleId="5">
    <w:name w:val="Default Paragraph Font"/>
    <w:semiHidden/>
    <w:uiPriority w:val="0"/>
  </w:style>
  <w:style w:type="table" w:default="1" w:styleId="3">
    <w:name w:val="Normal Table"/>
    <w:semiHidden/>
    <w:qFormat/>
    <w:uiPriority w:val="0"/>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pPr>
    <w:rPr>
      <w:sz w:val="18"/>
    </w:rPr>
  </w:style>
  <w:style w:type="table" w:styleId="4">
    <w:name w:val="Table Grid"/>
    <w:basedOn w:val="3"/>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customStyle="1" w:styleId="6">
    <w:name w:val="Table Normal"/>
    <w:semiHidden/>
    <w:unhideWhenUsed/>
    <w:qFormat/>
    <w:uiPriority w:val="0"/>
    <w:tblPr>
      <w:tblCellMar>
        <w:top w:w="0" w:type="dxa"/>
        <w:left w:w="0" w:type="dxa"/>
        <w:bottom w:w="0" w:type="dxa"/>
        <w:right w:w="0" w:type="dxa"/>
      </w:tblCellMar>
    </w:tblPr>
  </w:style>
  <w:style w:type="paragraph" w:customStyle="1" w:styleId="7">
    <w:name w:val="Table Text"/>
    <w:basedOn w:val="1"/>
    <w:semiHidden/>
    <w:qFormat/>
    <w:uiPriority w:val="0"/>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image" Target="media/image1.png"/><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3</Pages>
  <Words>1411</Words>
  <Characters>1490</Characters>
  <Lines>0</Lines>
  <Paragraphs>0</Paragraphs>
  <TotalTime>0</TotalTime>
  <ScaleCrop>false</ScaleCrop>
  <LinksUpToDate>false</LinksUpToDate>
  <CharactersWithSpaces>1496</CharactersWithSpaces>
  <Application>WPS Office_12.1.0.26375_F1E327BC-269C-435d-A152-05C5408002CA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2026-04-02T11:10:00Z</dcterms:created>
  <dc:creator>admin</dc:creator>
  <cp:lastModifiedBy>admin</cp:lastModifiedBy>
  <dcterms:modified xsi:type="dcterms:W3CDTF">2026-05-15T11:52:17Z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2052-12.1.0.26375</vt:lpwstr>
  </property>
  <property fmtid="{D5CDD505-2E9C-101B-9397-08002B2CF9AE}" pid="3" name="KSOTemplateDocerSaveRecord">
    <vt:lpwstr>eyJoZGlkIjoiYTc4NGQ5MDdiMjMwODY1MmQzYzU1ODZkNmZiYmMwNGMiLCJ1c2VySWQiOiIxMDg5MjQxMTU2In0=</vt:lpwstr>
  </property>
  <property fmtid="{D5CDD505-2E9C-101B-9397-08002B2CF9AE}" pid="4" name="ICV">
    <vt:lpwstr>C323CFD7A3F849A79EBC9F2D4FB8AE38_12</vt:lpwstr>
  </property>
</Properties>
</file>