
<file path=[Content_Types].xml><?xml version="1.0" encoding="utf-8"?>
<Types xmlns="http://schemas.openxmlformats.org/package/2006/content-types">
  <Default Extension="xml" ContentType="application/xml"/>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E7A745">
      <w:pPr>
        <w:pStyle w:val="3"/>
        <w:keepNext/>
        <w:keepLines/>
        <w:pageBreakBefore w:val="0"/>
        <w:widowControl/>
        <w:kinsoku w:val="0"/>
        <w:wordWrap/>
        <w:overflowPunct/>
        <w:topLinePunct w:val="0"/>
        <w:autoSpaceDE w:val="0"/>
        <w:autoSpaceDN w:val="0"/>
        <w:bidi w:val="0"/>
        <w:adjustRightInd w:val="0"/>
        <w:snapToGrid w:val="0"/>
        <w:spacing w:before="0" w:beforeLines="100" w:after="0" w:afterLines="100" w:line="240" w:lineRule="auto"/>
        <w:jc w:val="left"/>
        <w:textAlignment w:val="baseline"/>
        <w:rPr>
          <w:rFonts w:hint="eastAsia" w:ascii="宋体" w:hAnsi="宋体" w:eastAsia="宋体" w:cs="宋体"/>
          <w:sz w:val="28"/>
          <w:szCs w:val="28"/>
        </w:rPr>
      </w:pPr>
      <w:bookmarkStart w:id="0" w:name="_Toc26176"/>
      <w:bookmarkStart w:id="1" w:name="_Toc21427"/>
      <w:r>
        <w:rPr>
          <w:rFonts w:hint="eastAsia" w:ascii="宋体" w:hAnsi="宋体" w:eastAsia="宋体" w:cs="宋体"/>
          <w:sz w:val="28"/>
          <w:szCs w:val="28"/>
        </w:rPr>
        <w:t>一、</w:t>
      </w:r>
      <w:r>
        <w:rPr>
          <w:rFonts w:hint="eastAsia" w:ascii="宋体" w:hAnsi="宋体" w:eastAsia="宋体" w:cs="宋体"/>
          <w:sz w:val="28"/>
          <w:szCs w:val="28"/>
          <w:lang w:val="en-US" w:eastAsia="zh-CN"/>
        </w:rPr>
        <w:t>采购</w:t>
      </w:r>
      <w:r>
        <w:rPr>
          <w:rFonts w:hint="eastAsia" w:ascii="宋体" w:hAnsi="宋体" w:eastAsia="宋体" w:cs="宋体"/>
          <w:sz w:val="28"/>
          <w:szCs w:val="28"/>
        </w:rPr>
        <w:t>需求表</w:t>
      </w:r>
      <w:bookmarkEnd w:id="0"/>
      <w:bookmarkEnd w:id="1"/>
    </w:p>
    <w:p w14:paraId="08CE1386">
      <w:pPr>
        <w:pageBreakBefore w:val="0"/>
        <w:widowControl w:val="0"/>
        <w:wordWrap/>
        <w:overflowPunct/>
        <w:topLinePunct w:val="0"/>
        <w:bidi w:val="0"/>
        <w:spacing w:before="64"/>
        <w:rPr>
          <w:rFonts w:hint="eastAsia" w:asciiTheme="minorEastAsia" w:hAnsiTheme="minorEastAsia" w:eastAsiaTheme="minorEastAsia" w:cstheme="minorEastAsia"/>
          <w:color w:val="auto"/>
          <w:spacing w:val="0"/>
          <w:highlight w:val="none"/>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2C2E15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1FA79D67">
            <w:pPr>
              <w:pageBreakBefore w:val="0"/>
              <w:widowControl w:val="0"/>
              <w:wordWrap/>
              <w:overflowPunct/>
              <w:topLinePunct w:val="0"/>
              <w:bidi w:val="0"/>
              <w:spacing w:before="183" w:line="223" w:lineRule="auto"/>
              <w:ind w:left="1091"/>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hint="eastAsia" w:asciiTheme="minorEastAsia" w:hAnsiTheme="minorEastAsia" w:eastAsiaTheme="minorEastAsia" w:cstheme="minorEastAsia"/>
                <w:color w:val="auto"/>
                <w:spacing w:val="0"/>
                <w:sz w:val="24"/>
                <w:szCs w:val="24"/>
                <w:highlight w:val="none"/>
              </w:rPr>
              <w:t>名</w:t>
            </w:r>
          </w:p>
          <w:p w14:paraId="301BDC12">
            <w:pPr>
              <w:pStyle w:val="8"/>
              <w:pageBreakBefore w:val="0"/>
              <w:widowControl w:val="0"/>
              <w:wordWrap/>
              <w:overflowPunct/>
              <w:topLinePunct w:val="0"/>
              <w:bidi w:val="0"/>
              <w:spacing w:line="245" w:lineRule="auto"/>
              <w:rPr>
                <w:rFonts w:hint="eastAsia" w:asciiTheme="minorEastAsia" w:hAnsiTheme="minorEastAsia" w:eastAsiaTheme="minorEastAsia" w:cstheme="minorEastAsia"/>
                <w:color w:val="auto"/>
                <w:spacing w:val="0"/>
                <w:highlight w:val="none"/>
              </w:rPr>
            </w:pPr>
          </w:p>
          <w:p w14:paraId="08055A17">
            <w:pPr>
              <w:pStyle w:val="8"/>
              <w:pageBreakBefore w:val="0"/>
              <w:widowControl w:val="0"/>
              <w:wordWrap/>
              <w:overflowPunct/>
              <w:topLinePunct w:val="0"/>
              <w:bidi w:val="0"/>
              <w:spacing w:line="246" w:lineRule="auto"/>
              <w:rPr>
                <w:rFonts w:hint="eastAsia" w:asciiTheme="minorEastAsia" w:hAnsiTheme="minorEastAsia" w:eastAsiaTheme="minorEastAsia" w:cstheme="minorEastAsia"/>
                <w:color w:val="auto"/>
                <w:spacing w:val="0"/>
                <w:highlight w:val="none"/>
              </w:rPr>
            </w:pPr>
          </w:p>
          <w:p w14:paraId="39261BA8">
            <w:pPr>
              <w:pageBreakBefore w:val="0"/>
              <w:widowControl w:val="0"/>
              <w:wordWrap/>
              <w:overflowPunct/>
              <w:topLinePunct w:val="0"/>
              <w:bidi w:val="0"/>
              <w:spacing w:before="78" w:line="219" w:lineRule="auto"/>
              <w:ind w:left="481"/>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内</w:t>
            </w:r>
          </w:p>
          <w:p w14:paraId="1AF80DE2">
            <w:pPr>
              <w:pStyle w:val="8"/>
              <w:pageBreakBefore w:val="0"/>
              <w:widowControl w:val="0"/>
              <w:wordWrap/>
              <w:overflowPunct/>
              <w:topLinePunct w:val="0"/>
              <w:bidi w:val="0"/>
              <w:spacing w:line="338" w:lineRule="auto"/>
              <w:rPr>
                <w:rFonts w:hint="eastAsia" w:asciiTheme="minorEastAsia" w:hAnsiTheme="minorEastAsia" w:eastAsiaTheme="minorEastAsia" w:cstheme="minorEastAsia"/>
                <w:color w:val="auto"/>
                <w:spacing w:val="0"/>
                <w:highlight w:val="none"/>
              </w:rPr>
            </w:pPr>
          </w:p>
          <w:p w14:paraId="68E527A7">
            <w:pPr>
              <w:pageBreakBefore w:val="0"/>
              <w:widowControl w:val="0"/>
              <w:wordWrap/>
              <w:overflowPunct/>
              <w:topLinePunct w:val="0"/>
              <w:bidi w:val="0"/>
              <w:spacing w:before="78" w:line="220" w:lineRule="auto"/>
              <w:ind w:left="1311"/>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容</w:t>
            </w:r>
          </w:p>
        </w:tc>
        <w:tc>
          <w:tcPr>
            <w:tcW w:w="817" w:type="dxa"/>
            <w:tcBorders>
              <w:left w:val="nil"/>
            </w:tcBorders>
          </w:tcPr>
          <w:p w14:paraId="3997EFCF">
            <w:pPr>
              <w:pStyle w:val="8"/>
              <w:pageBreakBefore w:val="0"/>
              <w:widowControl w:val="0"/>
              <w:wordWrap/>
              <w:overflowPunct/>
              <w:topLinePunct w:val="0"/>
              <w:bidi w:val="0"/>
              <w:spacing w:line="263" w:lineRule="auto"/>
              <w:rPr>
                <w:rFonts w:hint="eastAsia" w:asciiTheme="minorEastAsia" w:hAnsiTheme="minorEastAsia" w:eastAsiaTheme="minorEastAsia" w:cstheme="minorEastAsia"/>
                <w:color w:val="auto"/>
                <w:spacing w:val="0"/>
                <w:highlight w:val="none"/>
              </w:rPr>
            </w:pPr>
          </w:p>
          <w:p w14:paraId="7D6FA4DA">
            <w:pPr>
              <w:pStyle w:val="8"/>
              <w:pageBreakBefore w:val="0"/>
              <w:widowControl w:val="0"/>
              <w:wordWrap/>
              <w:overflowPunct/>
              <w:topLinePunct w:val="0"/>
              <w:bidi w:val="0"/>
              <w:spacing w:line="263" w:lineRule="auto"/>
              <w:rPr>
                <w:rFonts w:hint="eastAsia" w:asciiTheme="minorEastAsia" w:hAnsiTheme="minorEastAsia" w:eastAsiaTheme="minorEastAsia" w:cstheme="minorEastAsia"/>
                <w:color w:val="auto"/>
                <w:spacing w:val="0"/>
                <w:highlight w:val="none"/>
              </w:rPr>
            </w:pPr>
          </w:p>
          <w:p w14:paraId="7700E837">
            <w:pPr>
              <w:pStyle w:val="8"/>
              <w:pageBreakBefore w:val="0"/>
              <w:widowControl w:val="0"/>
              <w:wordWrap/>
              <w:overflowPunct/>
              <w:topLinePunct w:val="0"/>
              <w:bidi w:val="0"/>
              <w:spacing w:line="264" w:lineRule="auto"/>
              <w:rPr>
                <w:rFonts w:hint="eastAsia" w:asciiTheme="minorEastAsia" w:hAnsiTheme="minorEastAsia" w:eastAsiaTheme="minorEastAsia" w:cstheme="minorEastAsia"/>
                <w:color w:val="auto"/>
                <w:spacing w:val="0"/>
                <w:highlight w:val="none"/>
              </w:rPr>
            </w:pPr>
          </w:p>
          <w:p w14:paraId="363F3476">
            <w:pPr>
              <w:pageBreakBefore w:val="0"/>
              <w:widowControl w:val="0"/>
              <w:wordWrap/>
              <w:overflowPunct/>
              <w:topLinePunct w:val="0"/>
              <w:bidi w:val="0"/>
              <w:spacing w:before="78" w:line="221" w:lineRule="auto"/>
              <w:ind w:left="192"/>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称</w:t>
            </w:r>
          </w:p>
        </w:tc>
        <w:tc>
          <w:tcPr>
            <w:tcW w:w="6150" w:type="dxa"/>
            <w:vAlign w:val="center"/>
          </w:tcPr>
          <w:p w14:paraId="6734EE76">
            <w:pPr>
              <w:pStyle w:val="8"/>
              <w:pageBreakBefore w:val="0"/>
              <w:widowControl w:val="0"/>
              <w:wordWrap/>
              <w:overflowPunct/>
              <w:topLinePunct w:val="0"/>
              <w:bidi w:val="0"/>
              <w:jc w:val="center"/>
              <w:rPr>
                <w:rFonts w:hint="eastAsia" w:asciiTheme="minorEastAsia" w:hAnsiTheme="minorEastAsia" w:eastAsiaTheme="minorEastAsia" w:cstheme="minorEastAsia"/>
                <w:color w:val="auto"/>
                <w:spacing w:val="0"/>
                <w:highlight w:val="none"/>
                <w:lang w:eastAsia="zh-CN"/>
              </w:rPr>
            </w:pPr>
            <w:r>
              <w:rPr>
                <w:rFonts w:hint="eastAsia" w:asciiTheme="minorEastAsia" w:hAnsiTheme="minorEastAsia" w:eastAsiaTheme="minorEastAsia" w:cstheme="minorEastAsia"/>
                <w:color w:val="auto"/>
                <w:spacing w:val="0"/>
                <w:highlight w:val="none"/>
                <w:lang w:eastAsia="zh-CN"/>
              </w:rPr>
              <w:t>芦溪县民政局殡仪服务劳务外包项目</w:t>
            </w:r>
          </w:p>
        </w:tc>
      </w:tr>
      <w:tr w14:paraId="36EE42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5234EBF9">
            <w:pPr>
              <w:pageBreakBefore w:val="0"/>
              <w:widowControl w:val="0"/>
              <w:wordWrap/>
              <w:overflowPunct/>
              <w:topLinePunct w:val="0"/>
              <w:bidi w:val="0"/>
              <w:spacing w:before="253" w:line="219" w:lineRule="auto"/>
              <w:ind w:left="1188"/>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数量</w:t>
            </w:r>
          </w:p>
        </w:tc>
        <w:tc>
          <w:tcPr>
            <w:tcW w:w="6150" w:type="dxa"/>
            <w:vAlign w:val="center"/>
          </w:tcPr>
          <w:p w14:paraId="32C7EE41">
            <w:pPr>
              <w:pStyle w:val="8"/>
              <w:pageBreakBefore w:val="0"/>
              <w:widowControl w:val="0"/>
              <w:wordWrap/>
              <w:overflowPunct/>
              <w:topLinePunct w:val="0"/>
              <w:bidi w:val="0"/>
              <w:jc w:val="center"/>
              <w:rPr>
                <w:rFonts w:hint="default" w:asciiTheme="minorEastAsia" w:hAnsiTheme="minorEastAsia" w:eastAsiaTheme="minorEastAsia" w:cstheme="minorEastAsia"/>
                <w:color w:val="auto"/>
                <w:spacing w:val="0"/>
                <w:highlight w:val="none"/>
                <w:lang w:val="en-US" w:eastAsia="zh-CN"/>
              </w:rPr>
            </w:pPr>
            <w:r>
              <w:rPr>
                <w:rFonts w:hint="eastAsia" w:asciiTheme="minorEastAsia" w:hAnsiTheme="minorEastAsia" w:eastAsiaTheme="minorEastAsia" w:cstheme="minorEastAsia"/>
                <w:color w:val="auto"/>
                <w:spacing w:val="0"/>
                <w:highlight w:val="none"/>
                <w:lang w:val="en-US" w:eastAsia="zh-CN"/>
              </w:rPr>
              <w:t>1项</w:t>
            </w:r>
          </w:p>
        </w:tc>
      </w:tr>
      <w:tr w14:paraId="78A498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8F2AE20">
            <w:pPr>
              <w:pageBreakBefore w:val="0"/>
              <w:widowControl w:val="0"/>
              <w:wordWrap/>
              <w:overflowPunct/>
              <w:topLinePunct w:val="0"/>
              <w:bidi w:val="0"/>
              <w:spacing w:before="253" w:line="219" w:lineRule="auto"/>
              <w:ind w:left="1071"/>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服务</w:t>
            </w:r>
            <w:r>
              <w:rPr>
                <w:rFonts w:hint="eastAsia" w:asciiTheme="minorEastAsia" w:hAnsiTheme="minorEastAsia" w:eastAsiaTheme="minorEastAsia" w:cstheme="minorEastAsia"/>
                <w:color w:val="auto"/>
                <w:spacing w:val="0"/>
                <w:sz w:val="24"/>
                <w:szCs w:val="24"/>
                <w:highlight w:val="none"/>
              </w:rPr>
              <w:t>期</w:t>
            </w:r>
          </w:p>
        </w:tc>
        <w:tc>
          <w:tcPr>
            <w:tcW w:w="6150" w:type="dxa"/>
            <w:vAlign w:val="center"/>
          </w:tcPr>
          <w:p w14:paraId="706E3305">
            <w:pPr>
              <w:pStyle w:val="8"/>
              <w:pageBreakBefore w:val="0"/>
              <w:widowControl w:val="0"/>
              <w:wordWrap/>
              <w:overflowPunct/>
              <w:topLinePunct w:val="0"/>
              <w:bidi w:val="0"/>
              <w:jc w:val="center"/>
              <w:rPr>
                <w:rFonts w:hint="eastAsia" w:asciiTheme="minorEastAsia" w:hAnsiTheme="minorEastAsia" w:eastAsiaTheme="minorEastAsia" w:cstheme="minorEastAsia"/>
                <w:color w:val="auto"/>
                <w:spacing w:val="0"/>
                <w:highlight w:val="none"/>
                <w:lang w:eastAsia="zh-CN"/>
              </w:rPr>
            </w:pPr>
            <w:r>
              <w:rPr>
                <w:rFonts w:hint="eastAsia" w:asciiTheme="minorEastAsia" w:hAnsiTheme="minorEastAsia" w:eastAsiaTheme="minorEastAsia" w:cstheme="minorEastAsia"/>
                <w:color w:val="auto"/>
                <w:spacing w:val="0"/>
                <w:highlight w:val="none"/>
                <w:lang w:eastAsia="zh-CN"/>
              </w:rPr>
              <w:t>本项目采取一次招标三年沿用、一年一考核一签合同的实施办法，服务期自合同签订之日起计算，年度考核合格后方可续签下一年度合同，连续三年考核均合格的，按约定履行完三年服务期。</w:t>
            </w:r>
          </w:p>
        </w:tc>
      </w:tr>
      <w:tr w14:paraId="737E40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35E57F">
            <w:pPr>
              <w:pageBreakBefore w:val="0"/>
              <w:widowControl w:val="0"/>
              <w:wordWrap/>
              <w:overflowPunct/>
              <w:topLinePunct w:val="0"/>
              <w:bidi w:val="0"/>
              <w:spacing w:before="256" w:line="219" w:lineRule="auto"/>
              <w:ind w:left="951"/>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服务</w:t>
            </w:r>
            <w:r>
              <w:rPr>
                <w:rFonts w:hint="eastAsia" w:asciiTheme="minorEastAsia" w:hAnsiTheme="minorEastAsia" w:eastAsiaTheme="minorEastAsia" w:cstheme="minorEastAsia"/>
                <w:color w:val="auto"/>
                <w:spacing w:val="0"/>
                <w:sz w:val="24"/>
                <w:szCs w:val="24"/>
                <w:highlight w:val="none"/>
              </w:rPr>
              <w:t>地点</w:t>
            </w:r>
          </w:p>
        </w:tc>
        <w:tc>
          <w:tcPr>
            <w:tcW w:w="6150" w:type="dxa"/>
            <w:vAlign w:val="center"/>
          </w:tcPr>
          <w:p w14:paraId="3180A6D6">
            <w:pPr>
              <w:pStyle w:val="8"/>
              <w:pageBreakBefore w:val="0"/>
              <w:widowControl w:val="0"/>
              <w:wordWrap/>
              <w:overflowPunct/>
              <w:topLinePunct w:val="0"/>
              <w:bidi w:val="0"/>
              <w:jc w:val="center"/>
              <w:rPr>
                <w:rFonts w:hint="eastAsia" w:asciiTheme="minorEastAsia" w:hAnsiTheme="minorEastAsia" w:eastAsiaTheme="minorEastAsia" w:cstheme="minorEastAsia"/>
                <w:color w:val="auto"/>
                <w:spacing w:val="0"/>
                <w:highlight w:val="none"/>
              </w:rPr>
            </w:pPr>
            <w:r>
              <w:rPr>
                <w:rFonts w:hint="eastAsia" w:ascii="宋体" w:hAnsi="宋体" w:eastAsia="宋体" w:cs="宋体"/>
                <w:color w:val="auto"/>
                <w:sz w:val="24"/>
                <w:szCs w:val="24"/>
                <w:lang w:eastAsia="zh-CN"/>
              </w:rPr>
              <w:t>采购单位指定地点。</w:t>
            </w:r>
          </w:p>
        </w:tc>
      </w:tr>
      <w:tr w14:paraId="3C8090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53D7FC07">
            <w:pPr>
              <w:pageBreakBefore w:val="0"/>
              <w:widowControl w:val="0"/>
              <w:wordWrap/>
              <w:overflowPunct/>
              <w:topLinePunct w:val="0"/>
              <w:bidi w:val="0"/>
              <w:spacing w:before="256" w:line="221" w:lineRule="auto"/>
              <w:ind w:left="1189"/>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备注</w:t>
            </w:r>
          </w:p>
        </w:tc>
        <w:tc>
          <w:tcPr>
            <w:tcW w:w="6150" w:type="dxa"/>
            <w:vAlign w:val="center"/>
          </w:tcPr>
          <w:p w14:paraId="5D3D5AF5">
            <w:pPr>
              <w:pStyle w:val="8"/>
              <w:pageBreakBefore w:val="0"/>
              <w:widowControl w:val="0"/>
              <w:wordWrap/>
              <w:overflowPunct/>
              <w:topLinePunct w:val="0"/>
              <w:bidi w:val="0"/>
              <w:jc w:val="center"/>
              <w:rPr>
                <w:rFonts w:hint="eastAsia" w:asciiTheme="minorEastAsia" w:hAnsiTheme="minorEastAsia" w:eastAsiaTheme="minorEastAsia" w:cstheme="minorEastAsia"/>
                <w:color w:val="auto"/>
                <w:spacing w:val="0"/>
                <w:highlight w:val="none"/>
                <w:lang w:val="en-US" w:eastAsia="zh-CN"/>
              </w:rPr>
            </w:pPr>
            <w:r>
              <w:rPr>
                <w:rFonts w:hint="eastAsia" w:asciiTheme="minorEastAsia" w:hAnsiTheme="minorEastAsia" w:eastAsiaTheme="minorEastAsia" w:cstheme="minorEastAsia"/>
                <w:color w:val="auto"/>
                <w:spacing w:val="0"/>
                <w:highlight w:val="none"/>
                <w:lang w:val="en-US" w:eastAsia="zh-CN"/>
              </w:rPr>
              <w:t>/</w:t>
            </w:r>
          </w:p>
        </w:tc>
      </w:tr>
    </w:tbl>
    <w:p w14:paraId="5FB4A68B">
      <w:pPr>
        <w:pageBreakBefore w:val="0"/>
        <w:widowControl w:val="0"/>
        <w:wordWrap/>
        <w:overflowPunct/>
        <w:topLinePunct w:val="0"/>
        <w:bidi w:val="0"/>
        <w:rPr>
          <w:rFonts w:hint="eastAsia" w:asciiTheme="minorEastAsia" w:hAnsiTheme="minorEastAsia" w:eastAsiaTheme="minorEastAsia" w:cstheme="minorEastAsia"/>
          <w:color w:val="auto"/>
          <w:spacing w:val="0"/>
          <w:highlight w:val="none"/>
        </w:rPr>
      </w:pPr>
    </w:p>
    <w:p w14:paraId="7E52FD20">
      <w:pPr>
        <w:pageBreakBefore w:val="0"/>
        <w:widowControl w:val="0"/>
        <w:wordWrap/>
        <w:overflowPunct/>
        <w:topLinePunct w:val="0"/>
        <w:bidi w:val="0"/>
        <w:rPr>
          <w:rFonts w:hint="eastAsia" w:asciiTheme="minorEastAsia" w:hAnsiTheme="minorEastAsia" w:eastAsiaTheme="minorEastAsia" w:cstheme="minorEastAsia"/>
          <w:color w:val="auto"/>
          <w:spacing w:val="0"/>
          <w:highlight w:val="none"/>
        </w:rPr>
        <w:sectPr>
          <w:footerReference r:id="rId3" w:type="default"/>
          <w:pgSz w:w="11906" w:h="16839"/>
          <w:pgMar w:top="1232" w:right="1786" w:bottom="1156" w:left="1786" w:header="850" w:footer="850" w:gutter="0"/>
          <w:pgNumType w:fmt="decimal"/>
          <w:cols w:space="720" w:num="1"/>
          <w:rtlGutter w:val="0"/>
          <w:docGrid w:linePitch="0" w:charSpace="0"/>
        </w:sectPr>
      </w:pPr>
    </w:p>
    <w:p w14:paraId="63537196">
      <w:pPr>
        <w:keepNext/>
        <w:keepLines/>
        <w:pageBreakBefore w:val="0"/>
        <w:widowControl/>
        <w:kinsoku w:val="0"/>
        <w:wordWrap/>
        <w:overflowPunct/>
        <w:topLinePunct w:val="0"/>
        <w:autoSpaceDE w:val="0"/>
        <w:autoSpaceDN w:val="0"/>
        <w:bidi w:val="0"/>
        <w:adjustRightInd w:val="0"/>
        <w:snapToGrid w:val="0"/>
        <w:spacing w:before="0" w:beforeLines="100" w:after="0" w:afterLines="100" w:line="240" w:lineRule="auto"/>
        <w:jc w:val="center"/>
        <w:textAlignment w:val="baseline"/>
        <w:outlineLvl w:val="1"/>
        <w:rPr>
          <w:rFonts w:hint="eastAsia" w:ascii="宋体" w:hAnsi="宋体" w:eastAsia="宋体" w:cs="宋体"/>
          <w:b/>
          <w:bCs/>
          <w:snapToGrid w:val="0"/>
          <w:color w:val="auto"/>
          <w:spacing w:val="0"/>
          <w:sz w:val="24"/>
          <w:szCs w:val="24"/>
          <w:highlight w:val="none"/>
          <w:lang w:val="en-US" w:eastAsia="en-US" w:bidi="ar-SA"/>
        </w:rPr>
      </w:pPr>
      <w:bookmarkStart w:id="2" w:name="bookmark81"/>
      <w:bookmarkEnd w:id="2"/>
      <w:bookmarkStart w:id="3" w:name="_Toc17088"/>
      <w:bookmarkStart w:id="4" w:name="_Toc12248"/>
      <w:r>
        <w:rPr>
          <w:rFonts w:hint="eastAsia" w:ascii="宋体" w:hAnsi="宋体" w:eastAsia="宋体" w:cs="宋体"/>
          <w:b/>
          <w:bCs/>
          <w:snapToGrid w:val="0"/>
          <w:color w:val="000000"/>
          <w:sz w:val="28"/>
          <w:szCs w:val="28"/>
          <w:lang w:val="en-US" w:eastAsia="en-US" w:bidi="ar-SA"/>
        </w:rPr>
        <w:t>二、采购</w:t>
      </w:r>
      <w:r>
        <w:rPr>
          <w:rFonts w:hint="eastAsia" w:ascii="宋体" w:hAnsi="宋体" w:eastAsia="宋体" w:cs="宋体"/>
          <w:b/>
          <w:bCs/>
          <w:snapToGrid w:val="0"/>
          <w:color w:val="000000"/>
          <w:sz w:val="28"/>
          <w:szCs w:val="28"/>
          <w:lang w:val="en-US" w:eastAsia="zh-CN" w:bidi="ar-SA"/>
        </w:rPr>
        <w:t>要</w:t>
      </w:r>
      <w:r>
        <w:rPr>
          <w:rFonts w:hint="eastAsia" w:ascii="宋体" w:hAnsi="宋体" w:eastAsia="宋体" w:cs="宋体"/>
          <w:b/>
          <w:bCs/>
          <w:snapToGrid w:val="0"/>
          <w:color w:val="000000"/>
          <w:sz w:val="28"/>
          <w:szCs w:val="28"/>
          <w:lang w:val="en-US" w:eastAsia="en-US" w:bidi="ar-SA"/>
        </w:rPr>
        <w:t>求</w:t>
      </w:r>
      <w:bookmarkEnd w:id="3"/>
      <w:bookmarkEnd w:id="4"/>
    </w:p>
    <w:p w14:paraId="0C787D41">
      <w:pPr>
        <w:keepNext w:val="0"/>
        <w:keepLines w:val="0"/>
        <w:pageBreakBefore w:val="0"/>
        <w:widowControl w:val="0"/>
        <w:kinsoku w:val="0"/>
        <w:wordWrap/>
        <w:overflowPunct/>
        <w:topLinePunct w:val="0"/>
        <w:autoSpaceDE w:val="0"/>
        <w:autoSpaceDN w:val="0"/>
        <w:bidi w:val="0"/>
        <w:adjustRightInd w:val="0"/>
        <w:snapToGrid w:val="0"/>
        <w:spacing w:before="78" w:line="360" w:lineRule="auto"/>
        <w:textAlignment w:val="baseline"/>
        <w:rPr>
          <w:rFonts w:hint="eastAsia" w:ascii="宋体" w:hAnsi="宋体" w:eastAsia="宋体" w:cs="宋体"/>
          <w:b/>
          <w:bCs/>
          <w:color w:val="auto"/>
          <w:spacing w:val="0"/>
          <w:sz w:val="28"/>
          <w:szCs w:val="28"/>
          <w:highlight w:val="none"/>
        </w:rPr>
      </w:pPr>
      <w:r>
        <w:rPr>
          <w:rFonts w:hint="eastAsia" w:ascii="宋体" w:hAnsi="宋体" w:eastAsia="宋体" w:cs="宋体"/>
          <w:b/>
          <w:bCs/>
          <w:color w:val="auto"/>
          <w:spacing w:val="0"/>
          <w:sz w:val="28"/>
          <w:szCs w:val="28"/>
          <w:highlight w:val="none"/>
        </w:rPr>
        <w:t>（一）</w:t>
      </w:r>
      <w:r>
        <w:rPr>
          <w:rFonts w:hint="eastAsia" w:ascii="宋体" w:hAnsi="宋体" w:eastAsia="宋体" w:cs="宋体"/>
          <w:b/>
          <w:bCs/>
          <w:color w:val="auto"/>
          <w:spacing w:val="0"/>
          <w:sz w:val="28"/>
          <w:szCs w:val="28"/>
          <w:highlight w:val="none"/>
          <w:lang w:val="en-US" w:eastAsia="zh-CN"/>
        </w:rPr>
        <w:t>服务</w:t>
      </w:r>
      <w:r>
        <w:rPr>
          <w:rFonts w:hint="eastAsia" w:ascii="宋体" w:hAnsi="宋体" w:eastAsia="宋体" w:cs="宋体"/>
          <w:b/>
          <w:bCs/>
          <w:color w:val="auto"/>
          <w:spacing w:val="0"/>
          <w:sz w:val="28"/>
          <w:szCs w:val="28"/>
          <w:highlight w:val="none"/>
        </w:rPr>
        <w:t>需求</w:t>
      </w:r>
    </w:p>
    <w:p w14:paraId="4CFCF052">
      <w:pPr>
        <w:pageBreakBefore w:val="0"/>
        <w:widowControl w:val="0"/>
        <w:kinsoku/>
        <w:wordWrap/>
        <w:overflowPunct/>
        <w:topLinePunct w:val="0"/>
        <w:autoSpaceDE/>
        <w:autoSpaceDN/>
        <w:bidi w:val="0"/>
        <w:snapToGrid/>
        <w:spacing w:line="360" w:lineRule="auto"/>
        <w:textAlignment w:val="auto"/>
        <w:rPr>
          <w:rFonts w:hint="eastAsia" w:ascii="宋体" w:hAnsi="宋体" w:eastAsia="宋体" w:cs="宋体"/>
          <w:b/>
          <w:bCs/>
          <w:color w:val="auto"/>
          <w:sz w:val="24"/>
          <w:lang w:eastAsia="zh-CN"/>
        </w:rPr>
      </w:pPr>
      <w:r>
        <w:rPr>
          <w:rFonts w:hint="eastAsia" w:ascii="宋体" w:hAnsi="宋体" w:eastAsia="宋体" w:cs="宋体"/>
          <w:b/>
          <w:bCs/>
          <w:color w:val="auto"/>
          <w:sz w:val="24"/>
          <w:lang w:val="en-US" w:eastAsia="zh-CN"/>
        </w:rPr>
        <w:t>1、</w:t>
      </w:r>
      <w:r>
        <w:rPr>
          <w:rFonts w:hint="eastAsia" w:ascii="宋体" w:hAnsi="宋体" w:eastAsia="宋体" w:cs="宋体"/>
          <w:b/>
          <w:bCs/>
          <w:color w:val="auto"/>
          <w:sz w:val="24"/>
          <w:lang w:eastAsia="zh-CN"/>
        </w:rPr>
        <w:t>项目概况</w:t>
      </w:r>
    </w:p>
    <w:p w14:paraId="026B4ED2">
      <w:pPr>
        <w:pageBreakBefore w:val="0"/>
        <w:widowControl w:val="0"/>
        <w:numPr>
          <w:ilvl w:val="0"/>
          <w:numId w:val="0"/>
        </w:numPr>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本项目为芦溪县民政局殡</w:t>
      </w:r>
      <w:r>
        <w:rPr>
          <w:rFonts w:hint="eastAsia" w:ascii="宋体" w:hAnsi="宋体" w:eastAsia="宋体" w:cs="宋体"/>
          <w:color w:val="auto"/>
          <w:sz w:val="24"/>
          <w:lang w:eastAsia="zh-CN"/>
        </w:rPr>
        <w:t>仪</w:t>
      </w:r>
      <w:r>
        <w:rPr>
          <w:rFonts w:hint="eastAsia" w:ascii="宋体" w:hAnsi="宋体" w:eastAsia="宋体" w:cs="宋体"/>
          <w:color w:val="auto"/>
          <w:sz w:val="24"/>
        </w:rPr>
        <w:t>服务劳务外包项目，由采购人统一提供殡仪服务车辆、冰棺、燃油等全部设施设备及耗材，通过招标方式确定 1 家具备相应资质的劳务外包服务公司，派驻</w:t>
      </w:r>
      <w:r>
        <w:rPr>
          <w:rFonts w:hint="eastAsia" w:ascii="宋体" w:hAnsi="宋体" w:eastAsia="宋体" w:cs="宋体"/>
          <w:b/>
          <w:bCs/>
          <w:color w:val="auto"/>
          <w:sz w:val="24"/>
        </w:rPr>
        <w:t>6 名专职殡仪司机</w:t>
      </w:r>
      <w:r>
        <w:rPr>
          <w:rFonts w:hint="eastAsia" w:ascii="宋体" w:hAnsi="宋体" w:eastAsia="宋体" w:cs="宋体"/>
          <w:color w:val="auto"/>
          <w:sz w:val="24"/>
        </w:rPr>
        <w:t>提供专属驾驶及配套劳务服务。</w:t>
      </w:r>
      <w:r>
        <w:rPr>
          <w:rFonts w:hint="eastAsia" w:ascii="宋体" w:hAnsi="宋体" w:eastAsia="宋体" w:cs="宋体"/>
          <w:b/>
          <w:bCs/>
          <w:color w:val="auto"/>
          <w:sz w:val="24"/>
        </w:rPr>
        <w:t>所有司机由采购人直接管理、调度、考勤与考核</w:t>
      </w:r>
      <w:r>
        <w:rPr>
          <w:rFonts w:hint="eastAsia" w:ascii="宋体" w:hAnsi="宋体" w:eastAsia="宋体" w:cs="宋体"/>
          <w:color w:val="auto"/>
          <w:sz w:val="24"/>
        </w:rPr>
        <w:t>，中标服务商配合做好人员保障工作，保障芦溪县遗体接运、运送骨灰以及冰棺租赁等业务（骨灰坛和骨灰盒除外），确保服务高效、规范开展，切实维护逝者及家属权益。</w:t>
      </w:r>
    </w:p>
    <w:p w14:paraId="25921A20">
      <w:pPr>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color w:val="auto"/>
          <w:sz w:val="24"/>
          <w:lang w:val="en-US" w:eastAsia="zh-CN"/>
        </w:rPr>
      </w:pPr>
      <w:r>
        <w:rPr>
          <w:rFonts w:hint="eastAsia" w:ascii="宋体" w:hAnsi="宋体" w:eastAsia="宋体" w:cs="宋体"/>
          <w:b/>
          <w:bCs/>
          <w:color w:val="auto"/>
          <w:sz w:val="24"/>
          <w:lang w:val="en-US" w:eastAsia="zh-CN"/>
        </w:rPr>
        <w:t>2、</w:t>
      </w:r>
      <w:r>
        <w:rPr>
          <w:rFonts w:hint="eastAsia" w:ascii="宋体" w:hAnsi="宋体" w:eastAsia="宋体" w:cs="宋体"/>
          <w:b/>
          <w:bCs/>
          <w:color w:val="auto"/>
          <w:sz w:val="24"/>
        </w:rPr>
        <w:t>服务内容及要求</w:t>
      </w:r>
    </w:p>
    <w:p w14:paraId="626FF91C">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1）.本项目采取一次招标三年沿用、一年一考核一签合同的实施办法，服务期自合同签订之日起计算，年度考核合格后方可续签下一年度合同，连续三年考核均合格的，按约定履行完三年服务期。</w:t>
      </w:r>
    </w:p>
    <w:p w14:paraId="2513EBE3">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2）.中标服务商具有独立承接劳务外包服务的合法资质，无不良从业记录，未被列入失信被执行人、重大税收违法失信主体等失信名单。</w:t>
      </w:r>
    </w:p>
    <w:p w14:paraId="4686AF32">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3）.中标服务商派驻专职殡仪司机，配合采购人完成芦溪县辖区内殡葬服务相关驾驶及基础配套工作，具体内容如下：1）辖区内遗体接运的车辆驾驶工作，严格按照殡葬服务规范及采购人指令，安全、及时将遗体从死亡地点运送至指定殡仪馆</w:t>
      </w:r>
      <w:r>
        <w:rPr>
          <w:rFonts w:hint="eastAsia" w:ascii="宋体" w:hAnsi="宋体" w:eastAsia="宋体" w:cs="宋体"/>
          <w:color w:val="auto"/>
          <w:sz w:val="24"/>
          <w:highlight w:val="none"/>
          <w:lang w:val="en-US" w:eastAsia="zh-CN"/>
        </w:rPr>
        <w:t>，提醒丧属携带遗体火化相关手续并协助丧属办理遗体火化手续</w:t>
      </w:r>
      <w:r>
        <w:rPr>
          <w:rFonts w:hint="eastAsia" w:ascii="宋体" w:hAnsi="宋体" w:eastAsia="宋体" w:cs="宋体"/>
          <w:color w:val="auto"/>
          <w:sz w:val="24"/>
          <w:lang w:val="en-US" w:eastAsia="zh-CN"/>
        </w:rPr>
        <w:t>；2）逝者骨灰护送的车辆驾驶工作，协助家属运送至指定丧葬点；3）按照采购人要求，完成殡葬服务车辆的日常基础清洁、车况基础检查（油量、胎压、车辆部件等），发现车辆故障 / 异常第一时间向采购人相关负责人报备；4）配合采购人完成殡葬服务车辆的调度、停放等管理工作，严格遵守车辆使用规范；5）采购人安排的其他合法、合规的殡葬相关驾驶配套工作。</w:t>
      </w:r>
    </w:p>
    <w:p w14:paraId="4B23A5C9">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4）.人员配置要求</w:t>
      </w:r>
    </w:p>
    <w:p w14:paraId="22706003">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lang w:val="en-US" w:eastAsia="zh-CN"/>
        </w:rPr>
        <w:t>①人员数量：中标服务商须派驻</w:t>
      </w:r>
      <w:r>
        <w:rPr>
          <w:rFonts w:hint="eastAsia" w:ascii="宋体" w:hAnsi="宋体" w:eastAsia="宋体" w:cs="宋体"/>
          <w:b/>
          <w:bCs/>
          <w:color w:val="auto"/>
          <w:sz w:val="24"/>
          <w:lang w:val="en-US" w:eastAsia="zh-CN"/>
        </w:rPr>
        <w:t>6 名专职殡仪司机</w:t>
      </w:r>
      <w:r>
        <w:rPr>
          <w:rFonts w:hint="eastAsia" w:ascii="宋体" w:hAnsi="宋体" w:eastAsia="宋体" w:cs="宋体"/>
          <w:color w:val="auto"/>
          <w:sz w:val="24"/>
          <w:highlight w:val="none"/>
          <w:lang w:val="en-US" w:eastAsia="zh-CN"/>
        </w:rPr>
        <w:t>，均为中标服务商正式在册员工，全程驻场服务，满足采购人 24 小时不间断殡仪服务用车需求，不得擅自减少人员数量。</w:t>
      </w:r>
    </w:p>
    <w:p w14:paraId="15718AA8">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b/>
          <w:bCs/>
          <w:color w:val="auto"/>
          <w:sz w:val="24"/>
          <w:lang w:val="en-US" w:eastAsia="zh-CN"/>
        </w:rPr>
      </w:pPr>
      <w:r>
        <w:rPr>
          <w:rFonts w:hint="eastAsia" w:ascii="宋体" w:hAnsi="宋体" w:eastAsia="宋体" w:cs="宋体"/>
          <w:color w:val="auto"/>
          <w:sz w:val="24"/>
          <w:lang w:val="en-US" w:eastAsia="zh-CN"/>
        </w:rPr>
        <w:t>②)资质要求：司机须持有C1 及以上有效驾驶证，具备 3 年及以上实际道路驾驶经验，无重大交通事故记录、无酒驾 / 醉驾 / 超速等严重交通违法记录，驾驶证年检合格，熟悉芦溪县辖区及周边道路交通路线。</w:t>
      </w:r>
      <w:r>
        <w:rPr>
          <w:rFonts w:hint="eastAsia" w:ascii="宋体" w:hAnsi="宋体" w:eastAsia="宋体" w:cs="宋体"/>
          <w:b/>
          <w:bCs/>
          <w:color w:val="auto"/>
          <w:sz w:val="24"/>
          <w:lang w:val="en-US" w:eastAsia="zh-CN"/>
        </w:rPr>
        <w:t>（投标人须针对本条内容提供书面承诺函，格式自拟。）</w:t>
      </w:r>
    </w:p>
    <w:p w14:paraId="68702B2A">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③职业素养：司机须尊重殡葬服务行业特殊性，工作耐心、细心、严谨，能理解并顾及逝者家属的悲伤情绪，服务过程中做到文明用语、礼貌待人，不与家属发生争执、冲突，不随意谈论逝者相关敏感话题。</w:t>
      </w:r>
    </w:p>
    <w:p w14:paraId="08324413">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④行为规范：所有派驻司机须由中标服务商统一配置制式工装，服务期间全程着装整洁、仪容规范；严格遵守采购人的考勤、值班、出车等各项管理制度，24小时保持通讯畅通，接到出车指令后15分钟内响应，按采购人要求及时出车。</w:t>
      </w:r>
    </w:p>
    <w:p w14:paraId="043D4F28">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⑤设备爱护：司机须严格爱护采购人提供的殡仪车辆、冰棺及其他配套设施，严禁违规操作、故意损坏，做到车辆内部整洁无异味、外部干净无杂物。</w:t>
      </w:r>
    </w:p>
    <w:p w14:paraId="240FC5B8">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⑥替补要求：若派驻司机因请假、离职、突发状况等无法履职，中标服务商须在24小时内调配符合本需求所有要求的替补司机到岗，确保殡葬驾驶服务不间断，不得影响采购人正常服务工作。</w:t>
      </w:r>
    </w:p>
    <w:p w14:paraId="18568966">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5）.人员管理要求</w:t>
      </w:r>
    </w:p>
    <w:p w14:paraId="5CFA28AC">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①人员培训管理：中标服务商须建立健全人员培训体系，定期对派驻司机开展殡葬服务礼仪、交通安全法规、车辆基础维护、行业操作规范、应急处置流程等专项培训，</w:t>
      </w:r>
      <w:r>
        <w:rPr>
          <w:rFonts w:hint="eastAsia" w:ascii="宋体" w:hAnsi="宋体" w:eastAsia="宋体" w:cs="宋体"/>
          <w:color w:val="auto"/>
          <w:sz w:val="24"/>
          <w:u w:val="none"/>
          <w:lang w:val="en-US" w:eastAsia="zh-CN"/>
        </w:rPr>
        <w:t>每季度</w:t>
      </w:r>
      <w:r>
        <w:rPr>
          <w:rFonts w:hint="eastAsia" w:ascii="宋体" w:hAnsi="宋体" w:eastAsia="宋体" w:cs="宋体"/>
          <w:color w:val="auto"/>
          <w:sz w:val="24"/>
          <w:lang w:val="en-US" w:eastAsia="zh-CN"/>
        </w:rPr>
        <w:t>培训不少于 1 次，每次培训时长不少于 2 小时，留存培训记录（含签到表、课件、影像资料）备查，采购人有权随机抽查培训情况。</w:t>
      </w:r>
    </w:p>
    <w:p w14:paraId="3360E3A9">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②人事管理责任：中标服务商派驻人员与采购人无任何劳动关系，派驻人员的人事管理、薪酬发放、五险（包括但不限于养老保险、工伤保险、失业保险、医疗保险、生育保险）足额缴纳、加班费 / 节假日福利发放、劳动纠纷处理等均由中标服务商全权负责，与采购人无关；若中标服务商未按规定保障人员权益引发的一切纠纷、投诉、法律责任，均由中标服务商承担。</w:t>
      </w:r>
    </w:p>
    <w:p w14:paraId="1AA98B96">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③日常管理服从：</w:t>
      </w:r>
      <w:r>
        <w:rPr>
          <w:rFonts w:hint="eastAsia" w:ascii="宋体" w:hAnsi="宋体" w:eastAsia="宋体" w:cs="宋体"/>
          <w:b/>
          <w:bCs/>
          <w:color w:val="auto"/>
          <w:sz w:val="24"/>
          <w:lang w:val="en-US" w:eastAsia="zh-CN"/>
        </w:rPr>
        <w:t>所有派驻司机由采购人直接管理、调度、考勤与考核</w:t>
      </w:r>
      <w:r>
        <w:rPr>
          <w:rFonts w:hint="eastAsia" w:ascii="宋体" w:hAnsi="宋体" w:eastAsia="宋体" w:cs="宋体"/>
          <w:color w:val="auto"/>
          <w:sz w:val="24"/>
          <w:lang w:val="en-US" w:eastAsia="zh-CN"/>
        </w:rPr>
        <w:t>，中标服务商须配合采购人做好人员社保、薪酬、培训等后勤保障工作；派驻人员严格遵守国家殡葬管理相关法律法规、芦溪县民政局殡葬服务管理制度及行业规范，服从采购人统一工作安排，不得推诿扯皮、消极怠工。</w:t>
      </w:r>
    </w:p>
    <w:p w14:paraId="17FC69C9">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④纠纷处理责任：服务过程中，因中标服务商派驻人员服务态度、操作行为等自身原因与逝者家属产生的纠纷，由中标服务商第一时间出面处理，承担所有相关费用和责任，及时消除不良影响；若因纠纷处理不当造成采购人名誉、经济损失的，中标服务商须予以赔偿。</w:t>
      </w:r>
    </w:p>
    <w:p w14:paraId="5B1FC7B9">
      <w:pPr>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bCs/>
          <w:color w:val="auto"/>
          <w:kern w:val="2"/>
          <w:sz w:val="24"/>
          <w:lang w:val="en-US" w:eastAsia="zh-CN" w:bidi="ar-SA"/>
        </w:rPr>
      </w:pPr>
      <w:r>
        <w:rPr>
          <w:rFonts w:hint="eastAsia" w:ascii="宋体" w:hAnsi="宋体" w:eastAsia="宋体" w:cs="宋体"/>
          <w:b/>
          <w:bCs/>
          <w:color w:val="auto"/>
          <w:kern w:val="2"/>
          <w:sz w:val="24"/>
          <w:lang w:val="en-US" w:eastAsia="zh-CN" w:bidi="ar-SA"/>
        </w:rPr>
        <w:t>3、服务质量考核标准（年度）</w:t>
      </w:r>
    </w:p>
    <w:p w14:paraId="76A57130">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本项目实行年度考核制，考核时间为每年度服务期满前 15 个工作日，由采购人组织考核小组，按照百分制进行综合考核，考核合格分数线为 80 分（含），考核结果分为合格（≥80 分）和不合格（＜80 分），考核结果作为合同续签、服务费用支付的核心依据。考核内容及评分标准如下：</w:t>
      </w:r>
    </w:p>
    <w:tbl>
      <w:tblPr>
        <w:tblStyle w:val="5"/>
        <w:tblW w:w="504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1046"/>
        <w:gridCol w:w="871"/>
        <w:gridCol w:w="3384"/>
        <w:gridCol w:w="3322"/>
      </w:tblGrid>
      <w:tr w14:paraId="1B1CA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blHeader/>
          <w:jc w:val="center"/>
        </w:trPr>
        <w:tc>
          <w:tcPr>
            <w:tcW w:w="606" w:type="pct"/>
            <w:shd w:val="clear" w:color="auto" w:fill="auto"/>
            <w:tcMar>
              <w:top w:w="120" w:type="dxa"/>
              <w:left w:w="120" w:type="dxa"/>
              <w:bottom w:w="120" w:type="dxa"/>
              <w:right w:w="120" w:type="dxa"/>
            </w:tcMar>
            <w:vAlign w:val="center"/>
          </w:tcPr>
          <w:p w14:paraId="49598FDF">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b/>
                <w:bCs/>
              </w:rPr>
            </w:pPr>
            <w:r>
              <w:rPr>
                <w:rFonts w:hint="eastAsia" w:ascii="宋体" w:hAnsi="宋体" w:eastAsia="宋体" w:cs="宋体"/>
                <w:b/>
                <w:bCs/>
                <w:kern w:val="0"/>
                <w:sz w:val="24"/>
                <w:szCs w:val="24"/>
                <w:lang w:val="en-US" w:eastAsia="zh-CN" w:bidi="ar"/>
              </w:rPr>
              <w:t>考核维度</w:t>
            </w:r>
          </w:p>
        </w:tc>
        <w:tc>
          <w:tcPr>
            <w:tcW w:w="505" w:type="pct"/>
            <w:shd w:val="clear" w:color="auto" w:fill="auto"/>
            <w:tcMar>
              <w:top w:w="120" w:type="dxa"/>
              <w:left w:w="120" w:type="dxa"/>
              <w:bottom w:w="120" w:type="dxa"/>
              <w:right w:w="120" w:type="dxa"/>
            </w:tcMar>
            <w:vAlign w:val="center"/>
          </w:tcPr>
          <w:p w14:paraId="6D852BF6">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b/>
                <w:bCs/>
              </w:rPr>
            </w:pPr>
            <w:r>
              <w:rPr>
                <w:rFonts w:hint="eastAsia" w:ascii="宋体" w:hAnsi="宋体" w:eastAsia="宋体" w:cs="宋体"/>
                <w:b/>
                <w:bCs/>
                <w:kern w:val="0"/>
                <w:sz w:val="24"/>
                <w:szCs w:val="24"/>
                <w:lang w:val="en-US" w:eastAsia="zh-CN" w:bidi="ar"/>
              </w:rPr>
              <w:t>总分值</w:t>
            </w:r>
          </w:p>
        </w:tc>
        <w:tc>
          <w:tcPr>
            <w:tcW w:w="1961" w:type="pct"/>
            <w:shd w:val="clear" w:color="auto" w:fill="auto"/>
            <w:tcMar>
              <w:top w:w="120" w:type="dxa"/>
              <w:left w:w="120" w:type="dxa"/>
              <w:bottom w:w="120" w:type="dxa"/>
              <w:right w:w="120" w:type="dxa"/>
            </w:tcMar>
            <w:vAlign w:val="center"/>
          </w:tcPr>
          <w:p w14:paraId="122C7AAB">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b/>
                <w:bCs/>
              </w:rPr>
            </w:pPr>
            <w:r>
              <w:rPr>
                <w:rFonts w:hint="eastAsia" w:ascii="宋体" w:hAnsi="宋体" w:eastAsia="宋体" w:cs="宋体"/>
                <w:b/>
                <w:bCs/>
                <w:kern w:val="0"/>
                <w:sz w:val="24"/>
                <w:szCs w:val="24"/>
                <w:lang w:val="en-US" w:eastAsia="zh-CN" w:bidi="ar"/>
              </w:rPr>
              <w:t>具体评分细则</w:t>
            </w:r>
          </w:p>
        </w:tc>
        <w:tc>
          <w:tcPr>
            <w:tcW w:w="1925" w:type="pct"/>
            <w:shd w:val="clear" w:color="auto" w:fill="auto"/>
            <w:tcMar>
              <w:top w:w="120" w:type="dxa"/>
              <w:left w:w="120" w:type="dxa"/>
              <w:bottom w:w="120" w:type="dxa"/>
              <w:right w:w="120" w:type="dxa"/>
            </w:tcMar>
            <w:vAlign w:val="center"/>
          </w:tcPr>
          <w:p w14:paraId="25DCF82A">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b/>
                <w:bCs/>
              </w:rPr>
            </w:pPr>
            <w:r>
              <w:rPr>
                <w:rFonts w:hint="eastAsia" w:ascii="宋体" w:hAnsi="宋体" w:eastAsia="宋体" w:cs="宋体"/>
                <w:b/>
                <w:bCs/>
                <w:kern w:val="0"/>
                <w:sz w:val="24"/>
                <w:szCs w:val="24"/>
                <w:lang w:val="en-US" w:eastAsia="zh-CN" w:bidi="ar"/>
              </w:rPr>
              <w:t>扣分说明</w:t>
            </w:r>
          </w:p>
        </w:tc>
      </w:tr>
      <w:tr w14:paraId="7F6ED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483" w:hRule="atLeast"/>
          <w:jc w:val="center"/>
        </w:trPr>
        <w:tc>
          <w:tcPr>
            <w:tcW w:w="606" w:type="pct"/>
            <w:vMerge w:val="restart"/>
            <w:shd w:val="clear" w:color="auto" w:fill="auto"/>
            <w:tcMar>
              <w:top w:w="120" w:type="dxa"/>
              <w:left w:w="120" w:type="dxa"/>
              <w:bottom w:w="120" w:type="dxa"/>
              <w:right w:w="120" w:type="dxa"/>
            </w:tcMar>
            <w:vAlign w:val="center"/>
          </w:tcPr>
          <w:p w14:paraId="100D923C">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人员配置管理</w:t>
            </w:r>
          </w:p>
        </w:tc>
        <w:tc>
          <w:tcPr>
            <w:tcW w:w="505" w:type="pct"/>
            <w:vMerge w:val="restart"/>
            <w:shd w:val="clear" w:color="auto" w:fill="auto"/>
            <w:tcMar>
              <w:top w:w="120" w:type="dxa"/>
              <w:left w:w="120" w:type="dxa"/>
              <w:bottom w:w="120" w:type="dxa"/>
              <w:right w:w="120" w:type="dxa"/>
            </w:tcMar>
            <w:vAlign w:val="center"/>
          </w:tcPr>
          <w:p w14:paraId="5EC9C55F">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16分</w:t>
            </w:r>
          </w:p>
        </w:tc>
        <w:tc>
          <w:tcPr>
            <w:tcW w:w="1961" w:type="pct"/>
            <w:shd w:val="clear" w:color="auto" w:fill="auto"/>
            <w:tcMar>
              <w:top w:w="120" w:type="dxa"/>
              <w:left w:w="120" w:type="dxa"/>
              <w:bottom w:w="120" w:type="dxa"/>
              <w:right w:w="120" w:type="dxa"/>
            </w:tcMar>
            <w:vAlign w:val="center"/>
          </w:tcPr>
          <w:p w14:paraId="4116AE3B">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snapToGrid w:val="0"/>
                <w:color w:val="000000"/>
                <w:kern w:val="0"/>
                <w:sz w:val="24"/>
                <w:szCs w:val="24"/>
                <w:lang w:val="en-US" w:eastAsia="zh-CN" w:bidi="ar"/>
              </w:rPr>
              <w:t>1.</w:t>
            </w:r>
            <w:r>
              <w:rPr>
                <w:rFonts w:hint="eastAsia" w:ascii="宋体" w:hAnsi="宋体" w:eastAsia="宋体" w:cs="宋体"/>
                <w:kern w:val="0"/>
                <w:sz w:val="24"/>
                <w:szCs w:val="24"/>
                <w:lang w:val="en-US" w:eastAsia="zh-CN" w:bidi="ar"/>
              </w:rPr>
              <w:t>派驻专职殡仪司机6名，无擅自减员情况（8分）；</w:t>
            </w:r>
          </w:p>
        </w:tc>
        <w:tc>
          <w:tcPr>
            <w:tcW w:w="1925" w:type="pct"/>
            <w:shd w:val="clear" w:color="auto" w:fill="auto"/>
            <w:tcMar>
              <w:top w:w="120" w:type="dxa"/>
              <w:left w:w="120" w:type="dxa"/>
              <w:bottom w:w="120" w:type="dxa"/>
              <w:right w:w="120" w:type="dxa"/>
            </w:tcMar>
            <w:vAlign w:val="center"/>
          </w:tcPr>
          <w:p w14:paraId="01BE68D3">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kern w:val="0"/>
                <w:sz w:val="24"/>
                <w:szCs w:val="24"/>
                <w:lang w:val="en-US" w:eastAsia="zh-CN" w:bidi="ar"/>
              </w:rPr>
              <w:t>每少1名司机扣4分，扣完8分为止</w:t>
            </w:r>
          </w:p>
        </w:tc>
      </w:tr>
      <w:tr w14:paraId="7762E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24" w:hRule="atLeast"/>
          <w:jc w:val="center"/>
        </w:trPr>
        <w:tc>
          <w:tcPr>
            <w:tcW w:w="606" w:type="pct"/>
            <w:vMerge w:val="continue"/>
            <w:shd w:val="clear" w:color="auto" w:fill="auto"/>
            <w:tcMar>
              <w:top w:w="120" w:type="dxa"/>
              <w:left w:w="120" w:type="dxa"/>
              <w:bottom w:w="120" w:type="dxa"/>
              <w:right w:w="120" w:type="dxa"/>
            </w:tcMar>
            <w:vAlign w:val="center"/>
          </w:tcPr>
          <w:p w14:paraId="097BEC19">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505" w:type="pct"/>
            <w:vMerge w:val="continue"/>
            <w:shd w:val="clear" w:color="auto" w:fill="auto"/>
            <w:tcMar>
              <w:top w:w="120" w:type="dxa"/>
              <w:left w:w="120" w:type="dxa"/>
              <w:bottom w:w="120" w:type="dxa"/>
              <w:right w:w="120" w:type="dxa"/>
            </w:tcMar>
            <w:vAlign w:val="center"/>
          </w:tcPr>
          <w:p w14:paraId="1B5140A8">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1961" w:type="pct"/>
            <w:shd w:val="clear" w:color="auto" w:fill="auto"/>
            <w:tcMar>
              <w:top w:w="120" w:type="dxa"/>
              <w:left w:w="120" w:type="dxa"/>
              <w:bottom w:w="120" w:type="dxa"/>
              <w:right w:w="120" w:type="dxa"/>
            </w:tcMar>
            <w:vAlign w:val="center"/>
          </w:tcPr>
          <w:p w14:paraId="7B6625F9">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2.人员缺岗时，替补人员24小时内到岗，无因人员空缺导致服务中断情况（8分）。</w:t>
            </w:r>
          </w:p>
        </w:tc>
        <w:tc>
          <w:tcPr>
            <w:tcW w:w="1925" w:type="pct"/>
            <w:shd w:val="clear" w:color="auto" w:fill="auto"/>
            <w:tcMar>
              <w:top w:w="120" w:type="dxa"/>
              <w:left w:w="120" w:type="dxa"/>
              <w:bottom w:w="120" w:type="dxa"/>
              <w:right w:w="120" w:type="dxa"/>
            </w:tcMar>
            <w:vAlign w:val="center"/>
          </w:tcPr>
          <w:p w14:paraId="342ED82C">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出现1次服务中断扣4分，扣完8分为止。</w:t>
            </w:r>
          </w:p>
        </w:tc>
      </w:tr>
      <w:tr w14:paraId="0D8D3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69" w:hRule="atLeast"/>
          <w:jc w:val="center"/>
        </w:trPr>
        <w:tc>
          <w:tcPr>
            <w:tcW w:w="606" w:type="pct"/>
            <w:vMerge w:val="restart"/>
            <w:shd w:val="clear" w:color="auto" w:fill="auto"/>
            <w:tcMar>
              <w:top w:w="120" w:type="dxa"/>
              <w:left w:w="120" w:type="dxa"/>
              <w:bottom w:w="120" w:type="dxa"/>
              <w:right w:w="120" w:type="dxa"/>
            </w:tcMar>
            <w:vAlign w:val="center"/>
          </w:tcPr>
          <w:p w14:paraId="52EFED6D">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出车服务质量</w:t>
            </w:r>
          </w:p>
        </w:tc>
        <w:tc>
          <w:tcPr>
            <w:tcW w:w="505" w:type="pct"/>
            <w:vMerge w:val="restart"/>
            <w:shd w:val="clear" w:color="auto" w:fill="auto"/>
            <w:tcMar>
              <w:top w:w="120" w:type="dxa"/>
              <w:left w:w="120" w:type="dxa"/>
              <w:bottom w:w="120" w:type="dxa"/>
              <w:right w:w="120" w:type="dxa"/>
            </w:tcMar>
            <w:vAlign w:val="center"/>
          </w:tcPr>
          <w:p w14:paraId="6688329C">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34分</w:t>
            </w:r>
          </w:p>
        </w:tc>
        <w:tc>
          <w:tcPr>
            <w:tcW w:w="1961" w:type="pct"/>
            <w:shd w:val="clear" w:color="auto" w:fill="auto"/>
            <w:tcMar>
              <w:top w:w="120" w:type="dxa"/>
              <w:left w:w="120" w:type="dxa"/>
              <w:bottom w:w="120" w:type="dxa"/>
              <w:right w:w="120" w:type="dxa"/>
            </w:tcMar>
            <w:vAlign w:val="center"/>
          </w:tcPr>
          <w:p w14:paraId="1616E019">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snapToGrid w:val="0"/>
                <w:color w:val="000000"/>
                <w:kern w:val="0"/>
                <w:sz w:val="24"/>
                <w:szCs w:val="24"/>
                <w:lang w:val="en-US" w:eastAsia="zh-CN" w:bidi="ar"/>
              </w:rPr>
              <w:t>1.</w:t>
            </w:r>
            <w:r>
              <w:rPr>
                <w:rFonts w:hint="eastAsia" w:ascii="宋体" w:hAnsi="宋体" w:eastAsia="宋体" w:cs="宋体"/>
                <w:kern w:val="0"/>
                <w:sz w:val="24"/>
                <w:szCs w:val="24"/>
                <w:lang w:val="en-US" w:eastAsia="zh-CN" w:bidi="ar"/>
              </w:rPr>
              <w:t>24小时待命，接到出车指令后15分钟内响应行动（10分）；</w:t>
            </w:r>
          </w:p>
        </w:tc>
        <w:tc>
          <w:tcPr>
            <w:tcW w:w="1925" w:type="pct"/>
            <w:shd w:val="clear" w:color="auto" w:fill="auto"/>
            <w:tcMar>
              <w:top w:w="120" w:type="dxa"/>
              <w:left w:w="120" w:type="dxa"/>
              <w:bottom w:w="120" w:type="dxa"/>
              <w:right w:w="120" w:type="dxa"/>
            </w:tcMar>
            <w:vAlign w:val="center"/>
          </w:tcPr>
          <w:p w14:paraId="035FDAC5">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kern w:val="0"/>
                <w:sz w:val="24"/>
                <w:szCs w:val="24"/>
                <w:lang w:val="en-US" w:eastAsia="zh-CN" w:bidi="ar"/>
              </w:rPr>
              <w:t>15-30分钟超时扣2分/次，30分钟以上扣5分/次，扣完10分为止；</w:t>
            </w:r>
          </w:p>
        </w:tc>
      </w:tr>
      <w:tr w14:paraId="0FBF0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31" w:hRule="atLeast"/>
          <w:jc w:val="center"/>
        </w:trPr>
        <w:tc>
          <w:tcPr>
            <w:tcW w:w="606" w:type="pct"/>
            <w:vMerge w:val="continue"/>
            <w:shd w:val="clear" w:color="auto" w:fill="auto"/>
            <w:tcMar>
              <w:top w:w="120" w:type="dxa"/>
              <w:left w:w="120" w:type="dxa"/>
              <w:bottom w:w="120" w:type="dxa"/>
              <w:right w:w="120" w:type="dxa"/>
            </w:tcMar>
            <w:vAlign w:val="center"/>
          </w:tcPr>
          <w:p w14:paraId="59E70408">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505" w:type="pct"/>
            <w:vMerge w:val="continue"/>
            <w:shd w:val="clear" w:color="auto" w:fill="auto"/>
            <w:tcMar>
              <w:top w:w="120" w:type="dxa"/>
              <w:left w:w="120" w:type="dxa"/>
              <w:bottom w:w="120" w:type="dxa"/>
              <w:right w:w="120" w:type="dxa"/>
            </w:tcMar>
            <w:vAlign w:val="center"/>
          </w:tcPr>
          <w:p w14:paraId="7EB71A24">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1961" w:type="pct"/>
            <w:shd w:val="clear" w:color="auto" w:fill="auto"/>
            <w:tcMar>
              <w:top w:w="120" w:type="dxa"/>
              <w:left w:w="120" w:type="dxa"/>
              <w:bottom w:w="120" w:type="dxa"/>
              <w:right w:w="120" w:type="dxa"/>
            </w:tcMar>
            <w:vAlign w:val="center"/>
          </w:tcPr>
          <w:p w14:paraId="0011F6E3">
            <w:pPr>
              <w:keepNext w:val="0"/>
              <w:keepLines w:val="0"/>
              <w:pageBreakBefore w:val="0"/>
              <w:widowControl/>
              <w:numPr>
                <w:ilvl w:val="0"/>
                <w:numId w:val="0"/>
              </w:numPr>
              <w:suppressLineNumbers w:val="0"/>
              <w:kinsoku/>
              <w:wordWrap/>
              <w:overflowPunct/>
              <w:topLinePunct w:val="0"/>
              <w:autoSpaceDE/>
              <w:autoSpaceDN/>
              <w:bidi w:val="0"/>
              <w:adjustRightInd/>
              <w:snapToGrid/>
              <w:ind w:leftChars="20" w:right="42" w:rightChars="20"/>
              <w:jc w:val="left"/>
              <w:textAlignment w:val="auto"/>
              <w:rPr>
                <w:rFonts w:hint="default"/>
                <w:lang w:val="en-US" w:eastAsia="zh-CN"/>
              </w:rPr>
            </w:pPr>
            <w:r>
              <w:rPr>
                <w:rFonts w:hint="eastAsia" w:ascii="宋体" w:hAnsi="宋体" w:eastAsia="宋体" w:cs="宋体"/>
                <w:kern w:val="0"/>
                <w:sz w:val="24"/>
                <w:szCs w:val="24"/>
                <w:lang w:val="en-US" w:eastAsia="zh-CN" w:bidi="ar"/>
              </w:rPr>
              <w:t>2.出车全程无交通事故、无交通违法记录（20分）；</w:t>
            </w:r>
          </w:p>
        </w:tc>
        <w:tc>
          <w:tcPr>
            <w:tcW w:w="1925" w:type="pct"/>
            <w:shd w:val="clear" w:color="auto" w:fill="auto"/>
            <w:tcMar>
              <w:top w:w="120" w:type="dxa"/>
              <w:left w:w="120" w:type="dxa"/>
              <w:bottom w:w="120" w:type="dxa"/>
              <w:right w:w="120" w:type="dxa"/>
            </w:tcMar>
            <w:vAlign w:val="center"/>
          </w:tcPr>
          <w:p w14:paraId="5F6DCB50">
            <w:pPr>
              <w:keepNext w:val="0"/>
              <w:keepLines w:val="0"/>
              <w:pageBreakBefore w:val="0"/>
              <w:widowControl/>
              <w:numPr>
                <w:ilvl w:val="0"/>
                <w:numId w:val="0"/>
              </w:numPr>
              <w:suppressLineNumbers w:val="0"/>
              <w:kinsoku/>
              <w:wordWrap/>
              <w:overflowPunct/>
              <w:topLinePunct w:val="0"/>
              <w:autoSpaceDE/>
              <w:autoSpaceDN/>
              <w:bidi w:val="0"/>
              <w:adjustRightInd/>
              <w:snapToGrid/>
              <w:ind w:leftChars="20" w:right="42" w:rightChars="20"/>
              <w:jc w:val="left"/>
              <w:textAlignment w:val="auto"/>
              <w:rPr>
                <w:rFonts w:hint="eastAsia"/>
                <w:lang w:val="en-US" w:eastAsia="zh-CN"/>
              </w:rPr>
            </w:pPr>
            <w:r>
              <w:rPr>
                <w:rFonts w:hint="eastAsia" w:ascii="宋体" w:hAnsi="宋体" w:eastAsia="宋体" w:cs="宋体"/>
                <w:kern w:val="0"/>
                <w:sz w:val="24"/>
                <w:szCs w:val="24"/>
                <w:lang w:val="en-US" w:eastAsia="zh-CN" w:bidi="ar"/>
              </w:rPr>
              <w:t>轻微事故扣10分/次，重大事故本项20分全扣；交通违法扣4分/次，扣完20分为止；</w:t>
            </w:r>
          </w:p>
          <w:p w14:paraId="5F05A7E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2" w:leftChars="20"/>
              <w:contextualSpacing/>
              <w:textAlignment w:val="baseline"/>
              <w:rPr>
                <w:rFonts w:hint="eastAsia" w:ascii="Times New Roman" w:hAnsi="Times New Roman" w:eastAsia="宋体" w:cs="Times New Roman"/>
                <w:snapToGrid w:val="0"/>
                <w:color w:val="000000"/>
                <w:sz w:val="21"/>
                <w:szCs w:val="24"/>
                <w:lang w:val="en-US" w:eastAsia="zh-CN" w:bidi="ar-SA"/>
              </w:rPr>
            </w:pPr>
            <w:r>
              <w:rPr>
                <w:rFonts w:hint="eastAsia" w:ascii="Times New Roman" w:hAnsi="Times New Roman" w:eastAsia="宋体" w:cs="Times New Roman"/>
                <w:b/>
                <w:bCs/>
                <w:snapToGrid w:val="0"/>
                <w:color w:val="000000"/>
                <w:sz w:val="21"/>
                <w:szCs w:val="24"/>
                <w:lang w:val="en-US" w:eastAsia="zh-CN" w:bidi="ar-SA"/>
              </w:rPr>
              <w:t>注：交通事故认定以公安交警部门出具的道路交通事故责任认定书为准，负事故主要及以上责任的予以考核扣分，仅负次要责任、同等责任或无责任的，不予扣分。</w:t>
            </w:r>
          </w:p>
        </w:tc>
      </w:tr>
      <w:tr w14:paraId="445CF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606" w:type="pct"/>
            <w:vMerge w:val="continue"/>
            <w:shd w:val="clear" w:color="auto" w:fill="auto"/>
            <w:tcMar>
              <w:top w:w="120" w:type="dxa"/>
              <w:left w:w="120" w:type="dxa"/>
              <w:bottom w:w="120" w:type="dxa"/>
              <w:right w:w="120" w:type="dxa"/>
            </w:tcMar>
            <w:vAlign w:val="center"/>
          </w:tcPr>
          <w:p w14:paraId="2E9AFDA5">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505" w:type="pct"/>
            <w:vMerge w:val="continue"/>
            <w:shd w:val="clear" w:color="auto" w:fill="auto"/>
            <w:tcMar>
              <w:top w:w="120" w:type="dxa"/>
              <w:left w:w="120" w:type="dxa"/>
              <w:bottom w:w="120" w:type="dxa"/>
              <w:right w:w="120" w:type="dxa"/>
            </w:tcMar>
            <w:vAlign w:val="center"/>
          </w:tcPr>
          <w:p w14:paraId="31264F31">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1961" w:type="pct"/>
            <w:shd w:val="clear" w:color="auto" w:fill="auto"/>
            <w:tcMar>
              <w:top w:w="120" w:type="dxa"/>
              <w:left w:w="120" w:type="dxa"/>
              <w:bottom w:w="120" w:type="dxa"/>
              <w:right w:w="120" w:type="dxa"/>
            </w:tcMar>
            <w:vAlign w:val="center"/>
          </w:tcPr>
          <w:p w14:paraId="33405563">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3.按采购人指令完成遗体接运、骨灰护送，无路线错误、送达延误情况（4分）。</w:t>
            </w:r>
          </w:p>
        </w:tc>
        <w:tc>
          <w:tcPr>
            <w:tcW w:w="1925" w:type="pct"/>
            <w:shd w:val="clear" w:color="auto" w:fill="auto"/>
            <w:tcMar>
              <w:top w:w="120" w:type="dxa"/>
              <w:left w:w="120" w:type="dxa"/>
              <w:bottom w:w="120" w:type="dxa"/>
              <w:right w:w="120" w:type="dxa"/>
            </w:tcMar>
            <w:vAlign w:val="center"/>
          </w:tcPr>
          <w:p w14:paraId="060E2D0E">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出现1次路线错误/送达延误扣1分，扣完4分为止。</w:t>
            </w:r>
          </w:p>
        </w:tc>
      </w:tr>
      <w:tr w14:paraId="037F5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90" w:hRule="atLeast"/>
          <w:jc w:val="center"/>
        </w:trPr>
        <w:tc>
          <w:tcPr>
            <w:tcW w:w="606" w:type="pct"/>
            <w:vMerge w:val="restart"/>
            <w:shd w:val="clear" w:color="auto" w:fill="auto"/>
            <w:tcMar>
              <w:top w:w="120" w:type="dxa"/>
              <w:left w:w="120" w:type="dxa"/>
              <w:bottom w:w="120" w:type="dxa"/>
              <w:right w:w="120" w:type="dxa"/>
            </w:tcMar>
            <w:vAlign w:val="center"/>
          </w:tcPr>
          <w:p w14:paraId="666FEAAF">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服务态度与行为</w:t>
            </w:r>
          </w:p>
        </w:tc>
        <w:tc>
          <w:tcPr>
            <w:tcW w:w="505" w:type="pct"/>
            <w:vMerge w:val="restart"/>
            <w:shd w:val="clear" w:color="auto" w:fill="auto"/>
            <w:tcMar>
              <w:top w:w="120" w:type="dxa"/>
              <w:left w:w="120" w:type="dxa"/>
              <w:bottom w:w="120" w:type="dxa"/>
              <w:right w:w="120" w:type="dxa"/>
            </w:tcMar>
            <w:vAlign w:val="center"/>
          </w:tcPr>
          <w:p w14:paraId="00ADB918">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20分</w:t>
            </w:r>
          </w:p>
        </w:tc>
        <w:tc>
          <w:tcPr>
            <w:tcW w:w="1961" w:type="pct"/>
            <w:shd w:val="clear" w:color="auto" w:fill="auto"/>
            <w:tcMar>
              <w:top w:w="120" w:type="dxa"/>
              <w:left w:w="120" w:type="dxa"/>
              <w:bottom w:w="120" w:type="dxa"/>
              <w:right w:w="120" w:type="dxa"/>
            </w:tcMar>
            <w:vAlign w:val="center"/>
          </w:tcPr>
          <w:p w14:paraId="37BC772A">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snapToGrid w:val="0"/>
                <w:color w:val="000000"/>
                <w:kern w:val="0"/>
                <w:sz w:val="24"/>
                <w:szCs w:val="24"/>
                <w:lang w:val="en-US" w:eastAsia="zh-CN" w:bidi="ar"/>
              </w:rPr>
              <w:t>1.</w:t>
            </w:r>
            <w:r>
              <w:rPr>
                <w:rFonts w:hint="eastAsia" w:ascii="宋体" w:hAnsi="宋体" w:eastAsia="宋体" w:cs="宋体"/>
                <w:kern w:val="0"/>
                <w:sz w:val="24"/>
                <w:szCs w:val="24"/>
                <w:lang w:val="en-US" w:eastAsia="zh-CN" w:bidi="ar"/>
              </w:rPr>
              <w:t>服务过程文明用语、礼貌待人，未收到家属关于服务态度的有效投诉（10分）；</w:t>
            </w:r>
          </w:p>
        </w:tc>
        <w:tc>
          <w:tcPr>
            <w:tcW w:w="1925" w:type="pct"/>
            <w:shd w:val="clear" w:color="auto" w:fill="auto"/>
            <w:tcMar>
              <w:top w:w="120" w:type="dxa"/>
              <w:left w:w="120" w:type="dxa"/>
              <w:bottom w:w="120" w:type="dxa"/>
              <w:right w:w="120" w:type="dxa"/>
            </w:tcMar>
            <w:vAlign w:val="center"/>
          </w:tcPr>
          <w:p w14:paraId="0C7C23AF">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kern w:val="0"/>
                <w:sz w:val="24"/>
                <w:szCs w:val="24"/>
                <w:lang w:val="en-US" w:eastAsia="zh-CN" w:bidi="ar"/>
              </w:rPr>
              <w:t>收到1次有效投诉扣5分，扣完10分为止；</w:t>
            </w:r>
          </w:p>
        </w:tc>
      </w:tr>
      <w:tr w14:paraId="272EB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90" w:hRule="atLeast"/>
          <w:jc w:val="center"/>
        </w:trPr>
        <w:tc>
          <w:tcPr>
            <w:tcW w:w="606" w:type="pct"/>
            <w:vMerge w:val="continue"/>
            <w:shd w:val="clear" w:color="auto" w:fill="auto"/>
            <w:tcMar>
              <w:top w:w="120" w:type="dxa"/>
              <w:left w:w="120" w:type="dxa"/>
              <w:bottom w:w="120" w:type="dxa"/>
              <w:right w:w="120" w:type="dxa"/>
            </w:tcMar>
            <w:vAlign w:val="center"/>
          </w:tcPr>
          <w:p w14:paraId="58480CBB">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505" w:type="pct"/>
            <w:vMerge w:val="continue"/>
            <w:shd w:val="clear" w:color="auto" w:fill="auto"/>
            <w:tcMar>
              <w:top w:w="120" w:type="dxa"/>
              <w:left w:w="120" w:type="dxa"/>
              <w:bottom w:w="120" w:type="dxa"/>
              <w:right w:w="120" w:type="dxa"/>
            </w:tcMar>
            <w:vAlign w:val="center"/>
          </w:tcPr>
          <w:p w14:paraId="08B0C73C">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1961" w:type="pct"/>
            <w:shd w:val="clear" w:color="auto" w:fill="auto"/>
            <w:tcMar>
              <w:top w:w="120" w:type="dxa"/>
              <w:left w:w="120" w:type="dxa"/>
              <w:bottom w:w="120" w:type="dxa"/>
              <w:right w:w="120" w:type="dxa"/>
            </w:tcMar>
            <w:vAlign w:val="center"/>
          </w:tcPr>
          <w:p w14:paraId="0B2EFED9">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2.全员统一制式工装、仪容整洁，无擅自离岗、旷工情况，严格遵守采购人管理制度（10分）。</w:t>
            </w:r>
          </w:p>
        </w:tc>
        <w:tc>
          <w:tcPr>
            <w:tcW w:w="1925" w:type="pct"/>
            <w:shd w:val="clear" w:color="auto" w:fill="auto"/>
            <w:tcMar>
              <w:top w:w="120" w:type="dxa"/>
              <w:left w:w="120" w:type="dxa"/>
              <w:bottom w:w="120" w:type="dxa"/>
              <w:right w:w="120" w:type="dxa"/>
            </w:tcMar>
            <w:vAlign w:val="center"/>
          </w:tcPr>
          <w:p w14:paraId="6497AC7B">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发现1人未着装/擅自离岗扣2分/次，出现旷工本项扣5分/次，扣完10分为止。</w:t>
            </w:r>
          </w:p>
        </w:tc>
      </w:tr>
      <w:tr w14:paraId="671DE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90" w:hRule="atLeast"/>
          <w:jc w:val="center"/>
        </w:trPr>
        <w:tc>
          <w:tcPr>
            <w:tcW w:w="606" w:type="pct"/>
            <w:vMerge w:val="restart"/>
            <w:shd w:val="clear" w:color="auto" w:fill="auto"/>
            <w:tcMar>
              <w:top w:w="120" w:type="dxa"/>
              <w:left w:w="120" w:type="dxa"/>
              <w:bottom w:w="120" w:type="dxa"/>
              <w:right w:w="120" w:type="dxa"/>
            </w:tcMar>
            <w:vAlign w:val="center"/>
          </w:tcPr>
          <w:p w14:paraId="6FA93456">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设备爱护与车辆管理</w:t>
            </w:r>
          </w:p>
        </w:tc>
        <w:tc>
          <w:tcPr>
            <w:tcW w:w="505" w:type="pct"/>
            <w:vMerge w:val="restart"/>
            <w:shd w:val="clear" w:color="auto" w:fill="auto"/>
            <w:tcMar>
              <w:top w:w="120" w:type="dxa"/>
              <w:left w:w="120" w:type="dxa"/>
              <w:bottom w:w="120" w:type="dxa"/>
              <w:right w:w="120" w:type="dxa"/>
            </w:tcMar>
            <w:vAlign w:val="center"/>
          </w:tcPr>
          <w:p w14:paraId="47CCA42D">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10分</w:t>
            </w:r>
          </w:p>
        </w:tc>
        <w:tc>
          <w:tcPr>
            <w:tcW w:w="1961" w:type="pct"/>
            <w:shd w:val="clear" w:color="auto" w:fill="auto"/>
            <w:tcMar>
              <w:top w:w="120" w:type="dxa"/>
              <w:left w:w="120" w:type="dxa"/>
              <w:bottom w:w="120" w:type="dxa"/>
              <w:right w:w="120" w:type="dxa"/>
            </w:tcMar>
            <w:vAlign w:val="center"/>
          </w:tcPr>
          <w:p w14:paraId="33524FD3">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snapToGrid w:val="0"/>
                <w:color w:val="000000"/>
                <w:kern w:val="0"/>
                <w:sz w:val="24"/>
                <w:szCs w:val="24"/>
                <w:lang w:val="en-US" w:eastAsia="zh-CN" w:bidi="ar"/>
              </w:rPr>
              <w:t>1.</w:t>
            </w:r>
            <w:r>
              <w:rPr>
                <w:rFonts w:hint="eastAsia" w:ascii="宋体" w:hAnsi="宋体" w:eastAsia="宋体" w:cs="宋体"/>
                <w:kern w:val="0"/>
                <w:sz w:val="24"/>
                <w:szCs w:val="24"/>
                <w:lang w:val="en-US" w:eastAsia="zh-CN" w:bidi="ar"/>
              </w:rPr>
              <w:t>按要求完成殡仪车辆日常清洁，车辆内部无异味、外部无杂物（5分）；</w:t>
            </w:r>
          </w:p>
        </w:tc>
        <w:tc>
          <w:tcPr>
            <w:tcW w:w="1925" w:type="pct"/>
            <w:shd w:val="clear" w:color="auto" w:fill="auto"/>
            <w:tcMar>
              <w:top w:w="120" w:type="dxa"/>
              <w:left w:w="120" w:type="dxa"/>
              <w:bottom w:w="120" w:type="dxa"/>
              <w:right w:w="120" w:type="dxa"/>
            </w:tcMar>
            <w:vAlign w:val="center"/>
          </w:tcPr>
          <w:p w14:paraId="083DDB6C">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kern w:val="0"/>
                <w:sz w:val="24"/>
                <w:szCs w:val="24"/>
                <w:lang w:val="en-US" w:eastAsia="zh-CN" w:bidi="ar"/>
              </w:rPr>
              <w:t>发现1次车辆脏乱扣2分，扣完5分为止；</w:t>
            </w:r>
          </w:p>
        </w:tc>
      </w:tr>
      <w:tr w14:paraId="22A55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606" w:type="pct"/>
            <w:vMerge w:val="continue"/>
            <w:shd w:val="clear" w:color="auto" w:fill="auto"/>
            <w:tcMar>
              <w:top w:w="120" w:type="dxa"/>
              <w:left w:w="120" w:type="dxa"/>
              <w:bottom w:w="120" w:type="dxa"/>
              <w:right w:w="120" w:type="dxa"/>
            </w:tcMar>
            <w:vAlign w:val="center"/>
          </w:tcPr>
          <w:p w14:paraId="3D5B1293">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505" w:type="pct"/>
            <w:vMerge w:val="continue"/>
            <w:shd w:val="clear" w:color="auto" w:fill="auto"/>
            <w:tcMar>
              <w:top w:w="120" w:type="dxa"/>
              <w:left w:w="120" w:type="dxa"/>
              <w:bottom w:w="120" w:type="dxa"/>
              <w:right w:w="120" w:type="dxa"/>
            </w:tcMar>
            <w:vAlign w:val="center"/>
          </w:tcPr>
          <w:p w14:paraId="600311DB">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1961" w:type="pct"/>
            <w:shd w:val="clear" w:color="auto" w:fill="auto"/>
            <w:tcMar>
              <w:top w:w="120" w:type="dxa"/>
              <w:left w:w="120" w:type="dxa"/>
              <w:bottom w:w="120" w:type="dxa"/>
              <w:right w:w="120" w:type="dxa"/>
            </w:tcMar>
            <w:vAlign w:val="center"/>
          </w:tcPr>
          <w:p w14:paraId="32B1114C">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2.爱护采购人提供的设施设备，无违规操作、故意损坏情况，车辆故障第一时间报备（5分）。</w:t>
            </w:r>
          </w:p>
        </w:tc>
        <w:tc>
          <w:tcPr>
            <w:tcW w:w="1925" w:type="pct"/>
            <w:shd w:val="clear" w:color="auto" w:fill="auto"/>
            <w:tcMar>
              <w:top w:w="120" w:type="dxa"/>
              <w:left w:w="120" w:type="dxa"/>
              <w:bottom w:w="120" w:type="dxa"/>
              <w:right w:w="120" w:type="dxa"/>
            </w:tcMar>
            <w:vAlign w:val="center"/>
          </w:tcPr>
          <w:p w14:paraId="643FD701">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default"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发现1次违规操作/损坏设备，本项5分全扣；故障未及时报备扣2分/次，扣完5分为止.</w:t>
            </w:r>
          </w:p>
        </w:tc>
      </w:tr>
      <w:tr w14:paraId="33D0C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606" w:type="pct"/>
            <w:shd w:val="clear" w:color="auto" w:fill="auto"/>
            <w:tcMar>
              <w:top w:w="120" w:type="dxa"/>
              <w:left w:w="120" w:type="dxa"/>
              <w:bottom w:w="120" w:type="dxa"/>
              <w:right w:w="120" w:type="dxa"/>
            </w:tcMar>
            <w:vAlign w:val="center"/>
          </w:tcPr>
          <w:p w14:paraId="47A0214C">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培训与管理</w:t>
            </w:r>
          </w:p>
        </w:tc>
        <w:tc>
          <w:tcPr>
            <w:tcW w:w="505" w:type="pct"/>
            <w:shd w:val="clear" w:color="auto" w:fill="auto"/>
            <w:tcMar>
              <w:top w:w="120" w:type="dxa"/>
              <w:left w:w="120" w:type="dxa"/>
              <w:bottom w:w="120" w:type="dxa"/>
              <w:right w:w="120" w:type="dxa"/>
            </w:tcMar>
            <w:vAlign w:val="center"/>
          </w:tcPr>
          <w:p w14:paraId="41410DCB">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10分</w:t>
            </w:r>
          </w:p>
        </w:tc>
        <w:tc>
          <w:tcPr>
            <w:tcW w:w="1961" w:type="pct"/>
            <w:shd w:val="clear" w:color="auto" w:fill="auto"/>
            <w:tcMar>
              <w:top w:w="120" w:type="dxa"/>
              <w:left w:w="120" w:type="dxa"/>
              <w:bottom w:w="120" w:type="dxa"/>
              <w:right w:w="120" w:type="dxa"/>
            </w:tcMar>
            <w:vAlign w:val="center"/>
          </w:tcPr>
          <w:p w14:paraId="0603E1D5">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kern w:val="0"/>
                <w:sz w:val="24"/>
                <w:szCs w:val="24"/>
                <w:lang w:val="en-US" w:eastAsia="zh-CN" w:bidi="ar"/>
              </w:rPr>
              <w:t>1.每季度完成1次及以上专项培训，培训记录（签到、课件、影像）完整可查（10分）。</w:t>
            </w:r>
          </w:p>
        </w:tc>
        <w:tc>
          <w:tcPr>
            <w:tcW w:w="1925" w:type="pct"/>
            <w:shd w:val="clear" w:color="auto" w:fill="auto"/>
            <w:tcMar>
              <w:top w:w="120" w:type="dxa"/>
              <w:left w:w="120" w:type="dxa"/>
              <w:bottom w:w="120" w:type="dxa"/>
              <w:right w:w="120" w:type="dxa"/>
            </w:tcMar>
            <w:vAlign w:val="center"/>
          </w:tcPr>
          <w:p w14:paraId="0050E571">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kern w:val="0"/>
                <w:sz w:val="24"/>
                <w:szCs w:val="24"/>
                <w:lang w:val="en-US" w:eastAsia="zh-CN" w:bidi="ar"/>
              </w:rPr>
              <w:t>少1次培训扣4分，培训记录不全扣2分/次，扣完10分为止。</w:t>
            </w:r>
          </w:p>
        </w:tc>
      </w:tr>
      <w:tr w14:paraId="408F4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56" w:hRule="atLeast"/>
          <w:jc w:val="center"/>
        </w:trPr>
        <w:tc>
          <w:tcPr>
            <w:tcW w:w="606" w:type="pct"/>
            <w:vMerge w:val="restart"/>
            <w:shd w:val="clear" w:color="auto" w:fill="auto"/>
            <w:tcMar>
              <w:top w:w="120" w:type="dxa"/>
              <w:left w:w="120" w:type="dxa"/>
              <w:bottom w:w="120" w:type="dxa"/>
              <w:right w:w="120" w:type="dxa"/>
            </w:tcMar>
            <w:vAlign w:val="center"/>
          </w:tcPr>
          <w:p w14:paraId="194F93B2">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投诉与应急处理</w:t>
            </w:r>
          </w:p>
        </w:tc>
        <w:tc>
          <w:tcPr>
            <w:tcW w:w="505" w:type="pct"/>
            <w:vMerge w:val="restart"/>
            <w:shd w:val="clear" w:color="auto" w:fill="auto"/>
            <w:tcMar>
              <w:top w:w="120" w:type="dxa"/>
              <w:left w:w="120" w:type="dxa"/>
              <w:bottom w:w="120" w:type="dxa"/>
              <w:right w:w="120" w:type="dxa"/>
            </w:tcMar>
            <w:vAlign w:val="center"/>
          </w:tcPr>
          <w:p w14:paraId="67B86C17">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rPr>
            </w:pPr>
            <w:r>
              <w:rPr>
                <w:rFonts w:hint="eastAsia" w:ascii="宋体" w:hAnsi="宋体" w:eastAsia="宋体" w:cs="宋体"/>
                <w:kern w:val="0"/>
                <w:sz w:val="24"/>
                <w:szCs w:val="24"/>
                <w:lang w:val="en-US" w:eastAsia="zh-CN" w:bidi="ar"/>
              </w:rPr>
              <w:t>10分</w:t>
            </w:r>
          </w:p>
        </w:tc>
        <w:tc>
          <w:tcPr>
            <w:tcW w:w="1961" w:type="pct"/>
            <w:shd w:val="clear" w:color="auto" w:fill="auto"/>
            <w:tcMar>
              <w:top w:w="120" w:type="dxa"/>
              <w:left w:w="120" w:type="dxa"/>
              <w:bottom w:w="120" w:type="dxa"/>
              <w:right w:w="120" w:type="dxa"/>
            </w:tcMar>
            <w:vAlign w:val="center"/>
          </w:tcPr>
          <w:p w14:paraId="638A55E4">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snapToGrid w:val="0"/>
                <w:color w:val="000000"/>
                <w:kern w:val="0"/>
                <w:sz w:val="24"/>
                <w:szCs w:val="24"/>
                <w:lang w:val="en-US" w:eastAsia="zh-CN" w:bidi="ar"/>
              </w:rPr>
              <w:t>1.</w:t>
            </w:r>
            <w:r>
              <w:rPr>
                <w:rFonts w:hint="eastAsia" w:ascii="宋体" w:hAnsi="宋体" w:eastAsia="宋体" w:cs="宋体"/>
                <w:kern w:val="0"/>
                <w:sz w:val="24"/>
                <w:szCs w:val="24"/>
                <w:lang w:val="en-US" w:eastAsia="zh-CN" w:bidi="ar"/>
              </w:rPr>
              <w:t>接到采购人转办投诉后，12小时内响应、24小时内处理完毕并书面反馈结果（5分）；</w:t>
            </w:r>
          </w:p>
        </w:tc>
        <w:tc>
          <w:tcPr>
            <w:tcW w:w="1925" w:type="pct"/>
            <w:shd w:val="clear" w:color="auto" w:fill="auto"/>
            <w:tcMar>
              <w:top w:w="120" w:type="dxa"/>
              <w:left w:w="120" w:type="dxa"/>
              <w:bottom w:w="120" w:type="dxa"/>
              <w:right w:w="120" w:type="dxa"/>
            </w:tcMar>
            <w:vAlign w:val="center"/>
          </w:tcPr>
          <w:p w14:paraId="4F660ED9">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rPr>
            </w:pPr>
            <w:r>
              <w:rPr>
                <w:rFonts w:hint="eastAsia" w:ascii="宋体" w:hAnsi="宋体" w:eastAsia="宋体" w:cs="宋体"/>
                <w:kern w:val="0"/>
                <w:sz w:val="24"/>
                <w:szCs w:val="24"/>
                <w:lang w:val="en-US" w:eastAsia="zh-CN" w:bidi="ar"/>
              </w:rPr>
              <w:t>响应/处理超时扣2分/次，投诉未妥善解决扣3分/次，扣完5分为止；</w:t>
            </w:r>
          </w:p>
        </w:tc>
      </w:tr>
      <w:tr w14:paraId="3519F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10" w:hRule="atLeast"/>
          <w:jc w:val="center"/>
        </w:trPr>
        <w:tc>
          <w:tcPr>
            <w:tcW w:w="606" w:type="pct"/>
            <w:vMerge w:val="continue"/>
            <w:shd w:val="clear" w:color="auto" w:fill="auto"/>
            <w:tcMar>
              <w:top w:w="120" w:type="dxa"/>
              <w:left w:w="120" w:type="dxa"/>
              <w:bottom w:w="120" w:type="dxa"/>
              <w:right w:w="120" w:type="dxa"/>
            </w:tcMar>
            <w:vAlign w:val="center"/>
          </w:tcPr>
          <w:p w14:paraId="2FDAA49B">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505" w:type="pct"/>
            <w:vMerge w:val="continue"/>
            <w:shd w:val="clear" w:color="auto" w:fill="auto"/>
            <w:tcMar>
              <w:top w:w="120" w:type="dxa"/>
              <w:left w:w="120" w:type="dxa"/>
              <w:bottom w:w="120" w:type="dxa"/>
              <w:right w:w="120" w:type="dxa"/>
            </w:tcMar>
            <w:vAlign w:val="center"/>
          </w:tcPr>
          <w:p w14:paraId="6344AD36">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lang w:val="en-US" w:eastAsia="zh-CN" w:bidi="ar"/>
              </w:rPr>
            </w:pPr>
          </w:p>
        </w:tc>
        <w:tc>
          <w:tcPr>
            <w:tcW w:w="1961" w:type="pct"/>
            <w:shd w:val="clear" w:color="auto" w:fill="auto"/>
            <w:tcMar>
              <w:top w:w="120" w:type="dxa"/>
              <w:left w:w="120" w:type="dxa"/>
              <w:bottom w:w="120" w:type="dxa"/>
              <w:right w:w="120" w:type="dxa"/>
            </w:tcMar>
            <w:vAlign w:val="center"/>
          </w:tcPr>
          <w:p w14:paraId="39A40A2C">
            <w:pPr>
              <w:keepNext w:val="0"/>
              <w:keepLines w:val="0"/>
              <w:pageBreakBefore w:val="0"/>
              <w:widowControl/>
              <w:numPr>
                <w:ilvl w:val="0"/>
                <w:numId w:val="0"/>
              </w:numPr>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2.出现交通事故、服务纠纷等应急情况，第一时间处置，无推诿、逃避责任情况（5分）。</w:t>
            </w:r>
          </w:p>
        </w:tc>
        <w:tc>
          <w:tcPr>
            <w:tcW w:w="1925" w:type="pct"/>
            <w:shd w:val="clear" w:color="auto" w:fill="auto"/>
            <w:tcMar>
              <w:top w:w="120" w:type="dxa"/>
              <w:left w:w="120" w:type="dxa"/>
              <w:bottom w:w="120" w:type="dxa"/>
              <w:right w:w="120" w:type="dxa"/>
            </w:tcMar>
            <w:vAlign w:val="center"/>
          </w:tcPr>
          <w:p w14:paraId="0DA37838">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left"/>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应急处置不当1次，本项5分全扣。</w:t>
            </w:r>
          </w:p>
        </w:tc>
      </w:tr>
    </w:tbl>
    <w:p w14:paraId="2A0D9DE4">
      <w:pPr>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bCs/>
          <w:color w:val="auto"/>
          <w:kern w:val="2"/>
          <w:sz w:val="24"/>
          <w:lang w:val="en-US" w:eastAsia="zh-CN" w:bidi="ar-SA"/>
        </w:rPr>
      </w:pPr>
    </w:p>
    <w:p w14:paraId="1DD3D9A5">
      <w:pPr>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bCs/>
          <w:color w:val="auto"/>
          <w:kern w:val="2"/>
          <w:sz w:val="24"/>
          <w:lang w:val="en-US" w:eastAsia="zh-CN" w:bidi="ar-SA"/>
        </w:rPr>
      </w:pPr>
    </w:p>
    <w:p w14:paraId="64E57C43">
      <w:pPr>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bCs/>
          <w:color w:val="auto"/>
          <w:kern w:val="2"/>
          <w:sz w:val="24"/>
          <w:lang w:val="en-US" w:eastAsia="zh-CN" w:bidi="ar-SA"/>
        </w:rPr>
      </w:pPr>
      <w:r>
        <w:rPr>
          <w:rFonts w:hint="eastAsia" w:ascii="宋体" w:hAnsi="宋体" w:eastAsia="宋体" w:cs="宋体"/>
          <w:b/>
          <w:bCs/>
          <w:color w:val="auto"/>
          <w:kern w:val="2"/>
          <w:sz w:val="24"/>
          <w:lang w:val="en-US" w:eastAsia="zh-CN" w:bidi="ar-SA"/>
        </w:rPr>
        <w:t>4、服务质量日常监督</w:t>
      </w:r>
    </w:p>
    <w:p w14:paraId="0910B2CF">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1.采购人建立常态化日常监督机制，设立投诉举报电话、邮箱，接受社会及逝者家属的投诉反馈，投诉渠道向社会公布，中标服务商须配合采购人处理投诉。</w:t>
      </w:r>
    </w:p>
    <w:p w14:paraId="3CEFF6A1">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2.采购人可对中标服务商的日常服务工作进行随机抽查、实地检查，记录检查结果，检查结果作为年度考核的重要参考依据。</w:t>
      </w:r>
    </w:p>
    <w:p w14:paraId="1FB6183C">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3.中标服务商须每月向采购人提交服务工作月报，内容包括出车次数、车辆使用情况、人员在岗情况、投诉处理情况等，采购人有权对月报内容进行核实。</w:t>
      </w:r>
    </w:p>
    <w:p w14:paraId="0F06C54F">
      <w:pPr>
        <w:rPr>
          <w:rFonts w:hint="eastAsia" w:ascii="宋体" w:hAnsi="宋体" w:eastAsia="宋体" w:cs="宋体"/>
          <w:color w:val="auto"/>
          <w:lang w:val="en-US" w:eastAsia="zh-CN"/>
        </w:rPr>
      </w:pPr>
      <w:bookmarkStart w:id="5" w:name="_GoBack"/>
      <w:bookmarkEnd w:id="5"/>
    </w:p>
    <w:p w14:paraId="0AD7F8FE">
      <w:pPr>
        <w:keepNext w:val="0"/>
        <w:keepLines w:val="0"/>
        <w:pageBreakBefore w:val="0"/>
        <w:widowControl w:val="0"/>
        <w:kinsoku w:val="0"/>
        <w:wordWrap/>
        <w:overflowPunct/>
        <w:topLinePunct w:val="0"/>
        <w:autoSpaceDE w:val="0"/>
        <w:autoSpaceDN w:val="0"/>
        <w:bidi w:val="0"/>
        <w:adjustRightInd w:val="0"/>
        <w:snapToGrid w:val="0"/>
        <w:spacing w:before="78" w:line="360" w:lineRule="auto"/>
        <w:textAlignment w:val="baseline"/>
        <w:rPr>
          <w:rFonts w:hint="eastAsia" w:ascii="宋体" w:hAnsi="宋体" w:eastAsia="宋体" w:cs="宋体"/>
          <w:b/>
          <w:bCs/>
          <w:color w:val="auto"/>
          <w:spacing w:val="0"/>
          <w:sz w:val="28"/>
          <w:szCs w:val="28"/>
          <w:highlight w:val="none"/>
          <w:lang w:eastAsia="zh-CN"/>
        </w:rPr>
      </w:pPr>
      <w:r>
        <w:rPr>
          <w:rFonts w:hint="eastAsia" w:ascii="宋体" w:hAnsi="宋体" w:eastAsia="宋体" w:cs="宋体"/>
          <w:b/>
          <w:bCs/>
          <w:color w:val="auto"/>
          <w:spacing w:val="0"/>
          <w:sz w:val="28"/>
          <w:szCs w:val="28"/>
          <w:highlight w:val="none"/>
          <w:lang w:eastAsia="zh-CN"/>
        </w:rPr>
        <w:t>（二）商务条件</w:t>
      </w:r>
    </w:p>
    <w:p w14:paraId="5C4E9CFA">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1.付款方式：</w:t>
      </w:r>
      <w:r>
        <w:rPr>
          <w:rFonts w:hint="eastAsia" w:ascii="宋体" w:hAnsi="宋体" w:eastAsia="宋体" w:cs="宋体"/>
          <w:color w:val="auto"/>
          <w:sz w:val="24"/>
          <w:lang w:val="en-US" w:eastAsia="zh-CN"/>
        </w:rPr>
        <w:t>本项目无预付款，按季度支付劳务服务费用。每季度服务期满后，经采购人日常考核合格，中标服务商向采购人提供合法、有效、足额的增值</w:t>
      </w:r>
      <w:r>
        <w:rPr>
          <w:rFonts w:hint="eastAsia" w:ascii="宋体" w:hAnsi="宋体" w:eastAsia="宋体" w:cs="宋体"/>
          <w:b w:val="0"/>
          <w:bCs w:val="0"/>
          <w:color w:val="auto"/>
          <w:sz w:val="24"/>
          <w:lang w:val="en-US" w:eastAsia="zh-CN"/>
        </w:rPr>
        <w:t>税发票，采购人在收到发票后 15 个工作日内完成当季度服务费用的结算与支付；年度考核合格后，支付年度服务费用尾款（若有）</w:t>
      </w:r>
      <w:r>
        <w:rPr>
          <w:rFonts w:hint="eastAsia" w:ascii="宋体" w:hAnsi="宋体" w:eastAsia="宋体" w:cs="宋体"/>
          <w:b/>
          <w:bCs/>
          <w:color w:val="auto"/>
          <w:sz w:val="24"/>
          <w:lang w:val="en-US" w:eastAsia="zh-CN"/>
        </w:rPr>
        <w:t>。</w:t>
      </w:r>
    </w:p>
    <w:p w14:paraId="380A6791">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2.投标报价</w:t>
      </w:r>
      <w:r>
        <w:rPr>
          <w:rFonts w:hint="eastAsia" w:ascii="宋体" w:hAnsi="宋体" w:eastAsia="宋体" w:cs="宋体"/>
          <w:color w:val="auto"/>
          <w:sz w:val="24"/>
          <w:lang w:val="en-US" w:eastAsia="zh-CN"/>
        </w:rPr>
        <w:t>：所有投标报价均以人民币计价，报价为全包干固定价，包含派驻司机的工资、五险、法定节假日福利、加班费、夜班补贴、统一工服费、</w:t>
      </w:r>
      <w:r>
        <w:rPr>
          <w:rFonts w:hint="eastAsia" w:ascii="宋体" w:hAnsi="宋体" w:eastAsia="宋体" w:cs="宋体"/>
          <w:b w:val="0"/>
          <w:bCs w:val="0"/>
          <w:color w:val="auto"/>
          <w:sz w:val="24"/>
          <w:lang w:val="en-US" w:eastAsia="zh-CN"/>
        </w:rPr>
        <w:t>人员培训费、项目负责人管理费、企业利润、税金、办公耗材等所有与本项目相关的费用，采购人不再另行支付其他任何费用。</w:t>
      </w:r>
    </w:p>
    <w:p w14:paraId="1AE5BB6D">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color w:val="auto"/>
          <w:sz w:val="24"/>
          <w:lang w:val="en-US" w:eastAsia="zh-CN"/>
        </w:rPr>
      </w:pPr>
      <w:r>
        <w:rPr>
          <w:rFonts w:hint="eastAsia" w:ascii="宋体" w:hAnsi="宋体" w:eastAsia="宋体" w:cs="宋体"/>
          <w:b/>
          <w:bCs/>
          <w:color w:val="auto"/>
          <w:sz w:val="24"/>
          <w:lang w:val="en-US" w:eastAsia="zh-CN"/>
        </w:rPr>
        <w:t>3.禁止收费要求：</w:t>
      </w:r>
      <w:r>
        <w:rPr>
          <w:rFonts w:hint="eastAsia" w:ascii="宋体" w:hAnsi="宋体" w:eastAsia="宋体" w:cs="宋体"/>
          <w:color w:val="auto"/>
          <w:sz w:val="24"/>
          <w:lang w:val="en-US" w:eastAsia="zh-CN"/>
        </w:rPr>
        <w:t>中标服务商及所有派驻人员在服务过程中，不得向逝者家属收取任何形式的费用、索要或收受礼品礼金、有价证券等财物，一经发现，采购人有权立即终止合同，扣除未支付的服务费用，并追究中标服务商的违约责任。</w:t>
      </w:r>
    </w:p>
    <w:p w14:paraId="057B2617">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color w:val="auto"/>
          <w:sz w:val="24"/>
          <w:lang w:val="en-US" w:eastAsia="zh-CN"/>
        </w:rPr>
      </w:pPr>
      <w:r>
        <w:rPr>
          <w:rFonts w:hint="eastAsia" w:ascii="宋体" w:hAnsi="宋体" w:eastAsia="宋体" w:cs="宋体"/>
          <w:b/>
          <w:bCs/>
          <w:color w:val="auto"/>
          <w:sz w:val="24"/>
          <w:lang w:val="en-US" w:eastAsia="zh-CN"/>
        </w:rPr>
        <w:t>4.禁止转包分包：</w:t>
      </w:r>
      <w:r>
        <w:rPr>
          <w:rFonts w:hint="eastAsia" w:ascii="宋体" w:hAnsi="宋体" w:eastAsia="宋体" w:cs="宋体"/>
          <w:color w:val="auto"/>
          <w:sz w:val="24"/>
          <w:lang w:val="en-US" w:eastAsia="zh-CN"/>
        </w:rPr>
        <w:t>中标服务商签订合同后，不得将本项目的劳务服务转包、分包给其他任何单位或个人，否则采购人有权立即终止合同，并要求中标服务商赔偿损失。</w:t>
      </w:r>
    </w:p>
    <w:p w14:paraId="775B4509">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color w:val="auto"/>
          <w:sz w:val="24"/>
          <w:lang w:val="en-US" w:eastAsia="zh-CN"/>
        </w:rPr>
      </w:pPr>
      <w:r>
        <w:rPr>
          <w:rFonts w:hint="eastAsia" w:ascii="宋体" w:hAnsi="宋体" w:eastAsia="宋体" w:cs="宋体"/>
          <w:b/>
          <w:bCs/>
          <w:color w:val="auto"/>
          <w:sz w:val="24"/>
          <w:lang w:val="en-US" w:eastAsia="zh-CN"/>
        </w:rPr>
        <w:t>5.安全责任承担：</w:t>
      </w:r>
      <w:r>
        <w:rPr>
          <w:rFonts w:hint="eastAsia" w:ascii="宋体" w:hAnsi="宋体" w:eastAsia="宋体" w:cs="宋体"/>
          <w:color w:val="auto"/>
          <w:sz w:val="24"/>
          <w:lang w:val="en-US" w:eastAsia="zh-CN"/>
        </w:rPr>
        <w:t>服务过程中，因中标服务商派驻司机操作不当、违规驾驶、违反采购人管理制度等自身原因造成的交通事故、车辆损坏、人身财产损失、服务纠纷等问题，均由中标服务商全权负责处理，承担所有经济损失、法律责任及赔偿责任，采购人不承担任何连带责任。</w:t>
      </w:r>
    </w:p>
    <w:p w14:paraId="33E2D987">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color w:val="auto"/>
          <w:sz w:val="24"/>
          <w:lang w:val="en-US" w:eastAsia="zh-CN"/>
        </w:rPr>
      </w:pPr>
      <w:r>
        <w:rPr>
          <w:rFonts w:hint="eastAsia" w:ascii="宋体" w:hAnsi="宋体" w:eastAsia="宋体" w:cs="宋体"/>
          <w:b/>
          <w:bCs/>
          <w:color w:val="auto"/>
          <w:sz w:val="24"/>
          <w:lang w:val="en-US" w:eastAsia="zh-CN"/>
        </w:rPr>
        <w:t>6.履约要求：</w:t>
      </w:r>
      <w:r>
        <w:rPr>
          <w:rFonts w:hint="eastAsia" w:ascii="宋体" w:hAnsi="宋体" w:eastAsia="宋体" w:cs="宋体"/>
          <w:color w:val="auto"/>
          <w:sz w:val="24"/>
          <w:lang w:val="en-US" w:eastAsia="zh-CN"/>
        </w:rPr>
        <w:t>中标服务商须严格按照本采购需求及投标文件中的承诺提供服务，若未按要求履行义务，采购人有权根据情节轻重扣除相应服务费用，情节严重的，终止合同。</w:t>
      </w:r>
    </w:p>
    <w:p w14:paraId="679ABFE9">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7.合同终止情形</w:t>
      </w:r>
    </w:p>
    <w:p w14:paraId="15B15C4C">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除本需求约定的年度考核不合格情形外，若中标服务商出现以下情形之一，采购人有权单方面终止合同，不再续签，且中标服务商须承担相应违约责任，赔偿采购人的全部损失：</w:t>
      </w:r>
    </w:p>
    <w:p w14:paraId="4007FB9B">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1）派驻司机数量不足，经采购人书面通知后 7 个工作日内仍未补位的；</w:t>
      </w:r>
    </w:p>
    <w:p w14:paraId="2195F643">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2）因自身服务问题造成殡葬服务领域负面舆情，造成不良社会影响，且未及时消除的；</w:t>
      </w:r>
    </w:p>
    <w:p w14:paraId="44493663">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3）因自身原因导致采购人需委托萍乡市殡仪馆或其他殡仪服务公司完成遗体接运等工作的；</w:t>
      </w:r>
    </w:p>
    <w:p w14:paraId="7606D951">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4）项目负责人擅自更换，且未取得采购人书面同意的；</w:t>
      </w:r>
    </w:p>
    <w:p w14:paraId="43B9B36A">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5）拒不服从采购人统一管理、调度，多次推诿扯皮、消极怠工，严重影响殡葬服务工作开展的；</w:t>
      </w:r>
    </w:p>
    <w:p w14:paraId="13158337">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6）未按规定为派驻司机缴纳五险，引发劳动纠纷并造成采购人不良影响的；</w:t>
      </w:r>
    </w:p>
    <w:p w14:paraId="3223CB86">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7）被列入失信被执行人、重大税收违法失信主体等失信名单的；</w:t>
      </w:r>
    </w:p>
    <w:p w14:paraId="755D8C07">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8）存在其他严重违反本采购需求及合同约定行为的。</w:t>
      </w:r>
    </w:p>
    <w:p w14:paraId="73BC675B">
      <w:pPr>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9）所派驻司机存在无证驾驶、证件失效、资质挂靠、资质弄虚作假，或从业资格不符合采购文件及合同约定要求的。</w:t>
      </w:r>
    </w:p>
    <w:p w14:paraId="11B5B089">
      <w:pPr>
        <w:pageBreakBefore w:val="0"/>
        <w:widowControl w:val="0"/>
        <w:kinsoku/>
        <w:wordWrap/>
        <w:overflowPunct/>
        <w:topLinePunct w:val="0"/>
        <w:autoSpaceDE/>
        <w:autoSpaceDN/>
        <w:bidi w:val="0"/>
        <w:snapToGrid/>
        <w:spacing w:line="360" w:lineRule="auto"/>
        <w:ind w:firstLine="482" w:firstLineChars="200"/>
        <w:textAlignment w:val="auto"/>
        <w:rPr>
          <w:rFonts w:hint="eastAsia"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8.其他要求</w:t>
      </w:r>
    </w:p>
    <w:p w14:paraId="78A71194">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1）中标服务商须在合同签订后 3 个工作日内，将派驻司机的名单、驾驶证复印件、劳动合同原件、社保缴纳证明等资料报采购人备案。</w:t>
      </w:r>
    </w:p>
    <w:p w14:paraId="580D75F5">
      <w:pPr>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2）本采购需求未尽事宜，由双方在正式劳务外包合同中另行约定，合同约定内容与本需求具有同等法律效力。</w:t>
      </w:r>
    </w:p>
    <w:p w14:paraId="77897A6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pacing w:val="0"/>
          <w:sz w:val="22"/>
          <w:szCs w:val="22"/>
          <w:highlight w:val="none"/>
          <w:lang w:eastAsia="zh-CN"/>
        </w:rPr>
      </w:pPr>
    </w:p>
    <w:p w14:paraId="36FEF83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sz w:val="22"/>
          <w:szCs w:val="22"/>
          <w:highlight w:val="none"/>
          <w:lang w:eastAsia="zh-CN"/>
        </w:rPr>
      </w:pPr>
      <w:r>
        <w:rPr>
          <w:rFonts w:hint="eastAsia" w:ascii="宋体" w:hAnsi="宋体" w:eastAsia="宋体" w:cs="宋体"/>
          <w:b/>
          <w:bCs/>
          <w:color w:val="auto"/>
          <w:spacing w:val="0"/>
          <w:sz w:val="22"/>
          <w:szCs w:val="22"/>
          <w:highlight w:val="none"/>
          <w:lang w:eastAsia="zh-CN"/>
        </w:rPr>
        <w:t>备注：以上</w:t>
      </w:r>
      <w:r>
        <w:rPr>
          <w:rFonts w:hint="eastAsia" w:ascii="宋体" w:hAnsi="宋体" w:eastAsia="宋体" w:cs="宋体"/>
          <w:b/>
          <w:bCs/>
          <w:color w:val="auto"/>
          <w:spacing w:val="0"/>
          <w:sz w:val="22"/>
          <w:szCs w:val="22"/>
          <w:highlight w:val="none"/>
          <w:lang w:val="en-US" w:eastAsia="zh-CN"/>
        </w:rPr>
        <w:t>服务</w:t>
      </w:r>
      <w:r>
        <w:rPr>
          <w:rFonts w:hint="eastAsia" w:ascii="宋体" w:hAnsi="宋体" w:eastAsia="宋体" w:cs="宋体"/>
          <w:b/>
          <w:bCs/>
          <w:color w:val="auto"/>
          <w:spacing w:val="0"/>
          <w:sz w:val="22"/>
          <w:szCs w:val="22"/>
          <w:highlight w:val="none"/>
          <w:lang w:eastAsia="zh-CN"/>
        </w:rPr>
        <w:t>需求</w:t>
      </w:r>
      <w:r>
        <w:rPr>
          <w:rFonts w:hint="eastAsia" w:ascii="宋体" w:hAnsi="宋体" w:eastAsia="宋体" w:cs="宋体"/>
          <w:b/>
          <w:bCs/>
          <w:color w:val="auto"/>
          <w:spacing w:val="0"/>
          <w:sz w:val="22"/>
          <w:szCs w:val="22"/>
          <w:highlight w:val="none"/>
          <w:lang w:val="en-US" w:eastAsia="zh-CN"/>
        </w:rPr>
        <w:t>及</w:t>
      </w:r>
      <w:r>
        <w:rPr>
          <w:rFonts w:hint="eastAsia" w:ascii="宋体" w:hAnsi="宋体" w:eastAsia="宋体" w:cs="宋体"/>
          <w:b/>
          <w:bCs/>
          <w:color w:val="auto"/>
          <w:spacing w:val="0"/>
          <w:sz w:val="22"/>
          <w:szCs w:val="22"/>
          <w:highlight w:val="none"/>
          <w:lang w:eastAsia="zh-CN"/>
        </w:rPr>
        <w:t>商务要求为基本技术要求必须全部响应（即满足或优于商务要求），否则其响应无效。</w:t>
      </w:r>
    </w:p>
    <w:p w14:paraId="5FB0D872"/>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1FF74">
    <w:pPr>
      <w:pStyle w:val="4"/>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A0D6A4">
                          <w:pPr>
                            <w:pStyle w:val="4"/>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DA0D6A4">
                    <w:pPr>
                      <w:pStyle w:val="4"/>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63F08">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zh-CN" w:bidi="ar-SA"/>
      </w:rPr>
    </w:pPr>
    <w:r>
      <w:rPr>
        <w:rFonts w:ascii="Arial" w:hAnsi="Arial" w:eastAsia="Arial" w:cs="Arial"/>
        <w:snapToGrid w:val="0"/>
        <w:color w:val="000000"/>
        <w:sz w:val="18"/>
        <w:szCs w:val="21"/>
        <w:lang w:val="en-US" w:eastAsia="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18B818">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63</w:t>
                          </w:r>
                          <w:r>
                            <w:rPr>
                              <w:rFonts w:ascii="Arial" w:hAnsi="Arial" w:eastAsia="Arial" w:cs="Arial"/>
                              <w:snapToGrid w:val="0"/>
                              <w:color w:val="000000"/>
                              <w:sz w:val="18"/>
                              <w:szCs w:val="21"/>
                              <w:lang w:val="en-US" w:eastAsia="en-US"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AN+KJrOgIAAHEEAAAOAAAAAAAAAAEAIAAAAB8BAABkcnMvZTJvRG9j&#10;LnhtbFBLBQYAAAAABgAGAFkBAADLBQAAAAA=&#10;">
              <v:fill on="f" focussize="0,0"/>
              <v:stroke on="f" weight="0.5pt"/>
              <v:imagedata o:title=""/>
              <o:lock v:ext="edit" aspectratio="f"/>
              <v:textbox inset="0mm,0mm,0mm,0mm" style="mso-fit-shape-to-text:t;">
                <w:txbxContent>
                  <w:p w14:paraId="0818B818">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63</w:t>
                    </w:r>
                    <w:r>
                      <w:rPr>
                        <w:rFonts w:ascii="Arial" w:hAnsi="Arial" w:eastAsia="Arial" w:cs="Arial"/>
                        <w:snapToGrid w:val="0"/>
                        <w:color w:val="000000"/>
                        <w:sz w:val="18"/>
                        <w:szCs w:val="21"/>
                        <w:lang w:val="en-US" w:eastAsia="en-US" w:bidi="ar-S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BF6047"/>
    <w:rsid w:val="12522F0D"/>
    <w:rsid w:val="5C6B779F"/>
    <w:rsid w:val="6CC71613"/>
    <w:rsid w:val="6FB504F7"/>
    <w:rsid w:val="7FC708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列出段落1"/>
    <w:basedOn w:val="1"/>
    <w:qFormat/>
    <w:uiPriority w:val="0"/>
    <w:pPr>
      <w:ind w:left="720"/>
      <w:contextualSpacing/>
    </w:pPr>
    <w:rPr>
      <w:rFonts w:ascii="Times New Roman" w:hAnsi="Times New Roman" w:eastAsia="宋体" w:cs="Times New Roman"/>
      <w:szCs w:val="24"/>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4323</Words>
  <Characters>4385</Characters>
  <Lines>0</Lines>
  <Paragraphs>0</Paragraphs>
  <TotalTime>0</TotalTime>
  <ScaleCrop>false</ScaleCrop>
  <LinksUpToDate>false</LinksUpToDate>
  <CharactersWithSpaces>4418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2026-04-29T09:13:00Z</dcterms:created>
  <dc:creator>345yuqq</dc:creator>
  <cp:lastModifiedBy>Administrator</cp:lastModifiedBy>
  <dcterms:modified xsi:type="dcterms:W3CDTF">2026-05-15T08:39:09Z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eyJoZGlkIjoiMzBkMTg4ODk4MTgxYTljMTMxYTY3YjBhNTZkNWE1YzUiLCJ1c2VySWQiOiIzMzAzNjY3OTUifQ==</vt:lpwstr>
  </property>
  <property fmtid="{D5CDD505-2E9C-101B-9397-08002B2CF9AE}" pid="4" name="ICV">
    <vt:lpwstr>FC97DCE3DBBF47B193740B9128E16465_12</vt:lpwstr>
  </property>
</Properties>
</file>