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E1BA4">
      <w:pPr>
        <w:pStyle w:val="5"/>
        <w:keepNext w:val="0"/>
        <w:keepLines w:val="0"/>
        <w:pageBreakBefore w:val="0"/>
        <w:widowControl w:val="0"/>
        <w:wordWrap/>
        <w:overflowPunct/>
        <w:topLinePunct w:val="0"/>
        <w:bidi w:val="0"/>
        <w:adjustRightInd w:val="0"/>
        <w:spacing w:line="440" w:lineRule="exact"/>
        <w:jc w:val="both"/>
        <w:rPr>
          <w:rFonts w:hint="eastAsia" w:asciiTheme="minorEastAsia" w:hAnsiTheme="minorEastAsia" w:eastAsiaTheme="minorEastAsia" w:cstheme="minorEastAsia"/>
          <w:b/>
          <w:bCs/>
          <w:color w:val="auto"/>
          <w:kern w:val="2"/>
          <w:lang w:val="en-US" w:eastAsia="zh-CN"/>
        </w:rPr>
      </w:pPr>
      <w:r>
        <w:rPr>
          <w:rFonts w:hint="eastAsia" w:asciiTheme="minorEastAsia" w:hAnsiTheme="minorEastAsia" w:eastAsiaTheme="minorEastAsia" w:cstheme="minorEastAsia"/>
          <w:b/>
          <w:bCs/>
          <w:color w:val="auto"/>
          <w:kern w:val="2"/>
          <w:lang w:val="en-US" w:eastAsia="zh-CN"/>
        </w:rPr>
        <w:t>（一）项目概况</w:t>
      </w:r>
    </w:p>
    <w:p w14:paraId="10F83121">
      <w:pPr>
        <w:pStyle w:val="5"/>
        <w:keepNext w:val="0"/>
        <w:keepLines w:val="0"/>
        <w:pageBreakBefore w:val="0"/>
        <w:widowControl w:val="0"/>
        <w:kinsoku/>
        <w:wordWrap/>
        <w:overflowPunct/>
        <w:topLinePunct w:val="0"/>
        <w:autoSpaceDE w:val="0"/>
        <w:autoSpaceDN w:val="0"/>
        <w:bidi w:val="0"/>
        <w:adjustRightInd w:val="0"/>
        <w:snapToGrid/>
        <w:spacing w:line="440" w:lineRule="exact"/>
        <w:ind w:firstLine="480" w:firstLineChars="200"/>
        <w:jc w:val="both"/>
        <w:textAlignment w:val="auto"/>
        <w:rPr>
          <w:rFonts w:hint="eastAsia" w:asciiTheme="minorEastAsia" w:hAnsiTheme="minorEastAsia" w:eastAsiaTheme="minorEastAsia" w:cstheme="minorEastAsia"/>
          <w:b w:val="0"/>
          <w:bCs w:val="0"/>
          <w:color w:val="auto"/>
          <w:kern w:val="2"/>
          <w:highlight w:val="none"/>
          <w:lang w:val="en-US" w:eastAsia="zh-CN"/>
        </w:rPr>
      </w:pPr>
      <w:r>
        <w:rPr>
          <w:rFonts w:hint="eastAsia" w:asciiTheme="minorEastAsia" w:hAnsiTheme="minorEastAsia" w:eastAsiaTheme="minorEastAsia" w:cstheme="minorEastAsia"/>
          <w:b w:val="0"/>
          <w:bCs w:val="0"/>
          <w:color w:val="auto"/>
          <w:kern w:val="2"/>
          <w:highlight w:val="none"/>
          <w:lang w:val="en-US" w:eastAsia="zh-CN"/>
        </w:rPr>
        <w:t>按照《江西省赣西国土绿化示范项目实施方案》的工作要求，形成项目实施县国土绿化试点示范项目作业设计成果。主要包括营造林建设任务50803亩，其中包括中幼林抚育23186亩，退化林修复18576亩；现有林改培2989亩；人工造林6052亩，全部为人工造林（更新），全部为人工造林（配套建设作业便道约3公里）。</w:t>
      </w:r>
    </w:p>
    <w:p w14:paraId="120CE769">
      <w:pPr>
        <w:pStyle w:val="5"/>
        <w:keepNext w:val="0"/>
        <w:keepLines w:val="0"/>
        <w:pageBreakBefore w:val="0"/>
        <w:widowControl w:val="0"/>
        <w:numPr>
          <w:ilvl w:val="0"/>
          <w:numId w:val="1"/>
        </w:numPr>
        <w:kinsoku/>
        <w:wordWrap/>
        <w:overflowPunct/>
        <w:topLinePunct w:val="0"/>
        <w:autoSpaceDE w:val="0"/>
        <w:autoSpaceDN w:val="0"/>
        <w:bidi w:val="0"/>
        <w:adjustRightInd w:val="0"/>
        <w:snapToGrid/>
        <w:spacing w:line="440" w:lineRule="exact"/>
        <w:jc w:val="both"/>
        <w:textAlignment w:val="auto"/>
        <w:rPr>
          <w:rFonts w:hint="eastAsia" w:asciiTheme="minorEastAsia" w:hAnsiTheme="minorEastAsia" w:eastAsiaTheme="minorEastAsia" w:cstheme="minorEastAsia"/>
          <w:b/>
          <w:bCs/>
          <w:color w:val="auto"/>
          <w:kern w:val="2"/>
          <w:highlight w:val="none"/>
          <w:lang w:val="en-US" w:eastAsia="zh-CN"/>
        </w:rPr>
      </w:pPr>
      <w:r>
        <w:rPr>
          <w:rFonts w:hint="eastAsia" w:asciiTheme="minorEastAsia" w:hAnsiTheme="minorEastAsia" w:eastAsiaTheme="minorEastAsia" w:cstheme="minorEastAsia"/>
          <w:b/>
          <w:bCs/>
          <w:color w:val="auto"/>
          <w:kern w:val="2"/>
          <w:highlight w:val="none"/>
          <w:lang w:val="en-US" w:eastAsia="zh-CN"/>
        </w:rPr>
        <w:t>项目建设地点</w:t>
      </w:r>
    </w:p>
    <w:p w14:paraId="5A381A7B">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default" w:asciiTheme="minorEastAsia" w:hAnsiTheme="minorEastAsia" w:eastAsiaTheme="minorEastAsia" w:cstheme="minorEastAsia"/>
          <w:b/>
          <w:bCs/>
          <w:color w:val="auto"/>
          <w:kern w:val="2"/>
          <w:highlight w:val="none"/>
          <w:lang w:val="en-US" w:eastAsia="zh-CN"/>
        </w:rPr>
      </w:pPr>
      <w:r>
        <w:rPr>
          <w:rFonts w:hint="eastAsia" w:ascii="宋体" w:hAnsi="宋体" w:eastAsia="宋体" w:cs="宋体"/>
          <w:color w:val="auto"/>
          <w:spacing w:val="0"/>
          <w:position w:val="0"/>
          <w:sz w:val="24"/>
          <w:szCs w:val="24"/>
          <w:lang w:val="en-US" w:eastAsia="zh-CN"/>
        </w:rPr>
        <w:t>项目涉及13个乡镇：高洲乡、坊楼镇、湖上乡、荷塘乡、六市乡、路口镇、良坊镇、南岭乡、琴亭镇、三板桥乡、 闪石乡、升坊镇、神泉乡13个乡镇、两个国有林场:高天岩生态林场、玉壶山生态林场及海潭垦殖场。</w:t>
      </w:r>
    </w:p>
    <w:p w14:paraId="794FF040">
      <w:pPr>
        <w:pStyle w:val="5"/>
        <w:keepNext w:val="0"/>
        <w:keepLines w:val="0"/>
        <w:pageBreakBefore w:val="0"/>
        <w:widowControl w:val="0"/>
        <w:kinsoku/>
        <w:wordWrap/>
        <w:overflowPunct/>
        <w:topLinePunct w:val="0"/>
        <w:autoSpaceDE w:val="0"/>
        <w:autoSpaceDN w:val="0"/>
        <w:bidi w:val="0"/>
        <w:adjustRightInd w:val="0"/>
        <w:snapToGrid/>
        <w:spacing w:line="440" w:lineRule="exact"/>
        <w:jc w:val="both"/>
        <w:textAlignment w:val="auto"/>
        <w:rPr>
          <w:rFonts w:hint="eastAsia" w:asciiTheme="minorEastAsia" w:hAnsiTheme="minorEastAsia" w:eastAsiaTheme="minorEastAsia" w:cstheme="minorEastAsia"/>
          <w:b/>
          <w:bCs/>
          <w:color w:val="auto"/>
          <w:kern w:val="2"/>
          <w:lang w:val="en-US" w:eastAsia="zh-CN"/>
        </w:rPr>
      </w:pPr>
      <w:r>
        <w:rPr>
          <w:rFonts w:hint="eastAsia" w:asciiTheme="minorEastAsia" w:hAnsiTheme="minorEastAsia" w:eastAsiaTheme="minorEastAsia" w:cstheme="minorEastAsia"/>
          <w:b/>
          <w:bCs/>
          <w:color w:val="auto"/>
          <w:kern w:val="2"/>
          <w:lang w:val="en-US" w:eastAsia="zh-CN"/>
        </w:rPr>
        <w:t>（三）</w:t>
      </w:r>
      <w:r>
        <w:rPr>
          <w:rFonts w:hint="eastAsia" w:asciiTheme="minorEastAsia" w:hAnsiTheme="minorEastAsia" w:eastAsiaTheme="minorEastAsia" w:cstheme="minorEastAsia"/>
          <w:b/>
          <w:bCs/>
          <w:snapToGrid/>
          <w:color w:val="auto"/>
          <w:kern w:val="2"/>
          <w:sz w:val="24"/>
          <w:szCs w:val="24"/>
          <w:highlight w:val="none"/>
          <w:lang w:val="en-US" w:eastAsia="zh-CN" w:bidi="ar-SA"/>
        </w:rPr>
        <w:t>监理单位服务职责（包含但不限于）</w:t>
      </w:r>
    </w:p>
    <w:p w14:paraId="56AAA1ED">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服务范围包括实施全过程的</w:t>
      </w:r>
      <w:r>
        <w:rPr>
          <w:rFonts w:hint="eastAsia" w:asciiTheme="minorEastAsia" w:hAnsiTheme="minorEastAsia" w:cstheme="minorEastAsia"/>
          <w:b w:val="0"/>
          <w:bCs w:val="0"/>
          <w:snapToGrid/>
          <w:color w:val="auto"/>
          <w:kern w:val="2"/>
          <w:sz w:val="24"/>
          <w:szCs w:val="24"/>
          <w:highlight w:val="none"/>
          <w:lang w:val="en-US" w:eastAsia="zh-CN" w:bidi="ar-SA"/>
        </w:rPr>
        <w:t>监理</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服务。建设监理，包括项目施工全过程监管，保障施工质量符合验收标准，提供造价咨询等服务，严格控制项目成本；主要包含但不限于实现项目施工前作业图斑和技术措施计划上图，施工中进度监管和监理反馈,施工后质量核验和效果展示等功能；施工前、施工中、施工后进行影像记录，并按照业主需求制作图册和视频资料，以便全面记录和展示项目进程、建设效果；派驻人员负责资金使用的日常审核、凭证查验、进度款支付建议等，保障资金合理使用；负责项目全过程资料的收集、初审、整理、立卷和归档工作，确保资料完整有序；派驻现场巡查员，施工期间应全程入驻现场，核查工程进度、苗木质量、施工规范等，并与书面资料进行交叉验证，及时发现问题并解决。此外，还包括在授权范围内组织竣工验收及协助移交、中期评估、后期评价管理、全过程资金使用的监督管理、内审内控管理及资料档案收集归档等工作，全方位保障项目顺利推进。</w:t>
      </w:r>
    </w:p>
    <w:p w14:paraId="7AE06A3C">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1、小班现场核查</w:t>
      </w:r>
    </w:p>
    <w:p w14:paraId="1219F88F">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施工前：及时了解掌握项目涉及的所有小班现状，拍摄、制作详细的施工前影像资料，为后续施工提供基础参考。</w:t>
      </w:r>
    </w:p>
    <w:p w14:paraId="5A47EF34">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施工中：全程深入小班现场，检查施工进度是否符合计划安排，施工是否符合设计技术规范要求。重点核查采伐质量、山场清理、苗木的规格、植穴规格、种植密度、施肥量</w:t>
      </w:r>
      <w:r>
        <w:rPr>
          <w:rFonts w:hint="eastAsia" w:asciiTheme="minorEastAsia" w:hAnsiTheme="minorEastAsia" w:cstheme="minorEastAsia"/>
          <w:b w:val="0"/>
          <w:bCs w:val="0"/>
          <w:snapToGrid/>
          <w:color w:val="auto"/>
          <w:kern w:val="2"/>
          <w:sz w:val="24"/>
          <w:szCs w:val="24"/>
          <w:highlight w:val="none"/>
          <w:lang w:val="en-US" w:eastAsia="zh-CN" w:bidi="ar-SA"/>
        </w:rPr>
        <w:t>、</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作业便道规格等情况。同时，对施工过程中的关键节点和重要变化进行影像记录，及时发现并记录施工中出现的问题，对施工单位提交的资金支付申请进行审核把关，准确核验工程完成面积、质量等关键信息。</w:t>
      </w:r>
    </w:p>
    <w:p w14:paraId="0F942084">
      <w:pPr>
        <w:pStyle w:val="6"/>
        <w:keepNext w:val="0"/>
        <w:keepLines w:val="0"/>
        <w:pageBreakBefore w:val="0"/>
        <w:widowControl/>
        <w:kinsoku/>
        <w:wordWrap/>
        <w:overflowPunct/>
        <w:topLinePunct w:val="0"/>
        <w:autoSpaceDE/>
        <w:autoSpaceDN/>
        <w:bidi w:val="0"/>
        <w:adjustRightInd/>
        <w:snapToGrid/>
        <w:spacing w:line="440" w:lineRule="exact"/>
        <w:ind w:firstLine="480" w:firstLineChars="20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施工后：在项目竣工后，再次对小班进行全面核查，评估施工效果是否达到预期目标。检查苗木的成活率、生长状况等。对比施工前、施工中的影像资料，分析项目实施前后的变化情况，制作完整的施工后影像资料，为项目验收提供直观依据。</w:t>
      </w:r>
    </w:p>
    <w:p w14:paraId="73725CBE">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2、建设监理</w:t>
      </w:r>
    </w:p>
    <w:p w14:paraId="2E5DB9B3">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资金审核：派驻人员负责资金使用的日常审核、凭证查验、进度款支付建议等，保障资金合理使用；负责项目全过程资料的收集、初审、整理、立卷和归档工作，确保资料完整有序。</w:t>
      </w:r>
    </w:p>
    <w:p w14:paraId="4D126EC6">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合同管理：参与合同的起草、签订等工作，确保合同条款清晰、明确，符合法律法规和项目实际需求。在合同执行过程中，密切跟踪合同双方的履约情况，及时发现并解决合同纠纷，维护采购人的合法权益。定期对合同执行情况进行评估和总结，为后续项目合同管理提供经验参考。</w:t>
      </w:r>
    </w:p>
    <w:p w14:paraId="7BD69F4B">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进度管控：审核施工单位提交的施工总进度计划和月、周进度计划，制定详细的进度控制方案。通过定期召开进度协调会议、现场巡查等方式，及时掌握工程实际进度情况，对比计划进度，分析偏差原因，督促施工单位采取有效的赶工措施，确保项目按时竣工。</w:t>
      </w:r>
    </w:p>
    <w:p w14:paraId="405F5D07">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投资把控：建立健全投资控制体系，对项目资金的使用进行严格监督和管理。根据工程进度和合同约定，审核施工单位的工程款支付申请，确保资金支付合理、合规。定期对项目投资情况进行分析和总结，及时发现并纠正投资偏差，提高资金使用效率。</w:t>
      </w:r>
    </w:p>
    <w:p w14:paraId="5A34AA5A">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设计管理：在施工过程中，协助采购人处理设计变更事宜，组织设计单位、施工单位等相关各方进行沟通协调，确保设计变更的合理性和可行性，避免因设计变更导致工程延误和造价增加。</w:t>
      </w:r>
    </w:p>
    <w:p w14:paraId="591DEA13">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综合协调管理：组织召开项目协调会议，协调采购人、施工单位、设计单位等各方之间的关系，及时解决项目实施过程中出现的各种问题和矛盾。建立有效的沟通机制，确保信息传递及时、准确，保障项目顺利推进。</w:t>
      </w:r>
    </w:p>
    <w:p w14:paraId="5C5042D7">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安全管理：审查施工单位的安全生产许可证和安全生产规章制度，制定监理安全工作方案。定期对施工现场进行安全检查，重点检查施工人员的安全防护措施、施工设备的安全运行状况、施工现场的临时用电安全等，及时发现并消除安全隐患。对安全事故进行调查分析，提出处理意见和改进措施，督促施工单位落实安全生产责任。</w:t>
      </w:r>
    </w:p>
    <w:p w14:paraId="041009EA">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质量控制：制定详细的质量控制计划和质量检验标准，对工程施工质量进行全过程监督。从原材料的进场检验、构配件的质量检查到各分项工程、分部工程的质量验收，严格把关，确保工程质量符合国家和地方相关标准及设计要求。对质量问题及时下达整改通知，跟踪复查整改结果，对不合格工程坚决要求返工处理。</w:t>
      </w:r>
    </w:p>
    <w:p w14:paraId="3E0E4CBE">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文明施工监管：监督施工单位按照文明施工的要求进行现场管理，检查施工现场的环境卫生、材料堆放、临时设施搭建等情况，督促施工单位做到工完场清，减少施工对周边环境和居民生活的影响。对文明施工不达标的情况，及时提出整改要求，确保施工现场整洁、有序。</w:t>
      </w:r>
    </w:p>
    <w:p w14:paraId="451264BE">
      <w:pPr>
        <w:pStyle w:val="6"/>
        <w:keepNext w:val="0"/>
        <w:keepLines w:val="0"/>
        <w:pageBreakBefore w:val="0"/>
        <w:widowControl/>
        <w:kinsoku/>
        <w:wordWrap/>
        <w:overflowPunct/>
        <w:topLinePunct w:val="0"/>
        <w:autoSpaceDE/>
        <w:autoSpaceDN/>
        <w:bidi w:val="0"/>
        <w:adjustRightInd/>
        <w:snapToGrid/>
        <w:spacing w:line="440" w:lineRule="exact"/>
        <w:ind w:firstLine="560"/>
        <w:textAlignment w:val="auto"/>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环境保护监管：审查施工单位的环境保护措施和方案，监督施工单位在施工过程中落实生态保护和环境污染防治措施。检查施工现场的扬尘控制、噪声控制、废水处理、固体废弃物处理等情况，确保施工活动不对周边生态环境造成破坏，严格遵守国家和地方的环境保护法律法规。</w:t>
      </w:r>
    </w:p>
    <w:p w14:paraId="6DBF52AF">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baseline"/>
        <w:rPr>
          <w:rFonts w:hint="eastAsia" w:asciiTheme="minorEastAsia" w:hAnsiTheme="minorEastAsia" w:eastAsiaTheme="minorEastAsia" w:cstheme="minorEastAsia"/>
          <w:b w:val="0"/>
          <w:bCs w:val="0"/>
          <w:snapToGrid/>
          <w:color w:val="auto"/>
          <w:kern w:val="2"/>
          <w:sz w:val="24"/>
          <w:szCs w:val="24"/>
          <w:highlight w:val="none"/>
          <w:lang w:val="en-US" w:eastAsia="zh-CN" w:bidi="ar-SA"/>
        </w:rPr>
      </w:pPr>
      <w:r>
        <w:rPr>
          <w:rFonts w:hint="eastAsia" w:asciiTheme="minorEastAsia" w:hAnsiTheme="minorEastAsia" w:eastAsiaTheme="minorEastAsia" w:cstheme="minorEastAsia"/>
          <w:b/>
          <w:bCs/>
          <w:snapToGrid/>
          <w:color w:val="auto"/>
          <w:kern w:val="2"/>
          <w:sz w:val="24"/>
          <w:szCs w:val="24"/>
          <w:highlight w:val="none"/>
          <w:lang w:val="en-US" w:eastAsia="zh-CN" w:bidi="ar-SA"/>
        </w:rPr>
        <w:t>四）监理单位人员配置要求：</w:t>
      </w:r>
    </w:p>
    <w:p w14:paraId="1323A7B6">
      <w:pPr>
        <w:pStyle w:val="6"/>
        <w:keepNext w:val="0"/>
        <w:keepLines w:val="0"/>
        <w:pageBreakBefore w:val="0"/>
        <w:widowControl/>
        <w:kinsoku/>
        <w:wordWrap/>
        <w:overflowPunct/>
        <w:topLinePunct w:val="0"/>
        <w:autoSpaceDE/>
        <w:autoSpaceDN/>
        <w:bidi w:val="0"/>
        <w:adjustRightInd/>
        <w:snapToGrid/>
        <w:spacing w:line="420" w:lineRule="exact"/>
        <w:ind w:firstLine="442"/>
        <w:textAlignment w:val="auto"/>
        <w:rPr>
          <w:rFonts w:hint="eastAsia" w:ascii="宋体" w:hAnsi="宋体" w:eastAsia="宋体" w:cs="宋体"/>
          <w:sz w:val="24"/>
          <w:szCs w:val="24"/>
          <w:lang w:eastAsia="zh-CN"/>
        </w:rPr>
      </w:pP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人员配置要求：由于本项目工作量大、专业性强，要求投标人配备相应的专业服务团队，确保项目技术及进度满足采购人需求。</w:t>
      </w:r>
      <w:r>
        <w:rPr>
          <w:rFonts w:hint="eastAsia" w:asciiTheme="minorEastAsia" w:hAnsiTheme="minorEastAsia" w:cstheme="minorEastAsia"/>
          <w:b w:val="0"/>
          <w:bCs w:val="0"/>
          <w:snapToGrid/>
          <w:color w:val="auto"/>
          <w:kern w:val="2"/>
          <w:sz w:val="24"/>
          <w:szCs w:val="24"/>
          <w:highlight w:val="none"/>
          <w:lang w:val="en-US" w:eastAsia="zh-CN" w:bidi="ar-SA"/>
        </w:rPr>
        <w:t>总监1人</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，并提交满足该项要求的承诺函</w:t>
      </w:r>
      <w:r>
        <w:rPr>
          <w:rFonts w:hint="eastAsia" w:asciiTheme="minorEastAsia" w:hAnsiTheme="minorEastAsia" w:cstheme="minorEastAsia"/>
          <w:b w:val="0"/>
          <w:bCs w:val="0"/>
          <w:snapToGrid/>
          <w:color w:val="auto"/>
          <w:kern w:val="2"/>
          <w:sz w:val="24"/>
          <w:szCs w:val="24"/>
          <w:highlight w:val="none"/>
          <w:lang w:val="en-US" w:eastAsia="zh-CN" w:bidi="ar-SA"/>
        </w:rPr>
        <w:t>（自拟）</w:t>
      </w:r>
      <w:r>
        <w:rPr>
          <w:rFonts w:hint="eastAsia" w:asciiTheme="minorEastAsia" w:hAnsiTheme="minorEastAsia" w:eastAsiaTheme="minorEastAsia" w:cstheme="minorEastAsia"/>
          <w:b w:val="0"/>
          <w:bCs w:val="0"/>
          <w:snapToGrid/>
          <w:color w:val="auto"/>
          <w:kern w:val="2"/>
          <w:sz w:val="24"/>
          <w:szCs w:val="24"/>
          <w:highlight w:val="none"/>
          <w:lang w:val="en-US" w:eastAsia="zh-CN" w:bidi="ar-SA"/>
        </w:rPr>
        <w:t>。</w:t>
      </w:r>
      <w:r>
        <w:rPr>
          <w:rFonts w:hint="eastAsia" w:asciiTheme="minorEastAsia" w:hAnsiTheme="minorEastAsia" w:cstheme="minorEastAsia"/>
          <w:b w:val="0"/>
          <w:bCs w:val="0"/>
          <w:snapToGrid/>
          <w:color w:val="auto"/>
          <w:kern w:val="2"/>
          <w:sz w:val="24"/>
          <w:szCs w:val="24"/>
          <w:highlight w:val="none"/>
          <w:lang w:val="en-US" w:eastAsia="zh-CN" w:bidi="ar-SA"/>
        </w:rPr>
        <w:t>总监工程师须具备下列条件之一：（1）</w:t>
      </w:r>
      <w:r>
        <w:rPr>
          <w:rFonts w:ascii="宋体" w:hAnsi="宋体" w:eastAsia="宋体" w:cs="宋体"/>
          <w:sz w:val="24"/>
          <w:szCs w:val="24"/>
        </w:rPr>
        <w:t>持有注册专业为农林工程，由中华人民共和国人力资源社会保障部和住房和城市建设部用印的监理工程师执业资格证书的人员</w:t>
      </w:r>
      <w:r>
        <w:rPr>
          <w:rFonts w:hint="eastAsia" w:ascii="宋体" w:hAnsi="宋体" w:eastAsia="宋体" w:cs="宋体"/>
          <w:sz w:val="24"/>
          <w:szCs w:val="24"/>
          <w:lang w:val="en-US" w:eastAsia="zh-CN"/>
        </w:rPr>
        <w:t>。（2）</w:t>
      </w:r>
      <w:r>
        <w:rPr>
          <w:rFonts w:ascii="宋体" w:hAnsi="宋体" w:eastAsia="宋体" w:cs="宋体"/>
          <w:sz w:val="24"/>
          <w:szCs w:val="24"/>
        </w:rPr>
        <w:t>持有注册专业非农林工程</w:t>
      </w:r>
      <w:r>
        <w:rPr>
          <w:rFonts w:hint="eastAsia" w:ascii="宋体" w:hAnsi="宋体" w:eastAsia="宋体" w:cs="宋体"/>
          <w:sz w:val="24"/>
          <w:szCs w:val="24"/>
          <w:lang w:val="en-US" w:eastAsia="zh-CN"/>
        </w:rPr>
        <w:t>或</w:t>
      </w:r>
      <w:r>
        <w:rPr>
          <w:rFonts w:ascii="宋体" w:hAnsi="宋体" w:eastAsia="宋体" w:cs="宋体"/>
          <w:sz w:val="24"/>
          <w:szCs w:val="24"/>
        </w:rPr>
        <w:t>由中华人民共和国人力资源社会保障部、住房和城市建设部、交通运输部、水利部用印的监理工程师执业资格证书,并从事营造林工程监理工作两年以上的人员</w:t>
      </w:r>
      <w:r>
        <w:rPr>
          <w:rFonts w:hint="eastAsia" w:ascii="宋体" w:hAnsi="宋体" w:eastAsia="宋体" w:cs="宋体"/>
          <w:sz w:val="24"/>
          <w:szCs w:val="24"/>
          <w:lang w:val="en-US" w:eastAsia="zh-CN"/>
        </w:rPr>
        <w:t>。（3）</w:t>
      </w:r>
      <w:r>
        <w:rPr>
          <w:rFonts w:ascii="宋体" w:hAnsi="宋体" w:eastAsia="宋体" w:cs="宋体"/>
          <w:sz w:val="24"/>
          <w:szCs w:val="24"/>
        </w:rPr>
        <w:t>持有林业专业高级技术职称证书并持有中国林业工程建设协会</w:t>
      </w:r>
      <w:r>
        <w:rPr>
          <w:rFonts w:hint="eastAsia" w:ascii="宋体" w:hAnsi="宋体" w:eastAsia="宋体" w:cs="宋体"/>
          <w:sz w:val="24"/>
          <w:szCs w:val="24"/>
          <w:lang w:val="en-US" w:eastAsia="zh-CN"/>
        </w:rPr>
        <w:t>或林学会</w:t>
      </w:r>
      <w:r>
        <w:rPr>
          <w:rFonts w:ascii="宋体" w:hAnsi="宋体" w:eastAsia="宋体" w:cs="宋体"/>
          <w:sz w:val="24"/>
          <w:szCs w:val="24"/>
        </w:rPr>
        <w:t>颁发的《营造林工程监理工程师培训合格证书》的人员</w:t>
      </w:r>
      <w:r>
        <w:rPr>
          <w:rFonts w:hint="eastAsia" w:ascii="宋体" w:hAnsi="宋体" w:eastAsia="宋体" w:cs="宋体"/>
          <w:sz w:val="24"/>
          <w:szCs w:val="24"/>
          <w:lang w:eastAsia="zh-CN"/>
        </w:rPr>
        <w:t>。</w:t>
      </w:r>
    </w:p>
    <w:p w14:paraId="44D2522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napToGrid/>
          <w:color w:val="auto"/>
          <w:sz w:val="24"/>
          <w:szCs w:val="24"/>
          <w:lang w:val="en-US" w:eastAsia="zh-CN"/>
        </w:rPr>
      </w:pPr>
      <w:r>
        <w:rPr>
          <w:rFonts w:hint="eastAsia" w:ascii="宋体" w:hAnsi="宋体" w:eastAsia="宋体" w:cs="宋体"/>
          <w:snapToGrid/>
          <w:color w:val="auto"/>
          <w:sz w:val="24"/>
          <w:szCs w:val="24"/>
          <w:lang w:val="en-US" w:eastAsia="zh-CN"/>
        </w:rPr>
        <w:t>监理人员4人，须具备下列条件之一：（1）取得中国林业工程建设协会《营造林工程监理员培训合格证书》或</w:t>
      </w:r>
      <w:r>
        <w:rPr>
          <w:rFonts w:ascii="宋体" w:hAnsi="宋体" w:eastAsia="宋体" w:cs="宋体"/>
          <w:sz w:val="24"/>
          <w:szCs w:val="24"/>
        </w:rPr>
        <w:t>《营造林工程监理工程师培训合格证书》</w:t>
      </w:r>
      <w:r>
        <w:rPr>
          <w:rFonts w:hint="eastAsia" w:ascii="宋体" w:hAnsi="宋体" w:eastAsia="宋体" w:cs="宋体"/>
          <w:snapToGrid/>
          <w:color w:val="auto"/>
          <w:sz w:val="24"/>
          <w:szCs w:val="24"/>
          <w:lang w:val="en-US" w:eastAsia="zh-CN"/>
        </w:rPr>
        <w:t>，具有中专以上学历;（2）取得住房和城乡建设部、交通运输部、水利部等国家行业主管部门或省级以上国家林草管理部门颁发的监理员证书，从事林业工程建设相关业务工作不少于1年。</w:t>
      </w:r>
    </w:p>
    <w:p w14:paraId="4864A57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baseline"/>
        <w:rPr>
          <w:rFonts w:hint="default" w:asciiTheme="minorEastAsia" w:hAnsiTheme="minorEastAsia" w:eastAsiaTheme="minorEastAsia" w:cstheme="minorEastAsia"/>
          <w:b w:val="0"/>
          <w:bCs w:val="0"/>
          <w:snapToGrid/>
          <w:color w:val="auto"/>
          <w:kern w:val="2"/>
          <w:sz w:val="24"/>
          <w:szCs w:val="24"/>
          <w:highlight w:val="none"/>
          <w:lang w:val="en-US" w:eastAsia="zh-CN" w:bidi="ar-SA"/>
        </w:rPr>
      </w:pPr>
    </w:p>
    <w:p w14:paraId="5C7DE3FB">
      <w:pPr>
        <w:pStyle w:val="2"/>
        <w:rPr>
          <w:rFonts w:hint="default" w:asciiTheme="minorEastAsia" w:hAnsiTheme="minorEastAsia" w:eastAsiaTheme="minorEastAsia" w:cstheme="minorEastAsia"/>
          <w:b w:val="0"/>
          <w:bCs w:val="0"/>
          <w:snapToGrid/>
          <w:color w:val="auto"/>
          <w:kern w:val="2"/>
          <w:sz w:val="24"/>
          <w:szCs w:val="24"/>
          <w:highlight w:val="none"/>
          <w:lang w:val="en-US" w:eastAsia="zh-CN" w:bidi="ar-SA"/>
        </w:rPr>
      </w:pPr>
    </w:p>
    <w:p w14:paraId="6B41BBBA">
      <w:pPr>
        <w:rPr>
          <w:rFonts w:hint="default" w:asciiTheme="minorEastAsia" w:hAnsiTheme="minorEastAsia" w:eastAsiaTheme="minorEastAsia" w:cstheme="minorEastAsia"/>
          <w:b w:val="0"/>
          <w:bCs w:val="0"/>
          <w:snapToGrid/>
          <w:color w:val="auto"/>
          <w:kern w:val="2"/>
          <w:sz w:val="24"/>
          <w:szCs w:val="24"/>
          <w:highlight w:val="none"/>
          <w:lang w:val="en-US" w:eastAsia="zh-CN" w:bidi="ar-SA"/>
        </w:rPr>
      </w:pPr>
    </w:p>
    <w:p w14:paraId="163823A3">
      <w:pPr>
        <w:pStyle w:val="2"/>
        <w:rPr>
          <w:rFonts w:hint="default" w:asciiTheme="minorEastAsia" w:hAnsiTheme="minorEastAsia" w:eastAsiaTheme="minorEastAsia" w:cstheme="minorEastAsia"/>
          <w:b w:val="0"/>
          <w:bCs w:val="0"/>
          <w:snapToGrid/>
          <w:color w:val="auto"/>
          <w:kern w:val="2"/>
          <w:sz w:val="24"/>
          <w:szCs w:val="24"/>
          <w:highlight w:val="none"/>
          <w:lang w:val="en-US" w:eastAsia="zh-CN" w:bidi="ar-SA"/>
        </w:rPr>
      </w:pPr>
    </w:p>
    <w:p w14:paraId="75C74A0F">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72B3F7"/>
    <w:multiLevelType w:val="singleLevel"/>
    <w:tmpl w:val="4E72B3F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AF7F80"/>
    <w:rsid w:val="26AF7F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6">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2026-05-15T08:36:00Z</dcterms:created>
  <dc:creator>PC</dc:creator>
  <cp:lastModifiedBy>PC</cp:lastModifiedBy>
  <dcterms:modified xsi:type="dcterms:W3CDTF">2026-05-15T08:37:02Z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8E6078B4E31C420E97B2EF5FA4DAD5BD_11</vt:lpwstr>
  </property>
  <property fmtid="{D5CDD505-2E9C-101B-9397-08002B2CF9AE}" pid="4" name="KSOTemplateDocerSaveRecord">
    <vt:lpwstr>eyJoZGlkIjoiOGQwMjJmZWExMmM2MzVmZDQwOWQ1NDQwNzE0NGRjZjAiLCJ1c2VySWQiOiI0MDk3MDcxOTEifQ==</vt:lpwstr>
  </property>
</Properties>
</file>