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E2445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jc w:val="center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</w:pPr>
      <w:bookmarkStart w:id="1" w:name="_GoBack"/>
      <w:bookmarkEnd w:id="1"/>
      <w:bookmarkStart w:id="0" w:name="_Toc19467"/>
    </w:p>
    <w:p w14:paraId="0F048D4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jc w:val="center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  <w:t>一、</w:t>
      </w:r>
      <w:r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  <w:lang w:val="en-US" w:eastAsia="zh-CN"/>
        </w:rPr>
        <w:t>采购</w:t>
      </w:r>
      <w:r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  <w:t>需求表：</w:t>
      </w:r>
    </w:p>
    <w:p w14:paraId="7816446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jc w:val="center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</w:pPr>
    </w:p>
    <w:tbl>
      <w:tblPr>
        <w:tblStyle w:val="6"/>
        <w:tblW w:w="4999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781"/>
        <w:gridCol w:w="815"/>
        <w:gridCol w:w="5714"/>
      </w:tblGrid>
      <w:tr w14:paraId="336CA2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  <w:jc w:val="center"/>
        </w:trPr>
        <w:tc>
          <w:tcPr>
            <w:tcW w:w="1072" w:type="pct"/>
            <w:tcBorders>
              <w:right w:val="nil"/>
            </w:tcBorders>
          </w:tcPr>
          <w:p w14:paraId="4E560950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83" w:line="460" w:lineRule="exact"/>
              <w:ind w:left="1091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20320</wp:posOffset>
                  </wp:positionH>
                  <wp:positionV relativeFrom="paragraph">
                    <wp:posOffset>10160</wp:posOffset>
                  </wp:positionV>
                  <wp:extent cx="1842135" cy="1960880"/>
                  <wp:effectExtent l="0" t="0" r="5715" b="127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2135" cy="19608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  <w:t>名</w:t>
            </w:r>
          </w:p>
          <w:p w14:paraId="6E8EBA20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</w:p>
          <w:p w14:paraId="4742AD8E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</w:p>
          <w:p w14:paraId="36B85AE6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460" w:lineRule="exact"/>
              <w:ind w:left="481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  <w:t>内</w:t>
            </w:r>
          </w:p>
          <w:p w14:paraId="6F9F502E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</w:p>
          <w:p w14:paraId="5BBD746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460" w:lineRule="exact"/>
              <w:ind w:left="1311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490" w:type="pct"/>
            <w:tcBorders>
              <w:left w:val="nil"/>
            </w:tcBorders>
          </w:tcPr>
          <w:p w14:paraId="74269F11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</w:p>
          <w:p w14:paraId="1F45335B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</w:p>
          <w:p w14:paraId="775F5D5C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</w:p>
          <w:p w14:paraId="770581BF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460" w:lineRule="exact"/>
              <w:ind w:left="192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3437" w:type="pct"/>
          </w:tcPr>
          <w:p w14:paraId="43213FFA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</w:p>
          <w:p w14:paraId="43F0FD67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</w:p>
          <w:p w14:paraId="1C2181EF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4"/>
                <w:szCs w:val="24"/>
              </w:rPr>
            </w:pPr>
          </w:p>
          <w:p w14:paraId="1AFA9C84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萍乡市园林管理中心所辖绿地养护服务项目</w:t>
            </w:r>
          </w:p>
        </w:tc>
      </w:tr>
      <w:tr w14:paraId="4162D3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1562" w:type="pct"/>
            <w:gridSpan w:val="2"/>
          </w:tcPr>
          <w:p w14:paraId="3057310C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  <w:p w14:paraId="0C439B45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  <w:t>数量</w:t>
            </w:r>
          </w:p>
        </w:tc>
        <w:tc>
          <w:tcPr>
            <w:tcW w:w="3437" w:type="pct"/>
          </w:tcPr>
          <w:p w14:paraId="4CE23A8C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177C0B6A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4021C4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1562" w:type="pct"/>
            <w:gridSpan w:val="2"/>
          </w:tcPr>
          <w:p w14:paraId="06FD51EB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  <w:p w14:paraId="2014D83A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服务期限</w:t>
            </w:r>
          </w:p>
        </w:tc>
        <w:tc>
          <w:tcPr>
            <w:tcW w:w="3437" w:type="pct"/>
          </w:tcPr>
          <w:p w14:paraId="00F0A370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2026年6月1日至2027年5月31日</w:t>
            </w:r>
          </w:p>
          <w:p w14:paraId="6E23AEA2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（具体以合同约定为准）</w:t>
            </w:r>
          </w:p>
        </w:tc>
      </w:tr>
      <w:tr w14:paraId="344281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1562" w:type="pct"/>
            <w:gridSpan w:val="2"/>
          </w:tcPr>
          <w:p w14:paraId="1BB3D701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  <w:p w14:paraId="60078DC0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服务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  <w:t>地点</w:t>
            </w:r>
          </w:p>
        </w:tc>
        <w:tc>
          <w:tcPr>
            <w:tcW w:w="3437" w:type="pct"/>
          </w:tcPr>
          <w:p w14:paraId="5D757A70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34931490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采购人指定地点</w:t>
            </w:r>
          </w:p>
        </w:tc>
      </w:tr>
      <w:tr w14:paraId="0506D4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1562" w:type="pct"/>
            <w:gridSpan w:val="2"/>
          </w:tcPr>
          <w:p w14:paraId="764BF62B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  <w:p w14:paraId="50EA0D97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kern w:val="0"/>
                <w:sz w:val="24"/>
                <w:szCs w:val="24"/>
              </w:rPr>
              <w:t>备注</w:t>
            </w:r>
          </w:p>
        </w:tc>
        <w:tc>
          <w:tcPr>
            <w:tcW w:w="3437" w:type="pct"/>
          </w:tcPr>
          <w:p w14:paraId="1DFEAF3E">
            <w:pPr>
              <w:pStyle w:val="7"/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4297253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</w:pPr>
    </w:p>
    <w:p w14:paraId="49B8B2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41029B9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5985E1E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53D5364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4E9E8F5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5512927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50821204">
      <w:pPr>
        <w:pStyle w:val="2"/>
        <w:pageBreakBefore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0390C4DA">
      <w:pPr>
        <w:pageBreakBefore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339B1EFC">
      <w:pPr>
        <w:pStyle w:val="2"/>
        <w:pageBreakBefore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6A566865">
      <w:pPr>
        <w:pageBreakBefore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</w:rPr>
      </w:pPr>
    </w:p>
    <w:p w14:paraId="29F6AB0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jc w:val="center"/>
        <w:textAlignment w:val="baseline"/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8"/>
          <w:szCs w:val="28"/>
        </w:rPr>
        <w:t>二、采购需求</w:t>
      </w:r>
    </w:p>
    <w:bookmarkEnd w:id="0"/>
    <w:p w14:paraId="2D5B8921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一、项目概况</w:t>
      </w:r>
    </w:p>
    <w:p w14:paraId="17AB31EC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项目名称：萍乡市园林管理中心所辖绿地养护服务项目</w:t>
      </w:r>
    </w:p>
    <w:p w14:paraId="376DE01F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养护范围包括：</w:t>
      </w:r>
    </w:p>
    <w:p w14:paraId="767BE12C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公园广场绿地：鳌洲公园、秋收起义广场、鹅湖公园、人民公园、虎形公园、金螺峰公园、绿茵广场</w:t>
      </w:r>
    </w:p>
    <w:p w14:paraId="0953F774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道路绿化及周边绿地路段：建设路（部分）、跃进路（部分）、公园南路、山下路、昭萍路、站前路（萍乡站站前广场）、楚萍路、西环路、八一路（部分）、广场路、康庄路、南环路、宝塔路（萍麻路）、滨河东路绿道、滨河西路绿道、萍水南路绿道、萍水北路绿道、新城路、南正街（二级护岸绿化）以及路段街心绿地、口袋公园等。</w:t>
      </w:r>
    </w:p>
    <w:p w14:paraId="5E315272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卫生保洁：鳌洲公园、人民公园、绿茵广场环境卫生以及鹅湖公园的公厕保洁部分等。</w:t>
      </w:r>
    </w:p>
    <w:p w14:paraId="54368F28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养护总面积：约50公顷</w:t>
      </w:r>
    </w:p>
    <w:p w14:paraId="0833E73F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预算金额：约130万元（资金来源：城维费绿化养护专项经费）</w:t>
      </w:r>
    </w:p>
    <w:p w14:paraId="313F5730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二、服务期限</w:t>
      </w:r>
    </w:p>
    <w:p w14:paraId="559FEFF1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服务期限：2026年6月1日至2027年5月31日（具体以合同约定为准）。</w:t>
      </w:r>
    </w:p>
    <w:p w14:paraId="573B9B2D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三、养护内容与质量标准</w:t>
      </w:r>
    </w:p>
    <w:p w14:paraId="2951A4D5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（一）养护内容</w:t>
      </w:r>
    </w:p>
    <w:p w14:paraId="7991247F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包括但不限于：绿地内乔木、灌木、草坪、地被、竹类、水生植物的修剪、浇水、施肥、中耕除草、病虫害防治、防寒、补植；绿地垃圾清理；附属设施（园路、座椅、灯具、标识牌、护栏、树穴等）日常巡查维护；应急抢险（台风、暴雨、大雪等极端天气后的倒伏树木清理扶正）；约定区域的环境卫生或保洁。</w:t>
      </w:r>
    </w:p>
    <w:p w14:paraId="553FF0BF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重点说明事项：一年至少两次全覆盖病虫害防治施药、两次全覆盖施肥（药剂、肥料由采购方提供），日常补栽补种（一年两次集中栽植，苗木由采购方提供），极端天气应急抗旱、防冻抢险、冬季刷白等人工费用均包含在养护费用。</w:t>
      </w:r>
    </w:p>
    <w:p w14:paraId="34444E58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（二）质量标准</w:t>
      </w:r>
    </w:p>
    <w:p w14:paraId="7AD735F3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依据《萍乡市城市道路绿化养护管理标准》《萍乡市城市公园广场绿地养护管理标准》，本项目养护质量大体上执行二级养护管理标准（其中：秋收起义广场纪念碑周边等核心区域处执行一级养护管理标准），二级养护主要量化指标如下：</w:t>
      </w:r>
    </w:p>
    <w:tbl>
      <w:tblPr>
        <w:tblStyle w:val="4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9"/>
        <w:gridCol w:w="4261"/>
      </w:tblGrid>
      <w:tr w14:paraId="1D4C0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tblHeader/>
          <w:jc w:val="center"/>
        </w:trPr>
        <w:tc>
          <w:tcPr>
            <w:tcW w:w="2499" w:type="pct"/>
            <w:vAlign w:val="top"/>
          </w:tcPr>
          <w:p w14:paraId="214ABE1F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指标</w:t>
            </w:r>
          </w:p>
        </w:tc>
        <w:tc>
          <w:tcPr>
            <w:tcW w:w="2500" w:type="pct"/>
            <w:vAlign w:val="top"/>
          </w:tcPr>
          <w:p w14:paraId="7BA84849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二级养护标准</w:t>
            </w:r>
          </w:p>
        </w:tc>
      </w:tr>
      <w:tr w14:paraId="1A857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499" w:type="pct"/>
          </w:tcPr>
          <w:p w14:paraId="63F71AF2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行道树缺株率</w:t>
            </w:r>
          </w:p>
        </w:tc>
        <w:tc>
          <w:tcPr>
            <w:tcW w:w="2500" w:type="pct"/>
          </w:tcPr>
          <w:p w14:paraId="675BCF19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≤1%</w:t>
            </w:r>
          </w:p>
        </w:tc>
      </w:tr>
      <w:tr w14:paraId="5A1FB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499" w:type="pct"/>
          </w:tcPr>
          <w:p w14:paraId="7556AD35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树木枝叶受害率</w:t>
            </w:r>
          </w:p>
        </w:tc>
        <w:tc>
          <w:tcPr>
            <w:tcW w:w="2500" w:type="pct"/>
          </w:tcPr>
          <w:p w14:paraId="7FBAF4A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≤10%</w:t>
            </w:r>
          </w:p>
        </w:tc>
      </w:tr>
      <w:tr w14:paraId="4C229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499" w:type="pct"/>
          </w:tcPr>
          <w:p w14:paraId="7BE51183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树木树干受害率</w:t>
            </w:r>
          </w:p>
        </w:tc>
        <w:tc>
          <w:tcPr>
            <w:tcW w:w="2500" w:type="pct"/>
          </w:tcPr>
          <w:p w14:paraId="03DF26F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≤8%</w:t>
            </w:r>
          </w:p>
        </w:tc>
      </w:tr>
      <w:tr w14:paraId="3A04C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499" w:type="pct"/>
          </w:tcPr>
          <w:p w14:paraId="59413D3C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草坪覆盖度</w:t>
            </w:r>
          </w:p>
        </w:tc>
        <w:tc>
          <w:tcPr>
            <w:tcW w:w="2500" w:type="pct"/>
          </w:tcPr>
          <w:p w14:paraId="25FB691B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≥88%</w:t>
            </w:r>
          </w:p>
        </w:tc>
      </w:tr>
      <w:tr w14:paraId="598B63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499" w:type="pct"/>
          </w:tcPr>
          <w:p w14:paraId="75BD7B18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草坪斑秃面积</w:t>
            </w:r>
          </w:p>
        </w:tc>
        <w:tc>
          <w:tcPr>
            <w:tcW w:w="2500" w:type="pct"/>
          </w:tcPr>
          <w:p w14:paraId="4846D26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≤0.5㎡</w:t>
            </w:r>
          </w:p>
        </w:tc>
      </w:tr>
      <w:tr w14:paraId="410BA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499" w:type="pct"/>
          </w:tcPr>
          <w:p w14:paraId="552A3FA0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绿篱缺株</w:t>
            </w:r>
          </w:p>
        </w:tc>
        <w:tc>
          <w:tcPr>
            <w:tcW w:w="2500" w:type="pct"/>
          </w:tcPr>
          <w:p w14:paraId="5DEA5967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基本无缺株</w:t>
            </w:r>
          </w:p>
        </w:tc>
      </w:tr>
      <w:tr w14:paraId="027860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499" w:type="pct"/>
          </w:tcPr>
          <w:p w14:paraId="5F345B0E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竹类死竹、枯竹</w:t>
            </w:r>
          </w:p>
        </w:tc>
        <w:tc>
          <w:tcPr>
            <w:tcW w:w="2500" w:type="pct"/>
          </w:tcPr>
          <w:p w14:paraId="00AC107C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≤7%</w:t>
            </w:r>
          </w:p>
        </w:tc>
      </w:tr>
      <w:tr w14:paraId="6CFF2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499" w:type="pct"/>
          </w:tcPr>
          <w:p w14:paraId="46B45242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花卉缺株倒伏</w:t>
            </w:r>
          </w:p>
        </w:tc>
        <w:tc>
          <w:tcPr>
            <w:tcW w:w="2500" w:type="pct"/>
          </w:tcPr>
          <w:p w14:paraId="7ECECAC4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≤7%</w:t>
            </w:r>
          </w:p>
        </w:tc>
      </w:tr>
    </w:tbl>
    <w:p w14:paraId="0753F03A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四、考核与退出机制</w:t>
      </w:r>
    </w:p>
    <w:p w14:paraId="0FDCCF92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（一）考核方式</w:t>
      </w:r>
    </w:p>
    <w:p w14:paraId="60E33676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日巡查：采购人巡查人员每日抽查，发现问题通知责任人进行整改，未在1个工作日内落实整改的，每一处在月考核综合得分中额外扣除1分。</w:t>
      </w:r>
    </w:p>
    <w:p w14:paraId="1D478981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月考核：每月至少组织专业技术人员开展1次分组考核（每月不超过5次，分组考核可采取全面评估、专项考核、月度抽查或专项抽查等方式），取当月各次考核平均分为综合得分。（详见附件：萍乡市园林管理中心所辖绿地养护服务考核评分标准(试行））</w:t>
      </w:r>
    </w:p>
    <w:p w14:paraId="7BEE16E2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不定期考核：随机抽查持证园林绿化工每月签到并实际到岗，重要节假日、重大活动、应急任务等随时组织考核。</w:t>
      </w:r>
    </w:p>
    <w:p w14:paraId="4A82A756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（二）评分与罚则</w:t>
      </w:r>
    </w:p>
    <w:p w14:paraId="35FC1454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月考核满分为100分。</w:t>
      </w:r>
    </w:p>
    <w:p w14:paraId="01236C40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综合得分通过当月养护费是否全额支付挂钩：90分以上，全额支付；80—90分（不含90分）,每扣0.1分，在当月养护费中扣除50元后支付；70—80分（不含80分），80%支付当月养护费；低于70分,50%支付当月养护费，并进行书面预警。</w:t>
      </w:r>
    </w:p>
    <w:p w14:paraId="7C2BE2DE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出现以下情况之一，采购人有权单方解除合同，并要求供应商赔偿损失：养护质量连续两个月不达标（月考核综合得分低于70分）；未按约定配置足额作业人员；持证园林绿化工未签到或未实际到岗；未经甲方同意擅自转包或分包；发生安全事故；造成绿化植物大量死亡或设施严重损坏。</w:t>
      </w:r>
    </w:p>
    <w:p w14:paraId="11AA16B3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退出红线：持证园林绿化工累计一个月未到岗签到，或累计三次月考核综合得分低于70分，采购人有权单方解除合同并重新组织采购。</w:t>
      </w:r>
    </w:p>
    <w:p w14:paraId="3FD77E19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（三）养护工作量确认</w:t>
      </w:r>
    </w:p>
    <w:p w14:paraId="7F9CD680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供应商进场后15天内对实际养护面积、乔木数量等进行复核，向采购人提交差异报告；采购人在收到差异报告后15天内确认；逾期未反馈视为认可。</w:t>
      </w:r>
    </w:p>
    <w:p w14:paraId="2E701309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因城市发展新增或减少养护范围，增减部分按中标单价结算。</w:t>
      </w:r>
    </w:p>
    <w:p w14:paraId="373F5221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五、人员与设备配置</w:t>
      </w:r>
    </w:p>
    <w:p w14:paraId="3434F366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（一）人员配置</w:t>
      </w:r>
    </w:p>
    <w:p w14:paraId="37CD055A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供应商对本项目实际岗参与养护人数不少于24人，最终选定单位需同现有园林绿地养护人员做好工作衔接。须在响应文件中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提供承诺函，格式自拟。</w:t>
      </w:r>
    </w:p>
    <w:p w14:paraId="50548D18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（二）设备配置</w:t>
      </w:r>
    </w:p>
    <w:p w14:paraId="5AA8B143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供应商须自行配置以下最低限度的机械设备：</w:t>
      </w:r>
    </w:p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9"/>
        <w:gridCol w:w="2839"/>
        <w:gridCol w:w="2841"/>
      </w:tblGrid>
      <w:tr w14:paraId="041B6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68F1163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设备名称</w:t>
            </w:r>
          </w:p>
        </w:tc>
        <w:tc>
          <w:tcPr>
            <w:tcW w:w="1666" w:type="pct"/>
          </w:tcPr>
          <w:p w14:paraId="63D171D3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最低数量</w:t>
            </w:r>
          </w:p>
        </w:tc>
        <w:tc>
          <w:tcPr>
            <w:tcW w:w="1667" w:type="pct"/>
          </w:tcPr>
          <w:p w14:paraId="2CC2FC69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</w:t>
            </w:r>
          </w:p>
        </w:tc>
      </w:tr>
      <w:tr w14:paraId="7DE44E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23FC37C7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洒水车（8吨）</w:t>
            </w:r>
          </w:p>
        </w:tc>
        <w:tc>
          <w:tcPr>
            <w:tcW w:w="1666" w:type="pct"/>
          </w:tcPr>
          <w:p w14:paraId="7583DEBB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1辆</w:t>
            </w:r>
          </w:p>
        </w:tc>
        <w:tc>
          <w:tcPr>
            <w:tcW w:w="1667" w:type="pct"/>
          </w:tcPr>
          <w:p w14:paraId="13F6283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可租赁，但须保证应急响应</w:t>
            </w:r>
          </w:p>
        </w:tc>
      </w:tr>
      <w:tr w14:paraId="75607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2273624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垃圾清运车</w:t>
            </w:r>
          </w:p>
        </w:tc>
        <w:tc>
          <w:tcPr>
            <w:tcW w:w="1666" w:type="pct"/>
          </w:tcPr>
          <w:p w14:paraId="5E0199FE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1辆</w:t>
            </w:r>
          </w:p>
        </w:tc>
        <w:tc>
          <w:tcPr>
            <w:tcW w:w="1667" w:type="pct"/>
          </w:tcPr>
          <w:p w14:paraId="0EFC00D1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—</w:t>
            </w:r>
          </w:p>
        </w:tc>
      </w:tr>
      <w:tr w14:paraId="2C550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60F87B9E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绿篱机</w:t>
            </w:r>
          </w:p>
        </w:tc>
        <w:tc>
          <w:tcPr>
            <w:tcW w:w="1666" w:type="pct"/>
          </w:tcPr>
          <w:p w14:paraId="7AC57EAB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4台</w:t>
            </w:r>
          </w:p>
        </w:tc>
        <w:tc>
          <w:tcPr>
            <w:tcW w:w="1667" w:type="pct"/>
          </w:tcPr>
          <w:p w14:paraId="65B8BD9D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—</w:t>
            </w:r>
          </w:p>
        </w:tc>
      </w:tr>
      <w:tr w14:paraId="288A1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4E689091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割灌机</w:t>
            </w:r>
          </w:p>
        </w:tc>
        <w:tc>
          <w:tcPr>
            <w:tcW w:w="1666" w:type="pct"/>
          </w:tcPr>
          <w:p w14:paraId="7F716131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4台</w:t>
            </w:r>
          </w:p>
        </w:tc>
        <w:tc>
          <w:tcPr>
            <w:tcW w:w="1667" w:type="pct"/>
          </w:tcPr>
          <w:p w14:paraId="58ADA3BC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—</w:t>
            </w:r>
          </w:p>
        </w:tc>
      </w:tr>
      <w:tr w14:paraId="4039C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1F0D4E87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草坪修剪机</w:t>
            </w:r>
          </w:p>
        </w:tc>
        <w:tc>
          <w:tcPr>
            <w:tcW w:w="1666" w:type="pct"/>
          </w:tcPr>
          <w:p w14:paraId="3C5A6A6B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2台</w:t>
            </w:r>
          </w:p>
        </w:tc>
        <w:tc>
          <w:tcPr>
            <w:tcW w:w="1667" w:type="pct"/>
          </w:tcPr>
          <w:p w14:paraId="17E546B8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—</w:t>
            </w:r>
          </w:p>
        </w:tc>
      </w:tr>
      <w:tr w14:paraId="04DD6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7D91CD00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打药机（喷雾器）</w:t>
            </w:r>
          </w:p>
        </w:tc>
        <w:tc>
          <w:tcPr>
            <w:tcW w:w="1666" w:type="pct"/>
          </w:tcPr>
          <w:p w14:paraId="29DE14F3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2台</w:t>
            </w:r>
          </w:p>
        </w:tc>
        <w:tc>
          <w:tcPr>
            <w:tcW w:w="1667" w:type="pct"/>
          </w:tcPr>
          <w:p w14:paraId="2E366B5F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—</w:t>
            </w:r>
          </w:p>
        </w:tc>
      </w:tr>
      <w:tr w14:paraId="30BA2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66" w:type="pct"/>
          </w:tcPr>
          <w:p w14:paraId="7BE371C9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油锯</w:t>
            </w:r>
          </w:p>
        </w:tc>
        <w:tc>
          <w:tcPr>
            <w:tcW w:w="1666" w:type="pct"/>
          </w:tcPr>
          <w:p w14:paraId="5B49A309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2台</w:t>
            </w:r>
          </w:p>
        </w:tc>
        <w:tc>
          <w:tcPr>
            <w:tcW w:w="1667" w:type="pct"/>
          </w:tcPr>
          <w:p w14:paraId="5AD5855A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—</w:t>
            </w:r>
          </w:p>
        </w:tc>
      </w:tr>
      <w:tr w14:paraId="14920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6" w:type="pct"/>
          </w:tcPr>
          <w:p w14:paraId="2939EAC8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高枝锯</w:t>
            </w:r>
          </w:p>
        </w:tc>
        <w:tc>
          <w:tcPr>
            <w:tcW w:w="1666" w:type="pct"/>
          </w:tcPr>
          <w:p w14:paraId="73E186BE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2把</w:t>
            </w:r>
          </w:p>
        </w:tc>
        <w:tc>
          <w:tcPr>
            <w:tcW w:w="1667" w:type="pct"/>
          </w:tcPr>
          <w:p w14:paraId="3795E6BB">
            <w:pPr>
              <w:pageBreakBefore w:val="0"/>
              <w:widowControl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—</w:t>
            </w:r>
          </w:p>
        </w:tc>
      </w:tr>
    </w:tbl>
    <w:p w14:paraId="6EAA73BF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说明：鼓励采用小型化、轻量化设备；大型设备（洒水车、高空作业车）可通过租赁方式解决，须在响应文件中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提供设备配置承诺函，格式自拟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。</w:t>
      </w:r>
    </w:p>
    <w:p w14:paraId="6F43D7BF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六、安全作业与文明施工</w:t>
      </w:r>
    </w:p>
    <w:p w14:paraId="687A3F6D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安全责任：供应商对养护作业全过程安全生产负全责，包括人员人身安全、第三方安全、交通安全、消防安全等。后续花费及所需全部费用均包含在投标金额内。</w:t>
      </w:r>
    </w:p>
    <w:p w14:paraId="097075AF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作业规范：修剪、打药、机械操作等须严格执行《萍乡市城市道路绿化养护管理标准》第7章、《萍乡市城市公园广场绿地养护管理标准》第8章的规定。</w:t>
      </w:r>
    </w:p>
    <w:p w14:paraId="5CC3184B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修剪作业须设安全员，树下专人指挥；大树修剪一人一树；四级以上大风停止作业。</w:t>
      </w:r>
    </w:p>
    <w:p w14:paraId="0BD3A8B5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打药避开人流高峰，选择无风晴朗天气，设置警示牌。</w:t>
      </w:r>
    </w:p>
    <w:p w14:paraId="37150F19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涉及高压线、交通信号灯等设施时，提前与相关部门协调。</w:t>
      </w:r>
    </w:p>
    <w:p w14:paraId="3AEEEAF0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文明施工：作业人员统一着装，佩戴安全帽；施工区域围挡，垃圾日产日清；夜间作业设置警示灯。</w:t>
      </w:r>
    </w:p>
    <w:p w14:paraId="4C3EE127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保险要求：中标供应商须在中标后投保雇主责任险、公众责任险（保额不低于300万元）。投保保单复印件报采购人备案，所需费用均包含在投标金额内。</w:t>
      </w:r>
    </w:p>
    <w:p w14:paraId="707AD6E7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七、档案与信息化管理</w:t>
      </w:r>
    </w:p>
    <w:p w14:paraId="53403982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年度养护计划：根据养护标准，突出全年重点养护任务；根据本地实际，明确全年各个季节养护要点。</w:t>
      </w:r>
    </w:p>
    <w:p w14:paraId="59D28DC4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月度计划：根据气象和绿地实际，明确下月养护要点和重点养护植物的养护安排，统筹人工安排和设备调度，做好应急响应。</w:t>
      </w:r>
    </w:p>
    <w:p w14:paraId="0D138984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养护台账：建立“一园一档、一路一档”养护档案，记录浇水、修剪、施肥、病虫害防治、补植等作业时间、内容、用量。</w:t>
      </w:r>
    </w:p>
    <w:p w14:paraId="23154BA6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月度报告：每月向采购人提交养护月报，包括作业完成情况、存在问题、下月计划。</w:t>
      </w:r>
    </w:p>
    <w:p w14:paraId="679D9DE2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年度评估：配合采购人完成“一年一评估”工作。</w:t>
      </w:r>
    </w:p>
    <w:p w14:paraId="511A5E4E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影像资料：重要节点（修剪前后、病虫害发生与防治、补植）留存带水印照片或视频，纳入档案备查。</w:t>
      </w:r>
    </w:p>
    <w:p w14:paraId="43F8B643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八、其他要求</w:t>
      </w:r>
    </w:p>
    <w:p w14:paraId="3F1CD9CB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应急响应：遇台风、暴雨、暴雪等极端天气，供应商须在接到采购人通知后30分钟内到达现场，并及时处置倒伏树木、清理断枝等。</w:t>
      </w:r>
    </w:p>
    <w:p w14:paraId="6D9399F7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节假日保障：国家法定假日、省运会等重大活动期间，供应商须增加保洁和巡查频次，服从采购人调度。</w:t>
      </w:r>
    </w:p>
    <w:p w14:paraId="6DF5D967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绿化垃圾处理：修剪下的枝叶、草屑等绿化垃圾须日产日清，不得在绿地内堆放或焚烧；鼓励堆肥循环利用。</w:t>
      </w:r>
    </w:p>
    <w:p w14:paraId="55C74B29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古树名木保护：养护区域内如有古树名木，须按《江西省古树名木养护复壮技术规程》执行，并设置专项保护措施。</w:t>
      </w:r>
    </w:p>
    <w:p w14:paraId="3FF40630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九、商务要求</w:t>
      </w:r>
    </w:p>
    <w:p w14:paraId="5C9446E9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1.服务地点：采购人指定地点</w:t>
      </w:r>
    </w:p>
    <w:p w14:paraId="575417C2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2.合同履行期限：2026年6月1日至2027年5月31日（具体以合同约定为准）。</w:t>
      </w:r>
    </w:p>
    <w:p w14:paraId="0DCE1732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付款方式：综合得分通过当月养护费是否全额支付挂钩，90分以上，全额支付；80—90分（不含90分）,每扣0.1分，在当月养护费中扣除50元后支付；70—80分（不含80分），80%支付当月养护费；低于70分,50%支付当月养护费，并进行书面预警。</w:t>
      </w:r>
    </w:p>
    <w:p w14:paraId="23B59414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</w:pPr>
    </w:p>
    <w:p w14:paraId="3EC86319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</w:pPr>
    </w:p>
    <w:p w14:paraId="01FDA7BB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</w:pPr>
    </w:p>
    <w:p w14:paraId="6E85CF74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  <w:t>附：《萍乡市园林管理中心所辖绿地养护服务考核评分标准(试行）》</w:t>
      </w:r>
    </w:p>
    <w:p w14:paraId="5961F34A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</w:pPr>
    </w:p>
    <w:tbl>
      <w:tblPr>
        <w:tblStyle w:val="3"/>
        <w:tblW w:w="0" w:type="auto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"/>
        <w:gridCol w:w="769"/>
        <w:gridCol w:w="2070"/>
        <w:gridCol w:w="2059"/>
        <w:gridCol w:w="868"/>
        <w:gridCol w:w="463"/>
        <w:gridCol w:w="475"/>
        <w:gridCol w:w="475"/>
        <w:gridCol w:w="787"/>
      </w:tblGrid>
      <w:tr w14:paraId="2911D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A6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7F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考核组别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CD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具体考核内容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25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考评方式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7E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综合评估分值占比（%）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09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评分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7E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整改情况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3D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实际得分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E7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5903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D1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64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综合绿地养护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758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抽取公园、广场、路段或其他绿化区域其中一处，检查是否有死树死苗、枯枝败叶、杂草杂树、病虫枝叶；行道树规范修剪、孽生芽清理到位、按时刷白，检查是否有枯枝败叶、病虫枝叶，歪斜，缺株，损树。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F2212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每发现一处扣除分值的2%，扣完为止。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08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A063C7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E24262B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BD9BABA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36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仅作为单独分组考核进行月度抽查</w:t>
            </w:r>
          </w:p>
        </w:tc>
      </w:tr>
      <w:tr w14:paraId="4DEA8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80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3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植物长势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1CCB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1.乔木（30%）：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树冠完整，长势良好，树形优美，枝叶健壮，叶色浓绿；无明显死树缺株枯枝残叶；树干基本挺直无明显倾斜。绿地内的古树名木按《江西省古树名木保护条例》有关规定进行养管。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2.灌木（30%）：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生长势强，枝叶健壮，叶色鲜明，植株丰满；无明显死株枯枝残叶，植株规格大小基本一致，枝条疏密得当，通风透光，花坛轮廓清晰，无残缺，绿篱无断层。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3.草坪及地被（20%）：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生长旺盛，整齐美观，高度一致，无凹凸感，覆盖率100%，一级养护杂草率≤3%，二级养护杂草率≤5%。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4.时令花卉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和竹类、水生植物等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（20%）：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植株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生长旺盛，造型美观，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开花植株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花繁叶茂，色彩艳丽，适时开花，花期基本一致。（如无时令花卉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，此项2分计入乔木。）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6CDC9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每类植物长势良好得总分值的100%-80%；长势一般得总分值的80%-60%；长势较弱得总分值的60%-30%；长势较差得总分值的30%-0%。四类植物分别打分，相加为总分。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E1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94916C8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E81EF4C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15BE32B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84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单独分组考核时扣除分值按比例换算。</w:t>
            </w:r>
          </w:p>
        </w:tc>
      </w:tr>
      <w:tr w14:paraId="64216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EB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3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植物修剪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C62D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乔木：保持常态化植物修剪，采取整形技术逐年形成三级分枝骨架；观花类树种在花芽分化前完成修剪；修剪符合规范要求，下缘线高度不影响交通安全及行人通行；及时剪除树木徒长枝、病虫枝、伤损枝、断折枝、衰弱枝、交叉枝、重叠枝、下垂枝及妨碍架空线、交通安全设施的枝条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灌木：植物保持常态管理，杜绝突击修剪，剪后残枝随剪随清。修剪须符合植物的生长特性，开花植物既造型美观又能适时开花，花多色艳，花灌木在花芽分化前进行修剪，避免把花芽剪掉，花谢后及时将残花残枝摘除、修剪；绿篱和花坛整形须和周围环境协调，线条流畅，轮廓清晰，确保景观效果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草坪和地被植物：草坪的修剪须根据季节特点和草种的习性和观赏效果，进行定期修剪，高度控制合理，掌握“修剪1/3,保留2/3”的原则，暖季型草坪高度一般保持在5cm以下，冷季型草坪一般保持在10cm以下，草坪面貌达到基本平整，剪下的草屑及时清理；地被植物修剪应高度一致，边缘整齐，观花地被植物花茎过高的，须在开花后适当压低，观花地被应在花芽分化前完成修剪，枯叶残花应及时剪除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4.时令花卉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和竹类、水生植物等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：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及时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修剪黄叶，清除死株枯叶；时令花卉开花后及时摘除残花。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CC72C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1.乔木、灌木、草坪和地被植物：及时修剪得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分值的100%-70%；未常态化修剪得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分值的70%-40%；修剪严重滞后得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分值的40%-0%。未按规范修剪每发现一处额外在基础分值上扣除0.3分，扣完为止；（单独分组考核时扣除分值按比例换算。）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2.时令花卉等：未达标准要求，每发现一处额外在基础分值上扣除0.3分，扣完为止。（单独分组考核时扣除分值按比例换算。）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B8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B157972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817065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303A094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84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单独分组考核时扣除分值按比例换算。</w:t>
            </w:r>
          </w:p>
        </w:tc>
      </w:tr>
      <w:tr w14:paraId="17116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60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12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松土除草及施肥管理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79EA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1.及时松土除草，保持土壤疏松。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2.乔、灌木及时整穴，基部无杂草束缚；草坪与各类乔、灌木、草花应及时切边、规范设置分隔带。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3.绿篱、地被、草坪内无明显杂草。草坪除草杜绝机械修剪，应人工除草确保清除杂草根系，要求乔木、灌木无杂草伴生。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应根据植物生长需要、树种和土壤肥力情况，合理施肥，平衡土壤中各种矿质营养元素，保持土壤肥力和合理结构。每年集中施肥至少2次，春秋两季为重点施肥时期。观花木本植物应分别在花芽分化前和花后各施肥1次，遵循“薄肥勤施”的原则，科学规范施肥。并根据植物种类采用沟施、撒施、穴施、孔施、环施或叶面喷施等施肥方式，沟施、穴施均应少伤地表根，施肥后应进行1次浇灌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E860D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未达标准要求，每发现一处额外在基础分值上扣除0.2分，扣完为止。（单独分组考核时扣除分值按比例换算。）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00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B410705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2C57CD0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019A4B6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05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单独分组考核时扣除分值按比例换算。</w:t>
            </w:r>
          </w:p>
        </w:tc>
      </w:tr>
      <w:tr w14:paraId="096C4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A9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EE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病虫害防治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537C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1.植物病虫害防治工作及时有效，无明显病虫害危害，植物无明显有害生物危害。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2.使用药剂严格按操作规程和有关规定进行配比、用量正确，无药害产生。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3.结合冬季清园、树干涂白、及时修剪清理病虫枝、虫茧等有关病原体。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501E3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1.防治不及时，导致植物受害轻微得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分值的100%-70%；有明显植物病虫危害得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分值的70%-40%；植物病虫害严重大面积受害的得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分值的40%-0%。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2.未按规范防治每发现一处额外在基础分值上扣除0.3分，扣完为止。（单独分组考核时扣除分值按比例换算。）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3C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94363DB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60B8FB4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E44FBCE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D5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单独分组考核时扣除分值按比例换算。</w:t>
            </w:r>
          </w:p>
        </w:tc>
      </w:tr>
      <w:tr w14:paraId="166CA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3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C6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浇灌排水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8D5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1.根据土壤环境和土质特点等实际情况，制定好抗旱保苗工作方案，确保植物安全度过高温干旱季节，适时浇水，浇水应浇透，确保植物正常生长。加强用水管理，合理浇灌，杜绝在用水过程中跑漏等浪费现象。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2.绿地内不积水，坑洼处及时填平、确保雨后积水及时排除。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235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1.浇水不及时，植物轻微缺水的得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分值的100%-70%；植物明显缺水萎蔫的得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分值的70%-40%；植物整株成片缺水死亡的得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基础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分值的40%-0%。未制定抗旱保苗方案（排班）在基础分值上扣除1分，扣完为止。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2.绿地有积水的发现一处额外在基础分值上扣除0.2分，扣完为止。（单独分组考核时扣除分值按比例换算。）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90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4EDBF98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3E5B21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DC09946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31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单独分组考核时扣除分值按比例换算。</w:t>
            </w:r>
          </w:p>
        </w:tc>
      </w:tr>
      <w:tr w14:paraId="417EB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43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A8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卫生保洁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215C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要求进行卫生保洁，清扫后做好巡回保洁。及时清理各种生活垃圾、杂物、土堆、石块、残枝败叶、园林废弃物等，无卫生死角、无蚊蝇孳生地。树池内无垃圾，树木上无悬挂物、无垃圾，树干无涂刻、无招贴。亭廊、果壳箱、圆凳等设施及时清洗、擦抹，无蜘蛛网、无明显污渍、灰尘；水体做到水清、面洁、水流畅通、无异味、无漂浮物、无障碍物、无藻类植物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DD6BF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未达标准要求，每发现一处扣除0.2分，扣完为止。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（单独分组考核时扣除分值按比例换算。）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3C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8C1066D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31E82A8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7EA5689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8A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单独分组考核时扣除分值按比例换算。</w:t>
            </w:r>
          </w:p>
        </w:tc>
      </w:tr>
      <w:tr w14:paraId="2666A5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1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57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补栽补种、应急抢险等其他工作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7B73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1.补植补种当季成活率95%以上（其中：草坪或地被覆盖率100%）。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2.应根据实际情况采取防暴风雨、抗旱、防寒、防涝、防人为破坏等防御措施；对伤残的树木进行伤口处理及修复。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3.紧急情况，立即启动应急抢险预案，并在30分钟内到现场处置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5B5D6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实地查看。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未达标准要求，每发现一处扣除2分，扣完为止。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napToGrid w:val="0"/>
                <w:color w:val="auto"/>
                <w:sz w:val="24"/>
                <w:szCs w:val="24"/>
                <w:lang w:val="en-US" w:eastAsia="zh-CN" w:bidi="ar"/>
              </w:rPr>
              <w:t>（单独分组考核时扣除分值按比例换算。）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9A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42B8026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6371C37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89C7DF9">
            <w:pPr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56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单独分组考核时扣除分值按比例换算。</w:t>
            </w:r>
          </w:p>
        </w:tc>
      </w:tr>
    </w:tbl>
    <w:p w14:paraId="0175BABB">
      <w:pPr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val="en-US" w:eastAsia="zh-CN"/>
        </w:rPr>
      </w:pPr>
    </w:p>
    <w:p w14:paraId="6E947064"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lang w:eastAsia="zh-CN"/>
        </w:rPr>
        <w:t>注：以上所有条款均为重要条款，供应商必须完全响应，否则作废标处理。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97A1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  <w:style w:type="character" w:customStyle="1" w:styleId="8">
    <w:name w:val="font51"/>
    <w:basedOn w:val="5"/>
    <w:qFormat/>
    <w:uiPriority w:val="0"/>
    <w:rPr>
      <w:rFonts w:hint="eastAsia" w:ascii="仿宋" w:hAnsi="仿宋" w:eastAsia="仿宋" w:cs="仿宋"/>
      <w:b/>
      <w:bCs/>
      <w:color w:val="00B0F0"/>
      <w:sz w:val="24"/>
      <w:szCs w:val="24"/>
      <w:u w:val="none"/>
    </w:rPr>
  </w:style>
  <w:style w:type="character" w:customStyle="1" w:styleId="9">
    <w:name w:val="font61"/>
    <w:basedOn w:val="5"/>
    <w:qFormat/>
    <w:uiPriority w:val="0"/>
    <w:rPr>
      <w:rFonts w:hint="eastAsia" w:ascii="仿宋" w:hAnsi="仿宋" w:eastAsia="仿宋" w:cs="仿宋"/>
      <w:color w:val="00B0F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2026-05-15T07:59:35Z</dcterms:created>
  <dc:creator>Administrator</dc:creator>
  <cp:lastModifiedBy>Administrator</cp:lastModifiedBy>
  <dcterms:modified xsi:type="dcterms:W3CDTF">2026-05-15T07:59:59Z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eyJoZGlkIjoiZTQ0NWM2YTliMDZkN2RmYjk4M2JlOGMxM2VhOTA0MjEiLCJ1c2VySWQiOiIxMzMyNjUyMzA3In0=</vt:lpwstr>
  </property>
  <property fmtid="{D5CDD505-2E9C-101B-9397-08002B2CF9AE}" pid="4" name="ICV">
    <vt:lpwstr>B87B45FFE54149C2A44487560305A575_12</vt:lpwstr>
  </property>
</Properties>
</file>