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8E77842">
      <w:pPr>
        <w:widowControl w:val="0"/>
        <w:spacing w:before="63" w:line="224" w:lineRule="auto"/>
        <w:jc w:val="center"/>
        <w:outlineLvl w:val="0"/>
        <w:rPr>
          <w:rFonts w:cs="宋体" w:asciiTheme="minorEastAsia" w:hAnsiTheme="minorEastAsia" w:eastAsiaTheme="minorEastAsia"/>
          <w:b/>
          <w:bCs/>
          <w:color w:val="auto"/>
          <w:sz w:val="31"/>
          <w:szCs w:val="31"/>
          <w:highlight w:val="none"/>
          <w:lang w:eastAsia="zh-CN"/>
        </w:rPr>
      </w:pPr>
      <w:r>
        <w:rPr>
          <w:rFonts w:hint="eastAsia" w:cs="宋体" w:asciiTheme="minorEastAsia" w:hAnsiTheme="minorEastAsia" w:eastAsiaTheme="minorEastAsia"/>
          <w:b/>
          <w:bCs/>
          <w:color w:val="auto"/>
          <w:spacing w:val="9"/>
          <w:sz w:val="31"/>
          <w:szCs w:val="31"/>
          <w:highlight w:val="none"/>
          <w:lang w:eastAsia="zh-CN"/>
        </w:rPr>
        <w:t>采购需求</w:t>
      </w:r>
    </w:p>
    <w:p w14:paraId="4767622E">
      <w:pPr>
        <w:widowControl w:val="0"/>
        <w:spacing w:line="309" w:lineRule="auto"/>
        <w:jc w:val="center"/>
        <w:rPr>
          <w:rFonts w:asciiTheme="minorEastAsia" w:hAnsiTheme="minorEastAsia" w:eastAsiaTheme="minorEastAsia"/>
          <w:color w:val="auto"/>
          <w:highlight w:val="none"/>
          <w:lang w:eastAsia="zh-CN"/>
        </w:rPr>
      </w:pPr>
    </w:p>
    <w:p w14:paraId="1BE57077">
      <w:pPr>
        <w:widowControl w:val="0"/>
        <w:spacing w:before="78" w:line="480" w:lineRule="exact"/>
        <w:outlineLvl w:val="1"/>
        <w:rPr>
          <w:rFonts w:cs="宋体" w:asciiTheme="minorEastAsia" w:hAnsiTheme="minorEastAsia" w:eastAsiaTheme="minorEastAsia"/>
          <w:b/>
          <w:bCs/>
          <w:color w:val="auto"/>
          <w:spacing w:val="-5"/>
          <w:sz w:val="28"/>
          <w:szCs w:val="28"/>
          <w:highlight w:val="none"/>
        </w:rPr>
      </w:pPr>
      <w:bookmarkStart w:id="0" w:name="_Toc20236"/>
      <w:r>
        <w:rPr>
          <w:rFonts w:cs="宋体" w:asciiTheme="minorEastAsia" w:hAnsiTheme="minorEastAsia" w:eastAsiaTheme="minorEastAsia"/>
          <w:b/>
          <w:bCs/>
          <w:color w:val="auto"/>
          <w:spacing w:val="-2"/>
          <w:sz w:val="28"/>
          <w:szCs w:val="28"/>
          <w:highlight w:val="none"/>
          <w:lang w:eastAsia="zh-CN"/>
        </w:rPr>
        <w:t>一、</w:t>
      </w:r>
      <w:r>
        <w:rPr>
          <w:rFonts w:hint="eastAsia" w:cs="宋体" w:asciiTheme="minorEastAsia" w:hAnsiTheme="minorEastAsia" w:eastAsiaTheme="minorEastAsia"/>
          <w:b/>
          <w:bCs/>
          <w:color w:val="auto"/>
          <w:spacing w:val="-5"/>
          <w:sz w:val="28"/>
          <w:szCs w:val="28"/>
          <w:highlight w:val="none"/>
          <w:lang w:eastAsia="zh-CN"/>
        </w:rPr>
        <w:t>服务</w:t>
      </w:r>
      <w:r>
        <w:rPr>
          <w:rFonts w:cs="宋体" w:asciiTheme="minorEastAsia" w:hAnsiTheme="minorEastAsia" w:eastAsiaTheme="minorEastAsia"/>
          <w:b/>
          <w:bCs/>
          <w:color w:val="auto"/>
          <w:spacing w:val="-5"/>
          <w:sz w:val="28"/>
          <w:szCs w:val="28"/>
          <w:highlight w:val="none"/>
        </w:rPr>
        <w:t>需求</w:t>
      </w:r>
      <w:bookmarkEnd w:id="0"/>
    </w:p>
    <w:p w14:paraId="6C2E4E04">
      <w:pPr>
        <w:pStyle w:val="5"/>
        <w:rPr>
          <w:rFonts w:hint="eastAsia" w:cs="宋体" w:asciiTheme="minorEastAsia" w:hAnsiTheme="minorEastAsia" w:eastAsiaTheme="minorEastAsia"/>
          <w:b/>
          <w:bCs/>
          <w:color w:val="auto"/>
          <w:spacing w:val="-5"/>
          <w:sz w:val="28"/>
          <w:szCs w:val="28"/>
          <w:highlight w:val="none"/>
          <w:lang w:eastAsia="zh-CN"/>
        </w:rPr>
      </w:pPr>
      <w:r>
        <w:rPr>
          <w:rFonts w:hint="eastAsia" w:cs="宋体" w:asciiTheme="minorEastAsia" w:hAnsiTheme="minorEastAsia" w:eastAsiaTheme="minorEastAsia"/>
          <w:b/>
          <w:bCs/>
          <w:color w:val="auto"/>
          <w:spacing w:val="-5"/>
          <w:sz w:val="28"/>
          <w:szCs w:val="28"/>
          <w:highlight w:val="none"/>
          <w:lang w:eastAsia="zh-CN"/>
        </w:rPr>
        <w:t>（一）服务清单</w:t>
      </w:r>
    </w:p>
    <w:tbl>
      <w:tblPr>
        <w:tblStyle w:val="3"/>
        <w:tblW w:w="8959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21"/>
        <w:gridCol w:w="1488"/>
        <w:gridCol w:w="1419"/>
        <w:gridCol w:w="785"/>
        <w:gridCol w:w="854"/>
        <w:gridCol w:w="1102"/>
        <w:gridCol w:w="1310"/>
        <w:gridCol w:w="1280"/>
      </w:tblGrid>
      <w:tr w14:paraId="06D23F3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21" w:type="dxa"/>
            <w:noWrap/>
            <w:vAlign w:val="center"/>
          </w:tcPr>
          <w:p w14:paraId="74988126"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exact"/>
              <w:ind w:left="0" w:right="0"/>
              <w:jc w:val="center"/>
              <w:rPr>
                <w:rFonts w:hint="eastAsia" w:ascii="宋体" w:hAnsi="宋体" w:eastAsia="宋体" w:cs="宋体"/>
                <w:b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b/>
                <w:sz w:val="24"/>
                <w:szCs w:val="24"/>
                <w:highlight w:val="none"/>
                <w:lang w:eastAsia="zh-CN"/>
              </w:rPr>
              <w:t>序号</w:t>
            </w:r>
          </w:p>
        </w:tc>
        <w:tc>
          <w:tcPr>
            <w:tcW w:w="1488" w:type="dxa"/>
            <w:noWrap/>
            <w:vAlign w:val="center"/>
          </w:tcPr>
          <w:p w14:paraId="1F183C9A"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exact"/>
              <w:ind w:left="0" w:right="0"/>
              <w:jc w:val="center"/>
              <w:rPr>
                <w:rFonts w:hint="eastAsia" w:ascii="宋体" w:hAnsi="宋体" w:eastAsia="宋体" w:cs="宋体"/>
                <w:b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b/>
                <w:sz w:val="24"/>
                <w:szCs w:val="24"/>
                <w:highlight w:val="none"/>
              </w:rPr>
              <w:t>名称</w:t>
            </w:r>
          </w:p>
        </w:tc>
        <w:tc>
          <w:tcPr>
            <w:tcW w:w="1419" w:type="dxa"/>
            <w:noWrap/>
            <w:vAlign w:val="center"/>
          </w:tcPr>
          <w:p w14:paraId="567B6C1B"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exact"/>
              <w:ind w:left="0" w:right="0"/>
              <w:jc w:val="center"/>
              <w:rPr>
                <w:rFonts w:hint="eastAsia" w:ascii="宋体" w:hAnsi="宋体" w:eastAsia="宋体" w:cs="宋体"/>
                <w:b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b/>
                <w:sz w:val="24"/>
                <w:szCs w:val="24"/>
                <w:highlight w:val="none"/>
              </w:rPr>
              <w:t>论文类别</w:t>
            </w:r>
          </w:p>
        </w:tc>
        <w:tc>
          <w:tcPr>
            <w:tcW w:w="785" w:type="dxa"/>
            <w:noWrap/>
            <w:vAlign w:val="center"/>
          </w:tcPr>
          <w:p w14:paraId="5A731723"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exact"/>
              <w:ind w:left="0" w:right="0"/>
              <w:jc w:val="center"/>
              <w:rPr>
                <w:rFonts w:hint="eastAsia" w:ascii="宋体" w:hAnsi="宋体" w:eastAsia="宋体" w:cs="宋体"/>
                <w:b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b/>
                <w:sz w:val="24"/>
                <w:szCs w:val="24"/>
                <w:highlight w:val="none"/>
              </w:rPr>
              <w:t>数量</w:t>
            </w:r>
          </w:p>
        </w:tc>
        <w:tc>
          <w:tcPr>
            <w:tcW w:w="854" w:type="dxa"/>
            <w:noWrap/>
            <w:vAlign w:val="center"/>
          </w:tcPr>
          <w:p w14:paraId="72C39C24"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exact"/>
              <w:ind w:left="0" w:right="0"/>
              <w:jc w:val="center"/>
              <w:rPr>
                <w:rFonts w:hint="eastAsia" w:ascii="宋体" w:hAnsi="宋体" w:eastAsia="宋体" w:cs="宋体"/>
                <w:b/>
                <w:w w:val="9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b/>
                <w:w w:val="90"/>
                <w:sz w:val="24"/>
                <w:szCs w:val="24"/>
                <w:highlight w:val="none"/>
              </w:rPr>
              <w:t>单位</w:t>
            </w:r>
          </w:p>
        </w:tc>
        <w:tc>
          <w:tcPr>
            <w:tcW w:w="1102" w:type="dxa"/>
            <w:noWrap/>
            <w:vAlign w:val="center"/>
          </w:tcPr>
          <w:p w14:paraId="61129F4C"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exact"/>
              <w:ind w:left="0" w:right="0"/>
              <w:jc w:val="center"/>
              <w:rPr>
                <w:rFonts w:hint="eastAsia" w:ascii="宋体" w:hAnsi="宋体" w:eastAsia="宋体" w:cs="宋体"/>
                <w:b/>
                <w:w w:val="9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b/>
                <w:w w:val="90"/>
                <w:sz w:val="24"/>
                <w:szCs w:val="24"/>
                <w:highlight w:val="none"/>
              </w:rPr>
              <w:t>进口/</w:t>
            </w:r>
          </w:p>
          <w:p w14:paraId="6C8D88B5"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exact"/>
              <w:ind w:left="0" w:right="0"/>
              <w:jc w:val="center"/>
              <w:rPr>
                <w:rFonts w:hint="eastAsia" w:ascii="宋体" w:hAnsi="宋体" w:eastAsia="宋体" w:cs="宋体"/>
                <w:b/>
                <w:w w:val="9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b/>
                <w:w w:val="90"/>
                <w:sz w:val="24"/>
                <w:szCs w:val="24"/>
                <w:highlight w:val="none"/>
              </w:rPr>
              <w:t>国产</w:t>
            </w:r>
          </w:p>
        </w:tc>
        <w:tc>
          <w:tcPr>
            <w:tcW w:w="1310" w:type="dxa"/>
            <w:noWrap/>
            <w:vAlign w:val="center"/>
          </w:tcPr>
          <w:p w14:paraId="468FA85F"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exact"/>
              <w:ind w:left="0" w:right="0"/>
              <w:jc w:val="center"/>
              <w:rPr>
                <w:rFonts w:hint="eastAsia" w:ascii="宋体" w:hAnsi="宋体" w:eastAsia="宋体" w:cs="宋体"/>
                <w:b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b/>
                <w:sz w:val="24"/>
                <w:szCs w:val="24"/>
                <w:highlight w:val="none"/>
                <w:lang w:eastAsia="zh-CN"/>
              </w:rPr>
              <w:t>最高限价</w:t>
            </w:r>
            <w:r>
              <w:rPr>
                <w:rFonts w:hint="eastAsia" w:ascii="宋体" w:hAnsi="宋体" w:eastAsia="宋体" w:cs="宋体"/>
                <w:b/>
                <w:sz w:val="24"/>
                <w:szCs w:val="24"/>
                <w:highlight w:val="none"/>
              </w:rPr>
              <w:t>单价</w:t>
            </w:r>
          </w:p>
          <w:p w14:paraId="188CC61F"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exact"/>
              <w:ind w:left="0" w:right="0"/>
              <w:jc w:val="center"/>
              <w:rPr>
                <w:rFonts w:hint="eastAsia" w:ascii="宋体" w:hAnsi="宋体" w:eastAsia="宋体" w:cs="宋体"/>
                <w:b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b/>
                <w:sz w:val="24"/>
                <w:szCs w:val="24"/>
                <w:highlight w:val="none"/>
              </w:rPr>
              <w:t>（万元）</w:t>
            </w:r>
          </w:p>
        </w:tc>
        <w:tc>
          <w:tcPr>
            <w:tcW w:w="1280" w:type="dxa"/>
            <w:noWrap/>
            <w:vAlign w:val="center"/>
          </w:tcPr>
          <w:p w14:paraId="7DEBCD94"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exact"/>
              <w:ind w:left="0" w:right="0"/>
              <w:jc w:val="center"/>
              <w:rPr>
                <w:rFonts w:hint="eastAsia" w:ascii="宋体" w:hAnsi="宋体" w:eastAsia="宋体" w:cs="宋体"/>
                <w:b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b/>
                <w:sz w:val="24"/>
                <w:szCs w:val="24"/>
                <w:highlight w:val="none"/>
                <w:lang w:eastAsia="zh-CN"/>
              </w:rPr>
              <w:t>最高限价</w:t>
            </w:r>
            <w:r>
              <w:rPr>
                <w:rFonts w:hint="eastAsia" w:ascii="宋体" w:hAnsi="宋体" w:eastAsia="宋体" w:cs="宋体"/>
                <w:b/>
                <w:sz w:val="24"/>
                <w:szCs w:val="24"/>
                <w:highlight w:val="none"/>
              </w:rPr>
              <w:t xml:space="preserve">总价 </w:t>
            </w:r>
          </w:p>
          <w:p w14:paraId="370CF439"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exact"/>
              <w:ind w:left="0" w:right="0"/>
              <w:jc w:val="center"/>
              <w:rPr>
                <w:rFonts w:hint="eastAsia" w:ascii="宋体" w:hAnsi="宋体" w:eastAsia="宋体" w:cs="宋体"/>
                <w:b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b/>
                <w:sz w:val="24"/>
                <w:szCs w:val="24"/>
                <w:highlight w:val="none"/>
              </w:rPr>
              <w:t>（万元）</w:t>
            </w:r>
          </w:p>
        </w:tc>
      </w:tr>
      <w:tr w14:paraId="0C9032D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85" w:hRule="atLeast"/>
          <w:jc w:val="center"/>
        </w:trPr>
        <w:tc>
          <w:tcPr>
            <w:tcW w:w="721" w:type="dxa"/>
            <w:noWrap/>
            <w:vAlign w:val="center"/>
          </w:tcPr>
          <w:p w14:paraId="7C957003"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480" w:lineRule="exact"/>
              <w:ind w:left="0" w:right="0"/>
              <w:jc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val="en-US" w:eastAsia="zh-CN"/>
              </w:rPr>
              <w:t>1</w:t>
            </w:r>
          </w:p>
        </w:tc>
        <w:tc>
          <w:tcPr>
            <w:tcW w:w="1488" w:type="dxa"/>
            <w:vMerge w:val="restart"/>
            <w:noWrap/>
            <w:vAlign w:val="center"/>
          </w:tcPr>
          <w:p w14:paraId="3777DC68"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480" w:lineRule="exact"/>
              <w:ind w:left="0" w:right="0"/>
              <w:jc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  <w:t>研究生学位论文第三方平台委托送审</w:t>
            </w:r>
          </w:p>
        </w:tc>
        <w:tc>
          <w:tcPr>
            <w:tcW w:w="1419" w:type="dxa"/>
            <w:noWrap/>
            <w:vAlign w:val="center"/>
          </w:tcPr>
          <w:p w14:paraId="6C141406">
            <w:pPr>
              <w:pStyle w:val="6"/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 w:firstLineChars="0"/>
              <w:jc w:val="center"/>
              <w:rPr>
                <w:rFonts w:hint="eastAsia" w:ascii="宋体" w:hAnsi="宋体" w:eastAsia="宋体" w:cs="宋体"/>
                <w:kern w:val="2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kern w:val="2"/>
                <w:sz w:val="24"/>
                <w:szCs w:val="24"/>
                <w:highlight w:val="none"/>
                <w:lang w:val="en-US" w:eastAsia="zh-CN" w:bidi="ar-SA"/>
              </w:rPr>
              <w:t>博士论文</w:t>
            </w:r>
          </w:p>
        </w:tc>
        <w:tc>
          <w:tcPr>
            <w:tcW w:w="785" w:type="dxa"/>
            <w:noWrap/>
            <w:vAlign w:val="center"/>
          </w:tcPr>
          <w:p w14:paraId="45C5D496"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480" w:lineRule="exact"/>
              <w:ind w:left="0" w:right="0"/>
              <w:jc w:val="center"/>
              <w:rPr>
                <w:rFonts w:hint="eastAsia" w:ascii="宋体" w:hAnsi="宋体" w:eastAsia="宋体" w:cs="宋体"/>
                <w:kern w:val="2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kern w:val="2"/>
                <w:sz w:val="24"/>
                <w:szCs w:val="24"/>
                <w:highlight w:val="none"/>
                <w:lang w:val="en-US" w:eastAsia="zh-CN" w:bidi="ar-SA"/>
              </w:rPr>
              <w:t>640</w:t>
            </w:r>
          </w:p>
        </w:tc>
        <w:tc>
          <w:tcPr>
            <w:tcW w:w="854" w:type="dxa"/>
            <w:noWrap/>
            <w:vAlign w:val="center"/>
          </w:tcPr>
          <w:p w14:paraId="312AFE9D"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480" w:lineRule="exact"/>
              <w:ind w:left="0" w:right="0"/>
              <w:jc w:val="center"/>
              <w:rPr>
                <w:rFonts w:hint="eastAsia" w:ascii="宋体" w:hAnsi="宋体" w:eastAsia="宋体" w:cs="宋体"/>
                <w:kern w:val="2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kern w:val="2"/>
                <w:sz w:val="24"/>
                <w:szCs w:val="24"/>
                <w:highlight w:val="none"/>
                <w:lang w:val="en-US" w:eastAsia="zh-CN" w:bidi="ar-SA"/>
              </w:rPr>
              <w:t>篇</w:t>
            </w:r>
          </w:p>
        </w:tc>
        <w:tc>
          <w:tcPr>
            <w:tcW w:w="1102" w:type="dxa"/>
            <w:noWrap/>
            <w:vAlign w:val="center"/>
          </w:tcPr>
          <w:p w14:paraId="41B3CC3E"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480" w:lineRule="exact"/>
              <w:ind w:left="0" w:right="0"/>
              <w:jc w:val="center"/>
              <w:rPr>
                <w:rFonts w:hint="eastAsia" w:ascii="宋体" w:hAnsi="宋体" w:eastAsia="宋体" w:cs="宋体"/>
                <w:kern w:val="2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kern w:val="2"/>
                <w:sz w:val="24"/>
                <w:szCs w:val="24"/>
                <w:highlight w:val="none"/>
                <w:lang w:val="en-US" w:eastAsia="zh-CN" w:bidi="ar-SA"/>
              </w:rPr>
              <w:t>国产</w:t>
            </w:r>
          </w:p>
        </w:tc>
        <w:tc>
          <w:tcPr>
            <w:tcW w:w="1310" w:type="dxa"/>
            <w:noWrap/>
            <w:vAlign w:val="center"/>
          </w:tcPr>
          <w:p w14:paraId="2BB35628"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480" w:lineRule="exact"/>
              <w:ind w:left="0" w:right="0"/>
              <w:jc w:val="center"/>
              <w:rPr>
                <w:rFonts w:hint="eastAsia" w:ascii="宋体" w:hAnsi="宋体" w:eastAsia="宋体" w:cs="宋体"/>
                <w:kern w:val="2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kern w:val="2"/>
                <w:sz w:val="24"/>
                <w:szCs w:val="24"/>
                <w:highlight w:val="none"/>
                <w:lang w:val="en-US" w:eastAsia="zh-CN" w:bidi="ar-SA"/>
              </w:rPr>
              <w:t>0.05</w:t>
            </w:r>
          </w:p>
        </w:tc>
        <w:tc>
          <w:tcPr>
            <w:tcW w:w="1280" w:type="dxa"/>
            <w:noWrap/>
            <w:vAlign w:val="center"/>
          </w:tcPr>
          <w:p w14:paraId="5C392AEE"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480" w:lineRule="exact"/>
              <w:ind w:left="0" w:right="0"/>
              <w:jc w:val="center"/>
              <w:rPr>
                <w:rFonts w:hint="default" w:ascii="宋体" w:hAnsi="宋体" w:eastAsia="宋体" w:cs="宋体"/>
                <w:kern w:val="2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kern w:val="2"/>
                <w:sz w:val="24"/>
                <w:szCs w:val="24"/>
                <w:highlight w:val="none"/>
                <w:lang w:val="en-US" w:eastAsia="zh-CN" w:bidi="ar-SA"/>
              </w:rPr>
              <w:t>32.00</w:t>
            </w:r>
          </w:p>
        </w:tc>
      </w:tr>
      <w:tr w14:paraId="40F44DC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48" w:hRule="atLeast"/>
          <w:jc w:val="center"/>
        </w:trPr>
        <w:tc>
          <w:tcPr>
            <w:tcW w:w="721" w:type="dxa"/>
            <w:tcBorders>
              <w:bottom w:val="single" w:color="auto" w:sz="4" w:space="0"/>
            </w:tcBorders>
            <w:noWrap/>
            <w:vAlign w:val="center"/>
          </w:tcPr>
          <w:p w14:paraId="68CA1579"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480" w:lineRule="exact"/>
              <w:ind w:left="0" w:right="0"/>
              <w:jc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val="en-US" w:eastAsia="zh-CN"/>
              </w:rPr>
              <w:t>2</w:t>
            </w:r>
          </w:p>
        </w:tc>
        <w:tc>
          <w:tcPr>
            <w:tcW w:w="1488" w:type="dxa"/>
            <w:vMerge w:val="continue"/>
            <w:tcBorders>
              <w:bottom w:val="single" w:color="auto" w:sz="4" w:space="0"/>
            </w:tcBorders>
            <w:noWrap/>
            <w:vAlign w:val="center"/>
          </w:tcPr>
          <w:p w14:paraId="3FE85DF6"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480" w:lineRule="exact"/>
              <w:ind w:left="0" w:right="0"/>
              <w:jc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</w:p>
        </w:tc>
        <w:tc>
          <w:tcPr>
            <w:tcW w:w="1419" w:type="dxa"/>
            <w:tcBorders>
              <w:bottom w:val="single" w:color="auto" w:sz="4" w:space="0"/>
            </w:tcBorders>
            <w:noWrap/>
            <w:vAlign w:val="center"/>
          </w:tcPr>
          <w:p w14:paraId="6AC3E86A">
            <w:pPr>
              <w:pStyle w:val="6"/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0" w:firstLineChars="0"/>
              <w:jc w:val="center"/>
              <w:rPr>
                <w:rFonts w:hint="eastAsia" w:ascii="宋体" w:hAnsi="宋体" w:eastAsia="宋体" w:cs="宋体"/>
                <w:kern w:val="2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kern w:val="2"/>
                <w:sz w:val="24"/>
                <w:szCs w:val="24"/>
                <w:highlight w:val="none"/>
                <w:lang w:val="en-US" w:eastAsia="zh-CN" w:bidi="ar-SA"/>
              </w:rPr>
              <w:t>硕士论文</w:t>
            </w:r>
          </w:p>
        </w:tc>
        <w:tc>
          <w:tcPr>
            <w:tcW w:w="785" w:type="dxa"/>
            <w:tcBorders>
              <w:bottom w:val="single" w:color="auto" w:sz="4" w:space="0"/>
            </w:tcBorders>
            <w:noWrap/>
            <w:vAlign w:val="center"/>
          </w:tcPr>
          <w:p w14:paraId="75A3C829"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480" w:lineRule="exact"/>
              <w:ind w:left="0" w:right="0"/>
              <w:jc w:val="center"/>
              <w:rPr>
                <w:rFonts w:hint="eastAsia" w:ascii="宋体" w:hAnsi="宋体" w:eastAsia="宋体" w:cs="宋体"/>
                <w:kern w:val="2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kern w:val="2"/>
                <w:sz w:val="24"/>
                <w:szCs w:val="24"/>
                <w:highlight w:val="none"/>
                <w:lang w:val="en-US" w:eastAsia="zh-CN" w:bidi="ar-SA"/>
              </w:rPr>
              <w:t>2600</w:t>
            </w:r>
          </w:p>
        </w:tc>
        <w:tc>
          <w:tcPr>
            <w:tcW w:w="854" w:type="dxa"/>
            <w:tcBorders>
              <w:bottom w:val="single" w:color="auto" w:sz="4" w:space="0"/>
            </w:tcBorders>
            <w:noWrap/>
            <w:vAlign w:val="center"/>
          </w:tcPr>
          <w:p w14:paraId="4D3BDE38"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480" w:lineRule="exact"/>
              <w:ind w:left="0" w:right="0"/>
              <w:jc w:val="center"/>
              <w:rPr>
                <w:rFonts w:hint="eastAsia" w:ascii="宋体" w:hAnsi="宋体" w:eastAsia="宋体" w:cs="宋体"/>
                <w:kern w:val="2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kern w:val="2"/>
                <w:sz w:val="24"/>
                <w:szCs w:val="24"/>
                <w:highlight w:val="none"/>
                <w:lang w:val="en-US" w:eastAsia="zh-CN" w:bidi="ar-SA"/>
              </w:rPr>
              <w:t>篇</w:t>
            </w:r>
          </w:p>
        </w:tc>
        <w:tc>
          <w:tcPr>
            <w:tcW w:w="1102" w:type="dxa"/>
            <w:tcBorders>
              <w:bottom w:val="single" w:color="auto" w:sz="4" w:space="0"/>
            </w:tcBorders>
            <w:noWrap/>
            <w:vAlign w:val="center"/>
          </w:tcPr>
          <w:p w14:paraId="53D008C1"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480" w:lineRule="exact"/>
              <w:ind w:left="0" w:right="0"/>
              <w:jc w:val="center"/>
              <w:rPr>
                <w:rFonts w:hint="eastAsia" w:ascii="宋体" w:hAnsi="宋体" w:eastAsia="宋体" w:cs="宋体"/>
                <w:kern w:val="2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kern w:val="2"/>
                <w:sz w:val="24"/>
                <w:szCs w:val="24"/>
                <w:highlight w:val="none"/>
                <w:lang w:val="en-US" w:eastAsia="zh-CN" w:bidi="ar-SA"/>
              </w:rPr>
              <w:t>国产</w:t>
            </w:r>
          </w:p>
        </w:tc>
        <w:tc>
          <w:tcPr>
            <w:tcW w:w="1310" w:type="dxa"/>
            <w:tcBorders>
              <w:bottom w:val="single" w:color="auto" w:sz="4" w:space="0"/>
            </w:tcBorders>
            <w:noWrap/>
            <w:vAlign w:val="center"/>
          </w:tcPr>
          <w:p w14:paraId="1DFA609E"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480" w:lineRule="exact"/>
              <w:ind w:left="0" w:right="0"/>
              <w:jc w:val="center"/>
              <w:rPr>
                <w:rFonts w:hint="eastAsia" w:ascii="宋体" w:hAnsi="宋体" w:eastAsia="宋体" w:cs="宋体"/>
                <w:kern w:val="2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kern w:val="2"/>
                <w:sz w:val="24"/>
                <w:szCs w:val="24"/>
                <w:highlight w:val="none"/>
                <w:lang w:val="en-US" w:eastAsia="zh-CN" w:bidi="ar-SA"/>
              </w:rPr>
              <w:t>0.03</w:t>
            </w:r>
          </w:p>
        </w:tc>
        <w:tc>
          <w:tcPr>
            <w:tcW w:w="1280" w:type="dxa"/>
            <w:noWrap/>
            <w:vAlign w:val="center"/>
          </w:tcPr>
          <w:p w14:paraId="625CC218"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480" w:lineRule="exact"/>
              <w:ind w:left="0" w:right="0"/>
              <w:jc w:val="center"/>
              <w:rPr>
                <w:rFonts w:hint="default" w:ascii="宋体" w:hAnsi="宋体" w:eastAsia="宋体" w:cs="宋体"/>
                <w:kern w:val="2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kern w:val="2"/>
                <w:sz w:val="24"/>
                <w:szCs w:val="24"/>
                <w:highlight w:val="none"/>
                <w:lang w:val="en-US" w:eastAsia="zh-CN" w:bidi="ar-SA"/>
              </w:rPr>
              <w:t>78.00</w:t>
            </w:r>
          </w:p>
        </w:tc>
      </w:tr>
    </w:tbl>
    <w:p w14:paraId="55EF8206">
      <w:pPr>
        <w:pStyle w:val="5"/>
        <w:rPr>
          <w:rFonts w:hint="eastAsia" w:cs="宋体" w:asciiTheme="minorEastAsia" w:hAnsiTheme="minorEastAsia" w:eastAsiaTheme="minorEastAsia"/>
          <w:b/>
          <w:bCs/>
          <w:color w:val="auto"/>
          <w:spacing w:val="-5"/>
          <w:sz w:val="28"/>
          <w:szCs w:val="28"/>
          <w:highlight w:val="none"/>
          <w:lang w:eastAsia="zh-CN"/>
        </w:rPr>
      </w:pPr>
      <w:r>
        <w:rPr>
          <w:rFonts w:hint="eastAsia" w:cs="宋体" w:asciiTheme="minorEastAsia" w:hAnsiTheme="minorEastAsia" w:eastAsiaTheme="minorEastAsia"/>
          <w:b/>
          <w:bCs/>
          <w:color w:val="auto"/>
          <w:spacing w:val="-5"/>
          <w:sz w:val="28"/>
          <w:szCs w:val="28"/>
          <w:highlight w:val="none"/>
          <w:lang w:eastAsia="zh-CN"/>
        </w:rPr>
        <w:t>（二）服务要求</w:t>
      </w:r>
    </w:p>
    <w:tbl>
      <w:tblPr>
        <w:tblStyle w:val="3"/>
        <w:tblW w:w="8915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418"/>
        <w:gridCol w:w="6165"/>
        <w:gridCol w:w="1332"/>
      </w:tblGrid>
      <w:tr w14:paraId="311FD6A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7" w:hRule="atLeast"/>
          <w:jc w:val="center"/>
        </w:trPr>
        <w:tc>
          <w:tcPr>
            <w:tcW w:w="1418" w:type="dxa"/>
            <w:noWrap/>
            <w:vAlign w:val="center"/>
          </w:tcPr>
          <w:p w14:paraId="37572D9C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0" w:beforeAutospacing="0" w:after="0" w:afterAutospacing="0" w:line="480" w:lineRule="exact"/>
              <w:ind w:left="0" w:right="0"/>
              <w:jc w:val="center"/>
              <w:textAlignment w:val="baseline"/>
              <w:rPr>
                <w:rFonts w:hint="eastAsia" w:ascii="宋体" w:hAnsi="宋体" w:eastAsia="宋体" w:cs="宋体"/>
                <w:b/>
                <w:bCs/>
                <w:color w:val="000000" w:themeColor="text1"/>
                <w:kern w:val="0"/>
                <w:sz w:val="24"/>
                <w:szCs w:val="24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 w:themeColor="text1"/>
                <w:kern w:val="0"/>
                <w:sz w:val="24"/>
                <w:szCs w:val="24"/>
                <w:highlight w:val="none"/>
                <w:lang w:eastAsia="zh-CN"/>
                <w14:textFill>
                  <w14:solidFill>
                    <w14:schemeClr w14:val="tx1"/>
                  </w14:solidFill>
                </w14:textFill>
              </w:rPr>
              <w:t>服务</w:t>
            </w:r>
            <w:r>
              <w:rPr>
                <w:rFonts w:hint="eastAsia" w:ascii="宋体" w:hAnsi="宋体" w:eastAsia="宋体" w:cs="宋体"/>
                <w:b/>
                <w:bCs/>
                <w:color w:val="000000" w:themeColor="text1"/>
                <w:kern w:val="0"/>
                <w:sz w:val="24"/>
                <w:szCs w:val="24"/>
                <w:highlight w:val="none"/>
                <w14:textFill>
                  <w14:solidFill>
                    <w14:schemeClr w14:val="tx1"/>
                  </w14:solidFill>
                </w14:textFill>
              </w:rPr>
              <w:t>名称</w:t>
            </w:r>
          </w:p>
        </w:tc>
        <w:tc>
          <w:tcPr>
            <w:tcW w:w="6165" w:type="dxa"/>
            <w:noWrap/>
            <w:vAlign w:val="center"/>
          </w:tcPr>
          <w:p w14:paraId="02C9759B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0" w:beforeAutospacing="0" w:after="0" w:afterAutospacing="0" w:line="480" w:lineRule="exact"/>
              <w:ind w:left="0" w:right="0"/>
              <w:jc w:val="center"/>
              <w:textAlignment w:val="baseline"/>
              <w:rPr>
                <w:rFonts w:hint="eastAsia" w:ascii="宋体" w:hAnsi="宋体" w:eastAsia="宋体" w:cs="宋体"/>
                <w:b/>
                <w:bCs/>
                <w:color w:val="000000" w:themeColor="text1"/>
                <w:kern w:val="0"/>
                <w:sz w:val="24"/>
                <w:szCs w:val="24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 w:themeColor="text1"/>
                <w:sz w:val="24"/>
                <w:szCs w:val="24"/>
                <w:highlight w:val="none"/>
                <w14:textFill>
                  <w14:solidFill>
                    <w14:schemeClr w14:val="tx1"/>
                  </w14:solidFill>
                </w14:textFill>
              </w:rPr>
              <w:t>技术要求</w:t>
            </w:r>
          </w:p>
        </w:tc>
        <w:tc>
          <w:tcPr>
            <w:tcW w:w="1332" w:type="dxa"/>
            <w:noWrap/>
            <w:vAlign w:val="center"/>
          </w:tcPr>
          <w:p w14:paraId="01C942BA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0" w:beforeAutospacing="0" w:after="0" w:afterAutospacing="0" w:line="480" w:lineRule="exact"/>
              <w:ind w:left="0" w:right="0"/>
              <w:jc w:val="center"/>
              <w:textAlignment w:val="baseline"/>
              <w:rPr>
                <w:rFonts w:hint="eastAsia" w:ascii="宋体" w:hAnsi="宋体" w:eastAsia="宋体" w:cs="宋体"/>
                <w:b/>
                <w:bCs/>
                <w:color w:val="000000" w:themeColor="text1"/>
                <w:kern w:val="0"/>
                <w:sz w:val="24"/>
                <w:szCs w:val="24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 w:themeColor="text1"/>
                <w:kern w:val="0"/>
                <w:sz w:val="24"/>
                <w:szCs w:val="24"/>
                <w:highlight w:val="none"/>
                <w14:textFill>
                  <w14:solidFill>
                    <w14:schemeClr w14:val="tx1"/>
                  </w14:solidFill>
                </w14:textFill>
              </w:rPr>
              <w:t>数量</w:t>
            </w:r>
          </w:p>
          <w:p w14:paraId="04E62EDB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0" w:beforeAutospacing="0" w:after="0" w:afterAutospacing="0" w:line="480" w:lineRule="exact"/>
              <w:ind w:left="0" w:right="0"/>
              <w:jc w:val="center"/>
              <w:textAlignment w:val="baseline"/>
              <w:rPr>
                <w:rFonts w:hint="eastAsia" w:ascii="宋体" w:hAnsi="宋体" w:eastAsia="宋体" w:cs="宋体"/>
                <w:b/>
                <w:bCs/>
                <w:color w:val="000000" w:themeColor="text1"/>
                <w:kern w:val="0"/>
                <w:sz w:val="24"/>
                <w:szCs w:val="24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 w:themeColor="text1"/>
                <w:kern w:val="0"/>
                <w:sz w:val="24"/>
                <w:szCs w:val="24"/>
                <w:highlight w:val="none"/>
                <w14:textFill>
                  <w14:solidFill>
                    <w14:schemeClr w14:val="tx1"/>
                  </w14:solidFill>
                </w14:textFill>
              </w:rPr>
              <w:t>（单位）</w:t>
            </w:r>
          </w:p>
        </w:tc>
      </w:tr>
      <w:tr w14:paraId="120A3A7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7" w:hRule="atLeast"/>
          <w:jc w:val="center"/>
        </w:trPr>
        <w:tc>
          <w:tcPr>
            <w:tcW w:w="1418" w:type="dxa"/>
            <w:noWrap/>
            <w:vAlign w:val="center"/>
          </w:tcPr>
          <w:p w14:paraId="2F6599C9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0" w:beforeAutospacing="0" w:after="0" w:afterAutospacing="0" w:line="480" w:lineRule="exact"/>
              <w:ind w:left="0" w:right="0"/>
              <w:jc w:val="center"/>
              <w:textAlignment w:val="baseline"/>
              <w:rPr>
                <w:rFonts w:hint="eastAsia" w:ascii="宋体" w:hAnsi="宋体" w:eastAsia="宋体" w:cs="宋体"/>
                <w:b/>
                <w:color w:val="000000" w:themeColor="text1"/>
                <w:kern w:val="0"/>
                <w:sz w:val="24"/>
                <w:szCs w:val="24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/>
                <w:color w:val="000000" w:themeColor="text1"/>
                <w:kern w:val="0"/>
                <w:sz w:val="24"/>
                <w:szCs w:val="24"/>
                <w:highlight w:val="none"/>
                <w14:textFill>
                  <w14:solidFill>
                    <w14:schemeClr w14:val="tx1"/>
                  </w14:solidFill>
                </w14:textFill>
              </w:rPr>
              <w:t>研究生学位论文第三方平台委托送审</w:t>
            </w:r>
          </w:p>
        </w:tc>
        <w:tc>
          <w:tcPr>
            <w:tcW w:w="6165" w:type="dxa"/>
            <w:noWrap/>
          </w:tcPr>
          <w:p w14:paraId="47DCB161">
            <w:pPr>
              <w:pStyle w:val="5"/>
              <w:keepNext w:val="0"/>
              <w:keepLines w:val="0"/>
              <w:pageBreakBefore w:val="0"/>
              <w:widowControl/>
              <w:numPr>
                <w:ilvl w:val="0"/>
                <w:numId w:val="1"/>
              </w:numPr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0" w:beforeAutospacing="0" w:after="0" w:afterAutospacing="0" w:line="480" w:lineRule="exact"/>
              <w:ind w:left="0" w:right="0" w:firstLine="0" w:firstLineChars="0"/>
              <w:textAlignment w:val="baseline"/>
              <w:rPr>
                <w:rFonts w:hint="eastAsia" w:ascii="宋体" w:hAnsi="宋体" w:eastAsia="宋体" w:cs="宋体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highlight w:val="none"/>
              </w:rPr>
              <w:t>技术参数：</w:t>
            </w:r>
          </w:p>
          <w:p w14:paraId="2B479E31">
            <w:pPr>
              <w:pStyle w:val="5"/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0" w:beforeAutospacing="0" w:after="0" w:afterAutospacing="0" w:line="480" w:lineRule="exact"/>
              <w:ind w:left="0" w:right="0" w:firstLine="0" w:firstLineChars="0"/>
              <w:textAlignment w:val="baseline"/>
              <w:rPr>
                <w:rFonts w:hint="eastAsia" w:ascii="宋体" w:hAnsi="宋体" w:eastAsia="宋体" w:cs="宋体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highlight w:val="none"/>
              </w:rPr>
              <w:t>1.为采购人设置独立的登录界面，支持https安全协议；</w:t>
            </w:r>
          </w:p>
          <w:p w14:paraId="58C1A972">
            <w:pPr>
              <w:pStyle w:val="5"/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0" w:beforeAutospacing="0" w:after="0" w:afterAutospacing="0" w:line="480" w:lineRule="exact"/>
              <w:ind w:left="0" w:right="0" w:firstLine="0" w:firstLineChars="0"/>
              <w:textAlignment w:val="baseline"/>
              <w:rPr>
                <w:rFonts w:hint="eastAsia" w:ascii="宋体" w:hAnsi="宋体" w:eastAsia="宋体" w:cs="宋体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highlight w:val="none"/>
              </w:rPr>
              <w:t>2.支持学院上传论文管理、研究生院送审等多角色管理、送审模式。研究生院账户可根据各个学院的使用情况配置相应权限；</w:t>
            </w:r>
          </w:p>
          <w:p w14:paraId="296C74DF">
            <w:pPr>
              <w:pStyle w:val="5"/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0" w:beforeAutospacing="0" w:after="0" w:afterAutospacing="0" w:line="480" w:lineRule="exact"/>
              <w:ind w:left="0" w:right="0" w:firstLine="0" w:firstLineChars="0"/>
              <w:textAlignment w:val="baseline"/>
              <w:rPr>
                <w:rFonts w:hint="eastAsia" w:ascii="宋体" w:hAnsi="宋体" w:eastAsia="宋体" w:cs="宋体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highlight w:val="none"/>
              </w:rPr>
              <w:t>3.支持pdf文件加excel信息表上传，易于操作；</w:t>
            </w:r>
          </w:p>
          <w:p w14:paraId="60B9CBB4">
            <w:pPr>
              <w:pStyle w:val="5"/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0" w:beforeAutospacing="0" w:after="0" w:afterAutospacing="0" w:line="480" w:lineRule="exact"/>
              <w:ind w:left="0" w:right="0" w:firstLine="0" w:firstLineChars="0"/>
              <w:textAlignment w:val="baseline"/>
              <w:rPr>
                <w:rFonts w:hint="eastAsia" w:ascii="宋体" w:hAnsi="宋体" w:eastAsia="宋体" w:cs="宋体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highlight w:val="none"/>
              </w:rPr>
              <w:t>4.研究生院可以通过平台对学校、学院的送审情况进行实时监督与管理；</w:t>
            </w:r>
          </w:p>
          <w:p w14:paraId="090B006C">
            <w:pPr>
              <w:pStyle w:val="5"/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0" w:beforeAutospacing="0" w:after="0" w:afterAutospacing="0" w:line="480" w:lineRule="exact"/>
              <w:ind w:left="0" w:right="0" w:firstLine="0" w:firstLineChars="0"/>
              <w:textAlignment w:val="baseline"/>
              <w:rPr>
                <w:rFonts w:hint="eastAsia" w:ascii="宋体" w:hAnsi="宋体" w:eastAsia="宋体" w:cs="宋体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highlight w:val="none"/>
              </w:rPr>
              <w:t>5.专家评阅支持短信、邮件通知的功能；</w:t>
            </w:r>
          </w:p>
          <w:p w14:paraId="7C630BE1">
            <w:pPr>
              <w:pStyle w:val="5"/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0" w:beforeAutospacing="0" w:after="0" w:afterAutospacing="0" w:line="480" w:lineRule="exact"/>
              <w:ind w:left="0" w:right="0" w:firstLine="0" w:firstLineChars="0"/>
              <w:textAlignment w:val="baseline"/>
              <w:rPr>
                <w:rFonts w:hint="eastAsia" w:ascii="宋体" w:hAnsi="宋体" w:eastAsia="宋体" w:cs="宋体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highlight w:val="none"/>
              </w:rPr>
              <w:t>6.平台可系统对研究生项目进行管理，例如在线申报、在线审核中期检查以及项目结题审核等功能；</w:t>
            </w:r>
          </w:p>
          <w:p w14:paraId="1A1D27CE">
            <w:pPr>
              <w:pStyle w:val="5"/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0" w:beforeAutospacing="0" w:after="0" w:afterAutospacing="0" w:line="480" w:lineRule="exact"/>
              <w:ind w:left="0" w:right="0" w:firstLine="0" w:firstLineChars="0"/>
              <w:textAlignment w:val="baseline"/>
              <w:rPr>
                <w:rFonts w:hint="eastAsia" w:ascii="宋体" w:hAnsi="宋体" w:eastAsia="宋体" w:cs="宋体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highlight w:val="none"/>
              </w:rPr>
              <w:t>7.可定制在线评阅书模板；</w:t>
            </w:r>
          </w:p>
          <w:p w14:paraId="40C9BE10">
            <w:pPr>
              <w:pStyle w:val="5"/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0" w:beforeAutospacing="0" w:after="0" w:afterAutospacing="0" w:line="480" w:lineRule="exact"/>
              <w:ind w:left="0" w:right="0" w:firstLine="0" w:firstLineChars="0"/>
              <w:textAlignment w:val="baseline"/>
              <w:rPr>
                <w:rFonts w:hint="eastAsia" w:ascii="宋体" w:hAnsi="宋体" w:eastAsia="宋体" w:cs="宋体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highlight w:val="none"/>
              </w:rPr>
              <w:t>8.支持批量下载评审结果，自定义命名格式，并且可以在线批量打印等；</w:t>
            </w:r>
          </w:p>
          <w:p w14:paraId="5EF4A789">
            <w:pPr>
              <w:pStyle w:val="5"/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0" w:beforeAutospacing="0" w:after="0" w:afterAutospacing="0" w:line="480" w:lineRule="exact"/>
              <w:ind w:left="0" w:right="0" w:firstLine="0" w:firstLineChars="0"/>
              <w:textAlignment w:val="baseline"/>
              <w:rPr>
                <w:rFonts w:hint="eastAsia" w:ascii="宋体" w:hAnsi="宋体" w:eastAsia="宋体" w:cs="宋体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highlight w:val="none"/>
              </w:rPr>
              <w:t>9.系统能自动检测出论文是否含有导师、学生姓名等敏感信息，并在论文材料上传后自动去除全文中的敏感信息；</w:t>
            </w:r>
          </w:p>
          <w:p w14:paraId="094D8DBF">
            <w:pPr>
              <w:pStyle w:val="5"/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0" w:beforeAutospacing="0" w:after="0" w:afterAutospacing="0" w:line="480" w:lineRule="exact"/>
              <w:ind w:left="0" w:right="0" w:firstLine="0" w:firstLineChars="0"/>
              <w:textAlignment w:val="baseline"/>
              <w:rPr>
                <w:rFonts w:hint="eastAsia" w:ascii="宋体" w:hAnsi="宋体" w:eastAsia="宋体" w:cs="宋体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highlight w:val="none"/>
              </w:rPr>
              <w:t>10.支持专家对评阅结果在线电子签名；</w:t>
            </w:r>
          </w:p>
          <w:p w14:paraId="6DBB4531">
            <w:pPr>
              <w:pStyle w:val="5"/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0" w:beforeAutospacing="0" w:after="0" w:afterAutospacing="0" w:line="480" w:lineRule="exact"/>
              <w:ind w:left="0" w:right="0" w:firstLine="0" w:firstLineChars="0"/>
              <w:textAlignment w:val="baseline"/>
              <w:rPr>
                <w:rFonts w:hint="eastAsia" w:ascii="宋体" w:hAnsi="宋体" w:eastAsia="宋体" w:cs="宋体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highlight w:val="none"/>
              </w:rPr>
              <w:t>11.支持生成评审结果分项评价明细表，列出所有论文的每位专家分项评价明细，并可以下载导出；</w:t>
            </w:r>
          </w:p>
          <w:p w14:paraId="59A5CA43">
            <w:pPr>
              <w:pStyle w:val="5"/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0" w:beforeAutospacing="0" w:after="0" w:afterAutospacing="0" w:line="480" w:lineRule="exact"/>
              <w:ind w:left="0" w:right="0" w:firstLine="0" w:firstLineChars="0"/>
              <w:textAlignment w:val="baseline"/>
              <w:rPr>
                <w:rFonts w:hint="eastAsia" w:ascii="宋体" w:hAnsi="宋体" w:eastAsia="宋体" w:cs="宋体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highlight w:val="none"/>
              </w:rPr>
              <w:t>12.可以对评审结果进行多维度（分学科，分学院，分年度质量等）的统计分析，并可生成质量分析报告；</w:t>
            </w:r>
          </w:p>
          <w:p w14:paraId="2E986E44">
            <w:pPr>
              <w:pStyle w:val="5"/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0" w:beforeAutospacing="0" w:after="0" w:afterAutospacing="0" w:line="480" w:lineRule="exact"/>
              <w:ind w:left="0" w:right="0" w:firstLine="0" w:firstLineChars="0"/>
              <w:textAlignment w:val="baseline"/>
              <w:rPr>
                <w:rFonts w:hint="eastAsia" w:ascii="宋体" w:hAnsi="宋体" w:eastAsia="宋体" w:cs="宋体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highlight w:val="none"/>
              </w:rPr>
              <w:t>13.自有全国专家库专家100000名及以上；</w:t>
            </w:r>
          </w:p>
          <w:p w14:paraId="4115C610">
            <w:pPr>
              <w:pStyle w:val="2"/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Autospacing="0" w:afterAutospacing="0" w:line="480" w:lineRule="exact"/>
              <w:ind w:left="10" w:leftChars="5" w:right="0"/>
              <w:textAlignment w:val="baseline"/>
              <w:rPr>
                <w:rFonts w:hint="eastAsia" w:ascii="宋体" w:hAnsi="宋体" w:eastAsia="宋体" w:cs="宋体"/>
                <w:color w:val="000000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highlight w:val="none"/>
              </w:rPr>
              <w:t>14.系统支持手机端操作，可通过微信小程序</w:t>
            </w:r>
            <w:r>
              <w:rPr>
                <w:rFonts w:hint="eastAsia" w:cs="宋体"/>
                <w:color w:val="000000"/>
                <w:sz w:val="24"/>
                <w:szCs w:val="24"/>
                <w:highlight w:val="none"/>
                <w:lang w:eastAsia="zh-CN"/>
              </w:rPr>
              <w:t>、</w:t>
            </w: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highlight w:val="none"/>
              </w:rPr>
              <w:t>APP</w:t>
            </w:r>
            <w:r>
              <w:rPr>
                <w:rFonts w:hint="eastAsia" w:cs="宋体"/>
                <w:color w:val="000000"/>
                <w:sz w:val="24"/>
                <w:szCs w:val="24"/>
                <w:highlight w:val="none"/>
                <w:lang w:val="en-US" w:eastAsia="zh-CN"/>
              </w:rPr>
              <w:t>等</w:t>
            </w: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highlight w:val="none"/>
              </w:rPr>
              <w:t>，实现专家在线移动评阅论文，管理员移动接审论文、跟踪送审进度等，提高论文评审的便利性和时效性；支持对学位论文送审进度进行提醒，具体包括送审剩余篇数提示服务</w:t>
            </w: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highlight w:val="none"/>
                <w:lang w:eastAsia="zh-CN"/>
              </w:rPr>
              <w:t>；</w:t>
            </w:r>
          </w:p>
          <w:p w14:paraId="1B7C574C">
            <w:pPr>
              <w:pStyle w:val="5"/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0" w:beforeAutospacing="0" w:after="0" w:afterAutospacing="0" w:line="480" w:lineRule="exact"/>
              <w:ind w:left="0" w:right="0" w:firstLine="0" w:firstLineChars="0"/>
              <w:textAlignment w:val="baseline"/>
              <w:rPr>
                <w:rFonts w:hint="eastAsia" w:ascii="宋体" w:hAnsi="宋体" w:eastAsia="宋体" w:cs="宋体"/>
                <w:color w:val="000000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highlight w:val="none"/>
              </w:rPr>
              <w:t>15.系统支持自动分析专家评阅意见和论文材料的匹配度，保障评审结果的准确性；利用AI鉴识技术对论文进行分析，判断是否由AI生成，提供详细的逐句鉴伪报告，提高论文质量控制及创新能力</w:t>
            </w: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highlight w:val="none"/>
                <w:lang w:eastAsia="zh-CN"/>
              </w:rPr>
              <w:t>；</w:t>
            </w:r>
          </w:p>
          <w:p w14:paraId="2467EB6A">
            <w:pPr>
              <w:pStyle w:val="5"/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0" w:beforeAutospacing="0" w:after="0" w:afterAutospacing="0" w:line="480" w:lineRule="exact"/>
              <w:ind w:left="0" w:right="0" w:firstLine="0" w:firstLineChars="0"/>
              <w:textAlignment w:val="baseline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highlight w:val="none"/>
                <w:lang w:val="en-US" w:eastAsia="zh-CN"/>
              </w:rPr>
              <w:t>16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val="en-US" w:eastAsia="zh-CN"/>
              </w:rPr>
              <w:t>.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  <w:t>具有高校人工智能生成内容（AIGC）检测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val="en-US" w:eastAsia="zh-CN"/>
              </w:rPr>
              <w:t>功能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；</w:t>
            </w:r>
          </w:p>
          <w:p w14:paraId="3F10ED51">
            <w:pPr>
              <w:pStyle w:val="5"/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0" w:beforeAutospacing="0" w:after="0" w:afterAutospacing="0" w:line="480" w:lineRule="exact"/>
              <w:ind w:left="0" w:right="0" w:firstLine="0" w:firstLineChars="0"/>
              <w:textAlignment w:val="baseline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val="en-US" w:eastAsia="zh-CN"/>
              </w:rPr>
              <w:t>17.具有高校研究生项目申报和评审的服务能力；</w:t>
            </w:r>
          </w:p>
          <w:p w14:paraId="3C996A11">
            <w:pPr>
              <w:pStyle w:val="5"/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0" w:beforeAutospacing="0" w:after="0" w:afterAutospacing="0" w:line="480" w:lineRule="exact"/>
              <w:ind w:left="0" w:right="0" w:firstLine="0" w:firstLineChars="0"/>
              <w:textAlignment w:val="baseline"/>
              <w:rPr>
                <w:rFonts w:hint="eastAsia" w:ascii="宋体" w:hAnsi="宋体" w:eastAsia="宋体" w:cs="宋体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highlight w:val="none"/>
              </w:rPr>
              <w:t>1</w:t>
            </w: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highlight w:val="none"/>
                <w:lang w:val="en-US" w:eastAsia="zh-CN"/>
              </w:rPr>
              <w:t>8</w:t>
            </w: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highlight w:val="none"/>
              </w:rPr>
              <w:t xml:space="preserve">.平台在每学期送审完成后，应能根据学校要求提供送审质量分析报告，内容包括但不限于论文合格率统计、分学院/学科合格率统计等。 </w:t>
            </w:r>
          </w:p>
          <w:p w14:paraId="22207D24">
            <w:pPr>
              <w:pStyle w:val="2"/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Autospacing="0" w:afterAutospacing="0" w:line="480" w:lineRule="exact"/>
              <w:ind w:left="10" w:leftChars="5" w:right="0"/>
              <w:textAlignment w:val="baseline"/>
              <w:rPr>
                <w:rFonts w:hint="eastAsia" w:ascii="宋体" w:hAnsi="宋体" w:eastAsia="宋体" w:cs="宋体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highlight w:val="none"/>
              </w:rPr>
              <w:t>二、其他要求：</w:t>
            </w:r>
          </w:p>
          <w:p w14:paraId="73C11D15">
            <w:pPr>
              <w:pStyle w:val="5"/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0" w:beforeAutospacing="0" w:after="0" w:afterAutospacing="0" w:line="480" w:lineRule="exact"/>
              <w:ind w:left="0" w:right="0" w:firstLine="0" w:firstLineChars="0"/>
              <w:textAlignment w:val="baseline"/>
              <w:rPr>
                <w:rFonts w:hint="eastAsia" w:ascii="宋体" w:hAnsi="宋体" w:eastAsia="宋体" w:cs="宋体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highlight w:val="none"/>
              </w:rPr>
              <w:t>1.可在平台中查看论文评审的进展状态，并可查看和下载论文评审结果。平台会在研究生院送审后18日内提交电子版学位论文评阅意见书。按学科匹配送审院校，且送审院校的相应学科在教育部第四次学科评估排名中不低于本校；</w:t>
            </w:r>
          </w:p>
          <w:p w14:paraId="6DDFE253">
            <w:pPr>
              <w:pStyle w:val="5"/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0" w:beforeAutospacing="0" w:after="0" w:afterAutospacing="0" w:line="480" w:lineRule="exact"/>
              <w:ind w:left="0" w:right="0" w:firstLine="0" w:firstLineChars="0"/>
              <w:textAlignment w:val="baseline"/>
              <w:rPr>
                <w:rFonts w:hint="eastAsia" w:ascii="宋体" w:hAnsi="宋体" w:eastAsia="宋体" w:cs="宋体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highlight w:val="none"/>
              </w:rPr>
              <w:t>2.符合本校对评审专家的以下要求，由评审单位予以确认：</w:t>
            </w:r>
          </w:p>
          <w:p w14:paraId="59DA46DD">
            <w:pPr>
              <w:pStyle w:val="5"/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0" w:beforeAutospacing="0" w:after="0" w:afterAutospacing="0" w:line="480" w:lineRule="exact"/>
              <w:ind w:left="0" w:right="0" w:firstLine="0" w:firstLineChars="0"/>
              <w:textAlignment w:val="baseline"/>
              <w:rPr>
                <w:rFonts w:hint="eastAsia" w:ascii="宋体" w:hAnsi="宋体" w:eastAsia="宋体" w:cs="宋体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highlight w:val="none"/>
              </w:rPr>
              <w:t>博士论文评审专家：博士生导师，或正高级职称；</w:t>
            </w:r>
          </w:p>
          <w:p w14:paraId="74146EC9">
            <w:pPr>
              <w:pStyle w:val="5"/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0" w:beforeAutospacing="0" w:after="0" w:afterAutospacing="0" w:line="480" w:lineRule="exact"/>
              <w:ind w:left="0" w:right="0" w:firstLine="0" w:firstLineChars="0"/>
              <w:textAlignment w:val="baseline"/>
              <w:rPr>
                <w:rFonts w:hint="eastAsia" w:ascii="宋体" w:hAnsi="宋体" w:eastAsia="宋体" w:cs="宋体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highlight w:val="none"/>
              </w:rPr>
              <w:t>硕士论文评审专家：硕士生导师，或副高级及以上职称；</w:t>
            </w:r>
          </w:p>
          <w:p w14:paraId="4CAD750E">
            <w:pPr>
              <w:pStyle w:val="5"/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0" w:beforeAutospacing="0" w:after="0" w:afterAutospacing="0" w:line="480" w:lineRule="exact"/>
              <w:ind w:left="0" w:right="0" w:firstLine="0" w:firstLineChars="0"/>
              <w:textAlignment w:val="baseline"/>
              <w:rPr>
                <w:rFonts w:hint="eastAsia" w:ascii="宋体" w:hAnsi="宋体" w:eastAsia="宋体" w:cs="宋体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highlight w:val="none"/>
              </w:rPr>
              <w:t>评审专家的学科专业与论文作者的二级学科一致，且研究方向相关评审专家的学科专业与论文作者的二级学科一致，且研究方向相关。</w:t>
            </w:r>
          </w:p>
          <w:p w14:paraId="49A8F409">
            <w:pPr>
              <w:pStyle w:val="5"/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0" w:beforeAutospacing="0" w:after="0" w:afterAutospacing="0" w:line="480" w:lineRule="exact"/>
              <w:ind w:left="0" w:right="0" w:firstLine="0" w:firstLineChars="0"/>
              <w:textAlignment w:val="baseline"/>
              <w:rPr>
                <w:rFonts w:hint="eastAsia" w:ascii="宋体" w:hAnsi="宋体" w:eastAsia="宋体" w:cs="宋体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highlight w:val="none"/>
              </w:rPr>
              <w:t>3.</w:t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  <w:t>博士论文送审篇数640篇，硕士论文送审篇数2600篇；</w:t>
            </w:r>
          </w:p>
          <w:p w14:paraId="06FC3BB6">
            <w:pPr>
              <w:pStyle w:val="5"/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0" w:beforeAutospacing="0" w:after="0" w:afterAutospacing="0" w:line="480" w:lineRule="exact"/>
              <w:ind w:left="0" w:right="0" w:firstLine="0" w:firstLineChars="0"/>
              <w:textAlignment w:val="baseline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highlight w:val="none"/>
              </w:rPr>
              <w:t>4.平台须建立严格的数据安全与保密机制，确保学位论文及相关评审信息全程加密存储、规范流转、严格管控使用权限，坚决杜绝学位论文内容泄露、外传、滥用或违规复制，切实保障我校研究生学术成果与评审工作安全。</w:t>
            </w:r>
          </w:p>
          <w:p w14:paraId="7FEE3108">
            <w:pPr>
              <w:pStyle w:val="5"/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0" w:beforeAutospacing="0" w:after="0" w:afterAutospacing="0" w:line="480" w:lineRule="exact"/>
              <w:ind w:left="0" w:right="0" w:firstLine="0" w:firstLineChars="0"/>
              <w:textAlignment w:val="baseline"/>
              <w:rPr>
                <w:rFonts w:hint="default" w:ascii="宋体" w:hAnsi="宋体" w:eastAsia="宋体" w:cs="宋体"/>
                <w:color w:val="00000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default" w:ascii="宋体" w:hAnsi="宋体" w:eastAsia="宋体" w:cs="宋体"/>
                <w:color w:val="auto"/>
                <w:sz w:val="24"/>
                <w:szCs w:val="24"/>
                <w:highlight w:val="none"/>
                <w:lang w:val="en-US" w:eastAsia="zh-CN"/>
              </w:rPr>
              <w:t>5.本项目需提供团队人员不少于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val="en-US" w:eastAsia="zh-CN"/>
              </w:rPr>
              <w:t>2</w:t>
            </w:r>
            <w:r>
              <w:rPr>
                <w:rFonts w:hint="default" w:ascii="宋体" w:hAnsi="宋体" w:eastAsia="宋体" w:cs="宋体"/>
                <w:color w:val="auto"/>
                <w:sz w:val="24"/>
                <w:szCs w:val="24"/>
                <w:highlight w:val="none"/>
                <w:lang w:val="en-US" w:eastAsia="zh-CN"/>
              </w:rPr>
              <w:t>人</w:t>
            </w:r>
            <w:r>
              <w:rPr>
                <w:rFonts w:hint="default" w:ascii="宋体" w:hAnsi="宋体" w:eastAsia="宋体" w:cs="宋体"/>
                <w:b/>
                <w:bCs/>
                <w:color w:val="auto"/>
                <w:sz w:val="24"/>
                <w:szCs w:val="24"/>
                <w:highlight w:val="none"/>
                <w:lang w:val="en-US" w:eastAsia="zh-CN"/>
              </w:rPr>
              <w:t>（响应文件中提供拟派本项目团队人员名单及磋商截止时间前3个月内任意1个月供应商为其缴纳的社保材料扫描件并加盖供应商公章</w:t>
            </w:r>
            <w:r>
              <w:rPr>
                <w:rFonts w:hint="eastAsia" w:ascii="宋体" w:hAnsi="宋体" w:eastAsia="宋体" w:cs="宋体"/>
                <w:b/>
                <w:bCs/>
                <w:color w:val="auto"/>
                <w:sz w:val="24"/>
                <w:szCs w:val="24"/>
                <w:highlight w:val="none"/>
                <w:lang w:val="en-US" w:eastAsia="zh-CN"/>
              </w:rPr>
              <w:t>，未提供的视为无效响应</w:t>
            </w:r>
            <w:r>
              <w:rPr>
                <w:rFonts w:hint="default" w:ascii="宋体" w:hAnsi="宋体" w:eastAsia="宋体" w:cs="宋体"/>
                <w:b/>
                <w:bCs/>
                <w:color w:val="auto"/>
                <w:sz w:val="24"/>
                <w:szCs w:val="24"/>
                <w:highlight w:val="none"/>
                <w:lang w:val="en-US" w:eastAsia="zh-CN"/>
              </w:rPr>
              <w:t>）</w:t>
            </w:r>
            <w:r>
              <w:rPr>
                <w:rFonts w:hint="default" w:ascii="宋体" w:hAnsi="宋体" w:eastAsia="宋体" w:cs="宋体"/>
                <w:color w:val="auto"/>
                <w:sz w:val="24"/>
                <w:szCs w:val="24"/>
                <w:highlight w:val="none"/>
                <w:lang w:val="en-US" w:eastAsia="zh-CN"/>
              </w:rPr>
              <w:t>。</w:t>
            </w:r>
          </w:p>
        </w:tc>
        <w:tc>
          <w:tcPr>
            <w:tcW w:w="1332" w:type="dxa"/>
            <w:noWrap/>
            <w:vAlign w:val="center"/>
          </w:tcPr>
          <w:p w14:paraId="714CC228">
            <w:pPr>
              <w:pStyle w:val="5"/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0" w:beforeAutospacing="0" w:after="0" w:afterAutospacing="0" w:line="480" w:lineRule="exact"/>
              <w:ind w:left="0" w:right="0" w:firstLine="0" w:firstLineChars="0"/>
              <w:jc w:val="center"/>
              <w:textAlignment w:val="baseline"/>
              <w:rPr>
                <w:rFonts w:hint="eastAsia" w:ascii="宋体" w:hAnsi="宋体" w:eastAsia="宋体" w:cs="宋体"/>
                <w:color w:val="000000" w:themeColor="text1"/>
                <w:sz w:val="24"/>
                <w:szCs w:val="24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kern w:val="2"/>
                <w:sz w:val="24"/>
                <w:szCs w:val="24"/>
                <w:highlight w:val="none"/>
              </w:rPr>
              <w:t>博士论文640篇，硕士论文2600篇</w:t>
            </w:r>
          </w:p>
        </w:tc>
      </w:tr>
    </w:tbl>
    <w:p w14:paraId="2ABDF389">
      <w:pPr>
        <w:spacing w:line="400" w:lineRule="exact"/>
        <w:rPr>
          <w:rFonts w:ascii="宋体" w:hAnsi="宋体" w:eastAsia="宋体" w:cs="宋体"/>
          <w:kern w:val="2"/>
          <w:sz w:val="24"/>
          <w:szCs w:val="24"/>
          <w:highlight w:val="none"/>
          <w:lang w:eastAsia="zh-CN"/>
        </w:rPr>
      </w:pPr>
    </w:p>
    <w:p w14:paraId="662A41B3">
      <w:pPr>
        <w:spacing w:line="400" w:lineRule="exact"/>
        <w:rPr>
          <w:rFonts w:ascii="宋体" w:hAnsi="宋体" w:eastAsia="宋体" w:cs="宋体"/>
          <w:b/>
          <w:spacing w:val="2"/>
          <w:sz w:val="24"/>
          <w:highlight w:val="none"/>
          <w:lang w:eastAsia="zh-CN"/>
        </w:rPr>
      </w:pPr>
      <w:r>
        <w:rPr>
          <w:rFonts w:hint="eastAsia" w:ascii="宋体" w:hAnsi="宋体" w:eastAsia="宋体" w:cs="宋体"/>
          <w:b/>
          <w:spacing w:val="2"/>
          <w:sz w:val="24"/>
          <w:highlight w:val="none"/>
          <w:lang w:eastAsia="zh-CN"/>
        </w:rPr>
        <w:t>注：</w:t>
      </w:r>
      <w:r>
        <w:rPr>
          <w:rFonts w:hint="eastAsia" w:ascii="宋体" w:hAnsi="宋体" w:eastAsia="宋体" w:cs="宋体"/>
          <w:b/>
          <w:sz w:val="24"/>
          <w:szCs w:val="24"/>
          <w:highlight w:val="none"/>
          <w:lang w:eastAsia="zh-CN"/>
        </w:rPr>
        <w:t>以上所有的服务要求为必须满足项，否则作无效响应处理。</w:t>
      </w:r>
    </w:p>
    <w:p w14:paraId="73C76089">
      <w:bookmarkStart w:id="1" w:name="_GoBack"/>
      <w:bookmarkEnd w:id="1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A1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88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CBEB1F99"/>
    <w:multiLevelType w:val="singleLevel"/>
    <w:tmpl w:val="CBEB1F99"/>
    <w:lvl w:ilvl="0" w:tentative="0">
      <w:start w:val="1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6F71405"/>
    <w:rsid w:val="76F714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kinsoku w:val="0"/>
      <w:autoSpaceDE w:val="0"/>
      <w:autoSpaceDN w:val="0"/>
      <w:adjustRightInd w:val="0"/>
      <w:snapToGrid w:val="0"/>
      <w:textAlignment w:val="baseline"/>
    </w:pPr>
    <w:rPr>
      <w:rFonts w:ascii="Arial" w:hAnsi="Arial" w:eastAsia="Arial" w:cs="Arial"/>
      <w:snapToGrid w:val="0"/>
      <w:color w:val="000000"/>
      <w:sz w:val="21"/>
      <w:szCs w:val="21"/>
      <w:lang w:val="en-US" w:eastAsia="en-US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spacing w:before="100" w:beforeAutospacing="1" w:after="100" w:afterAutospacing="1"/>
    </w:pPr>
    <w:rPr>
      <w:rFonts w:ascii="宋体" w:hAnsi="宋体" w:eastAsia="宋体" w:cs="宋体"/>
      <w:sz w:val="24"/>
    </w:rPr>
  </w:style>
  <w:style w:type="paragraph" w:styleId="5">
    <w:name w:val="List Paragraph"/>
    <w:basedOn w:val="1"/>
    <w:unhideWhenUsed/>
    <w:qFormat/>
    <w:uiPriority w:val="99"/>
    <w:pPr>
      <w:ind w:firstLine="420" w:firstLineChars="200"/>
    </w:pPr>
  </w:style>
  <w:style w:type="paragraph" w:customStyle="1" w:styleId="6">
    <w:name w:val="正文首行缩进1"/>
    <w:basedOn w:val="1"/>
    <w:autoRedefine/>
    <w:qFormat/>
    <w:uiPriority w:val="99"/>
    <w:pPr>
      <w:spacing w:after="120"/>
      <w:ind w:firstLine="420" w:firstLineChars="100"/>
    </w:p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Office_12.1.0.25865_F1E327BC-269C-435d-A152-05C5408002CA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2026-05-15T06:10:00Z</dcterms:created>
  <dc:creator>桃啊逃</dc:creator>
  <cp:lastModifiedBy>桃啊逃</cp:lastModifiedBy>
  <dcterms:modified xsi:type="dcterms:W3CDTF">2026-05-15T06:10:38Z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2052-12.1.0.25865</vt:lpwstr>
  </property>
  <property fmtid="{D5CDD505-2E9C-101B-9397-08002B2CF9AE}" pid="3" name="ICV">
    <vt:lpwstr>772987F99A5E442CAA1E6DB1AA824A9E_11</vt:lpwstr>
  </property>
  <property fmtid="{D5CDD505-2E9C-101B-9397-08002B2CF9AE}" pid="4" name="KSOTemplateDocerSaveRecord">
    <vt:lpwstr>eyJoZGlkIjoiMTNhODQ5YmY5NTljYTQxNjRlMDAwNDYyNjQ1MTY5OGMiLCJ1c2VySWQiOiI0NDE1ODI5MTIifQ==</vt:lpwstr>
  </property>
</Properties>
</file>