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3747FE">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outlineLvl w:val="1"/>
        <w:rPr>
          <w:rFonts w:hint="eastAsia" w:ascii="仿宋" w:hAnsi="仿宋" w:eastAsia="仿宋" w:cs="仿宋"/>
          <w:b/>
          <w:bCs/>
          <w:color w:val="auto"/>
          <w:spacing w:val="-6"/>
          <w:sz w:val="27"/>
          <w:szCs w:val="27"/>
          <w:highlight w:val="none"/>
          <w:lang w:eastAsia="zh-CN"/>
        </w:rPr>
      </w:pPr>
      <w:bookmarkStart w:id="0" w:name="_Toc15964"/>
      <w:r>
        <w:rPr>
          <w:rFonts w:hint="eastAsia" w:ascii="仿宋" w:hAnsi="仿宋" w:eastAsia="仿宋" w:cs="仿宋"/>
          <w:b/>
          <w:bCs/>
          <w:color w:val="auto"/>
          <w:spacing w:val="-6"/>
          <w:sz w:val="27"/>
          <w:szCs w:val="27"/>
          <w:highlight w:val="none"/>
          <w:lang w:eastAsia="zh-CN"/>
        </w:rPr>
        <w:t xml:space="preserve">（一） </w:t>
      </w:r>
      <w:r>
        <w:rPr>
          <w:rFonts w:hint="eastAsia" w:ascii="仿宋" w:hAnsi="仿宋" w:eastAsia="仿宋" w:cs="仿宋"/>
          <w:b/>
          <w:bCs/>
          <w:color w:val="auto"/>
          <w:spacing w:val="-6"/>
          <w:sz w:val="27"/>
          <w:szCs w:val="27"/>
          <w:highlight w:val="none"/>
          <w:lang w:val="en-US" w:eastAsia="zh-CN"/>
        </w:rPr>
        <w:t>服务</w:t>
      </w:r>
      <w:r>
        <w:rPr>
          <w:rFonts w:hint="eastAsia" w:ascii="仿宋" w:hAnsi="仿宋" w:eastAsia="仿宋" w:cs="仿宋"/>
          <w:b/>
          <w:bCs/>
          <w:color w:val="auto"/>
          <w:spacing w:val="-6"/>
          <w:sz w:val="27"/>
          <w:szCs w:val="27"/>
          <w:highlight w:val="none"/>
          <w:lang w:eastAsia="zh-CN"/>
        </w:rPr>
        <w:t>需求</w:t>
      </w:r>
      <w:bookmarkEnd w:id="0"/>
    </w:p>
    <w:p w14:paraId="0355A984">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ascii="仿宋" w:hAnsi="仿宋" w:eastAsia="仿宋" w:cs="宋体"/>
          <w:color w:val="auto"/>
          <w:kern w:val="0"/>
          <w:sz w:val="27"/>
          <w:szCs w:val="27"/>
        </w:rPr>
      </w:pPr>
      <w:r>
        <w:rPr>
          <w:rFonts w:hint="eastAsia" w:ascii="仿宋" w:hAnsi="仿宋" w:eastAsia="仿宋" w:cs="宋体"/>
          <w:color w:val="auto"/>
          <w:kern w:val="0"/>
          <w:sz w:val="27"/>
          <w:szCs w:val="27"/>
        </w:rPr>
        <w:t>1</w:t>
      </w:r>
      <w:r>
        <w:rPr>
          <w:rFonts w:hint="eastAsia" w:ascii="仿宋" w:hAnsi="仿宋" w:eastAsia="仿宋" w:cs="宋体"/>
          <w:color w:val="auto"/>
          <w:kern w:val="0"/>
          <w:sz w:val="27"/>
          <w:szCs w:val="27"/>
          <w:lang w:val="en-US" w:eastAsia="zh-CN"/>
        </w:rPr>
        <w:t>.</w:t>
      </w:r>
      <w:r>
        <w:rPr>
          <w:rFonts w:hint="eastAsia" w:ascii="仿宋" w:hAnsi="仿宋" w:eastAsia="仿宋" w:cs="宋体"/>
          <w:color w:val="auto"/>
          <w:kern w:val="0"/>
          <w:sz w:val="27"/>
          <w:szCs w:val="27"/>
        </w:rPr>
        <w:t>响应供应商须</w:t>
      </w:r>
      <w:r>
        <w:rPr>
          <w:rFonts w:hint="eastAsia" w:ascii="仿宋" w:hAnsi="仿宋" w:eastAsia="仿宋"/>
          <w:color w:val="auto"/>
          <w:sz w:val="27"/>
          <w:szCs w:val="27"/>
        </w:rPr>
        <w:t>提供符合国家最新相关标准的服务</w:t>
      </w:r>
      <w:r>
        <w:rPr>
          <w:rFonts w:hint="eastAsia" w:ascii="仿宋" w:hAnsi="仿宋" w:eastAsia="仿宋" w:cs="宋体"/>
          <w:color w:val="auto"/>
          <w:kern w:val="0"/>
          <w:sz w:val="27"/>
          <w:szCs w:val="27"/>
        </w:rPr>
        <w:t>。</w:t>
      </w:r>
    </w:p>
    <w:p w14:paraId="6359824F">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lang w:val="en-US" w:eastAsia="zh-CN"/>
        </w:rPr>
        <w:t>2.</w:t>
      </w:r>
      <w:r>
        <w:rPr>
          <w:rFonts w:hint="eastAsia" w:ascii="仿宋" w:hAnsi="仿宋" w:eastAsia="仿宋" w:cs="宋体"/>
          <w:color w:val="auto"/>
          <w:kern w:val="0"/>
          <w:sz w:val="27"/>
          <w:szCs w:val="27"/>
        </w:rPr>
        <w:t>服务如为某单位的专利，请响应供应商在答疑期内告知政府采购代理机构。所有服务的知识产权问题，由各响应供应商自行负责。响应供应商须保障采购人在使用该服务或其任何一部分时不受到第三方关于侵犯专利权、商标权或设计权等知识产权的指控。如有任何第三方提出侵权指控均与采购人无关，响应供应商须与第三方交涉并承担可能发生的责任与一切费用。如采购人因此而遭致损失的，响应供应商应赔偿该损失。</w:t>
      </w:r>
    </w:p>
    <w:p w14:paraId="220B7492">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lang w:val="en-US" w:eastAsia="zh-CN"/>
        </w:rPr>
        <w:t>3.</w:t>
      </w:r>
      <w:r>
        <w:rPr>
          <w:rFonts w:hint="eastAsia" w:ascii="仿宋" w:hAnsi="仿宋" w:eastAsia="仿宋" w:cs="宋体"/>
          <w:color w:val="auto"/>
          <w:kern w:val="0"/>
          <w:sz w:val="27"/>
          <w:szCs w:val="27"/>
        </w:rPr>
        <w:t>本磋商文件提出的是最低限度的要求，响应供应商的方案应达到或优于本磋商文件要求，且符合国家有关标准和规范要求。本部分“三、采购项目需求”均属于不允许负偏离的实质性要求和条件。</w:t>
      </w:r>
    </w:p>
    <w:p w14:paraId="42A31F3B">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lang w:eastAsia="zh-CN"/>
        </w:rPr>
      </w:pPr>
      <w:r>
        <w:rPr>
          <w:rFonts w:hint="eastAsia" w:ascii="仿宋" w:hAnsi="仿宋" w:eastAsia="仿宋" w:cs="宋体"/>
          <w:color w:val="auto"/>
          <w:kern w:val="0"/>
          <w:sz w:val="27"/>
          <w:szCs w:val="27"/>
          <w:lang w:val="en-US" w:eastAsia="zh-CN"/>
        </w:rPr>
        <w:t>4.本项目报价包含完成本项目所需的全部费用，涵盖外业与内业工作产生的人工费、设备使用费、材料费、交通费，文档及图档的打印、装订与寄送费用，成果编制（含前期相关论证及成果评审费），以及合同实施过程中可预见与不可预见的各类费用。上述费用已覆盖履行合同规定责任义务、实现合同目标所需的一切支出。</w:t>
      </w:r>
    </w:p>
    <w:p w14:paraId="2A191DF2">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2" w:firstLineChars="200"/>
        <w:jc w:val="left"/>
        <w:textAlignment w:val="baseline"/>
        <w:rPr>
          <w:rFonts w:hint="eastAsia" w:ascii="仿宋" w:hAnsi="仿宋" w:eastAsia="仿宋" w:cs="宋体"/>
          <w:b/>
          <w:bCs/>
          <w:color w:val="auto"/>
          <w:kern w:val="0"/>
          <w:sz w:val="27"/>
          <w:szCs w:val="27"/>
          <w:lang w:val="en-US" w:eastAsia="zh-CN"/>
        </w:rPr>
      </w:pPr>
      <w:r>
        <w:rPr>
          <w:rFonts w:hint="eastAsia" w:ascii="仿宋" w:hAnsi="仿宋" w:eastAsia="仿宋" w:cs="宋体"/>
          <w:b/>
          <w:bCs/>
          <w:color w:val="auto"/>
          <w:kern w:val="0"/>
          <w:sz w:val="27"/>
          <w:szCs w:val="27"/>
          <w:lang w:val="en-US" w:eastAsia="zh-CN"/>
        </w:rPr>
        <w:t>5.服务内容及要求</w:t>
      </w:r>
    </w:p>
    <w:p w14:paraId="2E56A2B8">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2" w:firstLineChars="200"/>
        <w:jc w:val="left"/>
        <w:textAlignment w:val="baseline"/>
        <w:rPr>
          <w:rFonts w:hint="eastAsia" w:ascii="仿宋" w:hAnsi="仿宋" w:eastAsia="仿宋" w:cs="宋体"/>
          <w:b/>
          <w:bCs/>
          <w:color w:val="auto"/>
          <w:kern w:val="0"/>
          <w:sz w:val="27"/>
          <w:szCs w:val="27"/>
          <w:lang w:val="en-US" w:eastAsia="zh-CN"/>
        </w:rPr>
      </w:pPr>
      <w:r>
        <w:rPr>
          <w:rFonts w:hint="eastAsia" w:ascii="仿宋" w:hAnsi="仿宋" w:eastAsia="仿宋" w:cs="宋体"/>
          <w:b/>
          <w:bCs/>
          <w:color w:val="auto"/>
          <w:kern w:val="0"/>
          <w:sz w:val="27"/>
          <w:szCs w:val="27"/>
          <w:lang w:val="en-US" w:eastAsia="zh-CN"/>
        </w:rPr>
        <w:t>5.1总体服务要求</w:t>
      </w:r>
    </w:p>
    <w:p w14:paraId="00FB6499">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default" w:ascii="仿宋" w:hAnsi="仿宋" w:eastAsia="仿宋" w:cs="宋体"/>
          <w:color w:val="auto"/>
          <w:kern w:val="0"/>
          <w:sz w:val="27"/>
          <w:szCs w:val="27"/>
          <w:lang w:val="en-US" w:eastAsia="zh-CN"/>
        </w:rPr>
      </w:pPr>
      <w:r>
        <w:rPr>
          <w:rFonts w:hint="eastAsia" w:ascii="仿宋" w:hAnsi="仿宋" w:eastAsia="仿宋" w:cs="宋体"/>
          <w:color w:val="auto"/>
          <w:kern w:val="0"/>
          <w:sz w:val="27"/>
          <w:szCs w:val="27"/>
          <w:lang w:val="en-US" w:eastAsia="zh-CN"/>
        </w:rPr>
        <w:t>（1）成交供应商须提供全周期、一站式、本地化全过程咨询服务，覆盖政策编制、宣贯培训、方案审核、过程管控、中期评估、终期验收、总结推广全链条。</w:t>
      </w:r>
    </w:p>
    <w:p w14:paraId="34BDF7C2">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lang w:val="en-US" w:eastAsia="zh-CN"/>
        </w:rPr>
      </w:pPr>
      <w:r>
        <w:rPr>
          <w:rFonts w:hint="eastAsia" w:ascii="仿宋" w:hAnsi="仿宋" w:eastAsia="仿宋" w:cs="宋体"/>
          <w:color w:val="auto"/>
          <w:kern w:val="0"/>
          <w:sz w:val="27"/>
          <w:szCs w:val="27"/>
          <w:lang w:val="en-US" w:eastAsia="zh-CN"/>
        </w:rPr>
        <w:t>（2）提供驻场 1 人、</w:t>
      </w:r>
      <w:r>
        <w:rPr>
          <w:rFonts w:hint="default" w:ascii="仿宋" w:hAnsi="仿宋" w:eastAsia="仿宋" w:cs="宋体"/>
          <w:color w:val="auto"/>
          <w:kern w:val="0"/>
          <w:sz w:val="27"/>
          <w:szCs w:val="27"/>
          <w:lang w:val="en-US" w:eastAsia="zh-CN"/>
        </w:rPr>
        <w:t>1</w:t>
      </w:r>
      <w:r>
        <w:rPr>
          <w:rFonts w:hint="eastAsia" w:ascii="仿宋" w:hAnsi="仿宋" w:eastAsia="仿宋" w:cs="宋体"/>
          <w:color w:val="auto"/>
          <w:kern w:val="0"/>
          <w:sz w:val="27"/>
          <w:szCs w:val="27"/>
          <w:lang w:val="en-US" w:eastAsia="zh-CN"/>
        </w:rPr>
        <w:t xml:space="preserve"> 年本地化服务，响应时间≤2 小时，到场处理≤4 小时。</w:t>
      </w:r>
    </w:p>
    <w:p w14:paraId="3675B453">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lang w:val="en-US" w:eastAsia="zh-CN"/>
        </w:rPr>
      </w:pPr>
      <w:r>
        <w:rPr>
          <w:rFonts w:hint="eastAsia" w:ascii="仿宋" w:hAnsi="仿宋" w:eastAsia="仿宋" w:cs="宋体"/>
          <w:color w:val="auto"/>
          <w:kern w:val="0"/>
          <w:sz w:val="27"/>
          <w:szCs w:val="27"/>
          <w:lang w:val="en-US" w:eastAsia="zh-CN"/>
        </w:rPr>
        <w:t>（3）所有成果符合国家、行业、江西省及定南县标准，通过省、县两级考核验收。</w:t>
      </w:r>
    </w:p>
    <w:p w14:paraId="0675E43B">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lang w:val="en-US" w:eastAsia="zh-CN"/>
        </w:rPr>
      </w:pPr>
      <w:r>
        <w:rPr>
          <w:rFonts w:hint="eastAsia" w:ascii="仿宋" w:hAnsi="仿宋" w:eastAsia="仿宋" w:cs="宋体"/>
          <w:color w:val="auto"/>
          <w:kern w:val="0"/>
          <w:sz w:val="27"/>
          <w:szCs w:val="27"/>
          <w:lang w:val="en-US" w:eastAsia="zh-CN"/>
        </w:rPr>
        <w:t>（4）严格保密，未经书面许可不得泄露任何资料、数据，保密责任长期有效。</w:t>
      </w:r>
    </w:p>
    <w:p w14:paraId="4E3A3895">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2" w:firstLineChars="200"/>
        <w:jc w:val="left"/>
        <w:textAlignment w:val="baseline"/>
        <w:rPr>
          <w:rFonts w:hint="eastAsia" w:ascii="仿宋" w:hAnsi="仿宋" w:eastAsia="仿宋" w:cs="宋体"/>
          <w:b/>
          <w:bCs/>
          <w:color w:val="auto"/>
          <w:kern w:val="0"/>
          <w:sz w:val="27"/>
          <w:szCs w:val="27"/>
          <w:lang w:val="en-US" w:eastAsia="zh-CN"/>
        </w:rPr>
      </w:pPr>
      <w:r>
        <w:rPr>
          <w:rFonts w:hint="eastAsia" w:ascii="仿宋" w:hAnsi="仿宋" w:eastAsia="仿宋" w:cs="宋体"/>
          <w:b/>
          <w:bCs/>
          <w:color w:val="auto"/>
          <w:kern w:val="0"/>
          <w:sz w:val="27"/>
          <w:szCs w:val="27"/>
          <w:lang w:val="en-US" w:eastAsia="zh-CN"/>
        </w:rPr>
        <w:t>5.2服务内容</w:t>
      </w:r>
    </w:p>
    <w:p w14:paraId="1C93DF7B">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2" w:firstLineChars="200"/>
        <w:jc w:val="left"/>
        <w:textAlignment w:val="baseline"/>
        <w:rPr>
          <w:rFonts w:hint="eastAsia" w:ascii="仿宋" w:hAnsi="仿宋" w:eastAsia="仿宋" w:cs="宋体"/>
          <w:color w:val="auto"/>
          <w:kern w:val="0"/>
          <w:sz w:val="27"/>
          <w:szCs w:val="27"/>
          <w:lang w:val="en-US" w:eastAsia="zh-CN"/>
        </w:rPr>
      </w:pPr>
      <w:r>
        <w:rPr>
          <w:rFonts w:hint="eastAsia" w:ascii="仿宋" w:hAnsi="仿宋" w:eastAsia="仿宋" w:cs="宋体"/>
          <w:b/>
          <w:bCs/>
          <w:color w:val="auto"/>
          <w:kern w:val="0"/>
          <w:sz w:val="27"/>
          <w:szCs w:val="27"/>
          <w:lang w:val="en-US" w:eastAsia="zh-CN"/>
        </w:rPr>
        <w:t>（1）政策文件编制服务</w:t>
      </w:r>
      <w:r>
        <w:rPr>
          <w:rFonts w:hint="eastAsia" w:ascii="仿宋" w:hAnsi="仿宋" w:eastAsia="仿宋" w:cs="宋体"/>
          <w:color w:val="auto"/>
          <w:kern w:val="0"/>
          <w:sz w:val="27"/>
          <w:szCs w:val="27"/>
          <w:lang w:val="en-US" w:eastAsia="zh-CN"/>
        </w:rPr>
        <w:t>：协助整理《定南县2025年产业集群和中小企业数字化转型试点工作全过程咨询服务实施方案》《定南县产业集群数字化转型试点实施方案》《定南县有色新材料、电子信息、新能源行业数字化转型解决方案和产品清单》《定南县制造业数字化转型服务商及“小快轻准”数字化解决方案和产品遴选》《定南县2025年产业集群和中小企业数字化转型试点工作资金管理办法及申报指南》等试点工作系列材料，推进2026年中期评估和2027年终期验收工作，全流程服务支撑定南县开展产业集群试点实施工作。</w:t>
      </w:r>
    </w:p>
    <w:p w14:paraId="147DF3A4">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2" w:firstLineChars="200"/>
        <w:jc w:val="left"/>
        <w:textAlignment w:val="baseline"/>
        <w:rPr>
          <w:rFonts w:hint="eastAsia" w:ascii="仿宋" w:hAnsi="仿宋" w:eastAsia="仿宋" w:cs="宋体"/>
          <w:color w:val="auto"/>
          <w:kern w:val="0"/>
          <w:sz w:val="27"/>
          <w:szCs w:val="27"/>
          <w:lang w:val="en-US" w:eastAsia="zh-CN"/>
        </w:rPr>
      </w:pPr>
      <w:r>
        <w:rPr>
          <w:rFonts w:hint="eastAsia" w:ascii="仿宋" w:hAnsi="仿宋" w:eastAsia="仿宋" w:cs="宋体"/>
          <w:b/>
          <w:bCs/>
          <w:color w:val="auto"/>
          <w:kern w:val="0"/>
          <w:sz w:val="27"/>
          <w:szCs w:val="27"/>
          <w:lang w:val="en-US" w:eastAsia="zh-CN"/>
        </w:rPr>
        <w:t>（2）政策宣贯与企业服务</w:t>
      </w:r>
      <w:r>
        <w:rPr>
          <w:rFonts w:hint="eastAsia" w:ascii="仿宋" w:hAnsi="仿宋" w:eastAsia="仿宋" w:cs="宋体"/>
          <w:color w:val="auto"/>
          <w:kern w:val="0"/>
          <w:sz w:val="27"/>
          <w:szCs w:val="27"/>
          <w:lang w:val="en-US" w:eastAsia="zh-CN"/>
        </w:rPr>
        <w:t>：</w:t>
      </w:r>
    </w:p>
    <w:p w14:paraId="202316B5">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C00000"/>
          <w:kern w:val="0"/>
          <w:sz w:val="27"/>
          <w:szCs w:val="27"/>
          <w:lang w:val="en-US" w:eastAsia="zh-CN"/>
        </w:rPr>
      </w:pPr>
      <w:r>
        <w:rPr>
          <w:rFonts w:hint="eastAsia" w:ascii="仿宋" w:hAnsi="仿宋" w:eastAsia="仿宋" w:cs="宋体"/>
          <w:color w:val="auto"/>
          <w:kern w:val="0"/>
          <w:sz w:val="27"/>
          <w:szCs w:val="27"/>
          <w:lang w:val="en-US" w:eastAsia="zh-CN"/>
        </w:rPr>
        <w:t>①按照《江西省工业和信息化厅关于开展数转入企诊断和改造项目申报通知》《关于做好赣州市2025年省级入企诊断和数字化改造提档升级专项申报工作的通知》等文件要求，为数转试点改造企业提供全面监理服务内容，本县规上企业全包。其中提档升级改造到L6级及</w:t>
      </w:r>
      <w:r>
        <w:rPr>
          <w:rFonts w:hint="eastAsia" w:ascii="仿宋" w:hAnsi="仿宋" w:eastAsia="仿宋" w:cs="宋体"/>
          <w:color w:val="auto"/>
          <w:kern w:val="0"/>
          <w:sz w:val="27"/>
          <w:szCs w:val="27"/>
          <w:shd w:val="clear" w:color="auto" w:fill="auto"/>
          <w:lang w:val="en-US" w:eastAsia="zh-CN"/>
        </w:rPr>
        <w:t>以上企业约</w:t>
      </w:r>
      <w:r>
        <w:rPr>
          <w:rFonts w:hint="default" w:ascii="仿宋" w:hAnsi="仿宋" w:eastAsia="仿宋" w:cs="宋体"/>
          <w:color w:val="auto"/>
          <w:kern w:val="0"/>
          <w:sz w:val="27"/>
          <w:szCs w:val="27"/>
          <w:shd w:val="clear" w:color="auto" w:fill="auto"/>
          <w:lang w:val="en-US" w:eastAsia="zh-CN"/>
        </w:rPr>
        <w:t>20</w:t>
      </w:r>
      <w:r>
        <w:rPr>
          <w:rFonts w:hint="eastAsia" w:ascii="仿宋" w:hAnsi="仿宋" w:eastAsia="仿宋" w:cs="宋体"/>
          <w:color w:val="auto"/>
          <w:kern w:val="0"/>
          <w:sz w:val="27"/>
          <w:szCs w:val="27"/>
          <w:shd w:val="clear" w:color="auto" w:fill="auto"/>
          <w:lang w:val="en-US" w:eastAsia="zh-CN"/>
        </w:rPr>
        <w:t>家。</w:t>
      </w:r>
    </w:p>
    <w:p w14:paraId="3318F481">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default" w:ascii="仿宋" w:hAnsi="仿宋" w:eastAsia="仿宋" w:cs="宋体"/>
          <w:color w:val="auto"/>
          <w:kern w:val="0"/>
          <w:sz w:val="27"/>
          <w:szCs w:val="27"/>
          <w:lang w:val="en-US" w:eastAsia="zh-CN"/>
        </w:rPr>
      </w:pPr>
      <w:r>
        <w:rPr>
          <w:rFonts w:hint="eastAsia" w:ascii="仿宋" w:hAnsi="仿宋" w:eastAsia="仿宋" w:cs="宋体"/>
          <w:color w:val="auto"/>
          <w:kern w:val="0"/>
          <w:sz w:val="27"/>
          <w:szCs w:val="27"/>
          <w:lang w:val="en-US" w:eastAsia="zh-CN"/>
        </w:rPr>
        <w:t>②举办≥5 场政策宣讲、专题培训、供需对接、沙龙/座谈；覆盖园区重点企业，提升参与度与申报能力。</w:t>
      </w:r>
    </w:p>
    <w:p w14:paraId="2587F21D">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lang w:val="en-US" w:eastAsia="zh-CN"/>
        </w:rPr>
      </w:pPr>
      <w:r>
        <w:rPr>
          <w:rFonts w:hint="eastAsia" w:ascii="仿宋" w:hAnsi="仿宋" w:eastAsia="仿宋" w:cs="宋体"/>
          <w:color w:val="auto"/>
          <w:kern w:val="0"/>
          <w:sz w:val="27"/>
          <w:szCs w:val="27"/>
          <w:lang w:val="en-US" w:eastAsia="zh-CN"/>
        </w:rPr>
        <w:t>（3）方案审核与需求研判：完成</w:t>
      </w:r>
      <w:r>
        <w:rPr>
          <w:rFonts w:hint="default" w:ascii="仿宋" w:hAnsi="仿宋" w:eastAsia="仿宋" w:cs="宋体"/>
          <w:color w:val="auto"/>
          <w:kern w:val="0"/>
          <w:sz w:val="27"/>
          <w:szCs w:val="27"/>
          <w:lang w:val="en-US" w:eastAsia="zh-CN"/>
        </w:rPr>
        <w:t>20</w:t>
      </w:r>
      <w:r>
        <w:rPr>
          <w:rFonts w:hint="eastAsia" w:ascii="仿宋" w:hAnsi="仿宋" w:eastAsia="仿宋" w:cs="宋体"/>
          <w:color w:val="auto"/>
          <w:kern w:val="0"/>
          <w:sz w:val="27"/>
          <w:szCs w:val="27"/>
          <w:lang w:val="en-US" w:eastAsia="zh-CN"/>
        </w:rPr>
        <w:t>家试点企业改造合同、实施方案评审；结合《江西省制造业企业数字化发展水平评价指南》开展需求研判与现场核查。</w:t>
      </w:r>
    </w:p>
    <w:p w14:paraId="7DBEDBC2">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lang w:val="en-US" w:eastAsia="zh-CN"/>
        </w:rPr>
      </w:pPr>
      <w:r>
        <w:rPr>
          <w:rFonts w:hint="eastAsia" w:ascii="仿宋" w:hAnsi="仿宋" w:eastAsia="仿宋" w:cs="宋体"/>
          <w:color w:val="auto"/>
          <w:kern w:val="0"/>
          <w:sz w:val="27"/>
          <w:szCs w:val="27"/>
          <w:lang w:val="en-US" w:eastAsia="zh-CN"/>
        </w:rPr>
        <w:t>（4）在数字化转型实施阶段，深入项目现场，对项目实施的进度、质量、成本等方面进行监督，确保项目按照计划推进。采用不定期开展现场检查与书面报告相结合的方式，对试点企业的数字化转型过程实施全流程监管，协同服务商确保改造依照合同要求开展，杜绝虚假改造及偏离预期目标的情况出现。组织开展优质服务商以及“小快轻准”产品遴选工作，形成《定南县数字化改造优质服务商名单》和《定南县数字化转型“小快轻准”产品清单》。</w:t>
      </w:r>
    </w:p>
    <w:p w14:paraId="6612F2AD">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lang w:val="en-US" w:eastAsia="zh-CN"/>
        </w:rPr>
      </w:pPr>
      <w:r>
        <w:rPr>
          <w:rFonts w:hint="eastAsia" w:ascii="仿宋" w:hAnsi="仿宋" w:eastAsia="仿宋" w:cs="宋体"/>
          <w:color w:val="auto"/>
          <w:kern w:val="0"/>
          <w:sz w:val="27"/>
          <w:szCs w:val="27"/>
          <w:lang w:val="en-US" w:eastAsia="zh-CN"/>
        </w:rPr>
        <w:t>（5）定南县制造业数字化转型综合服务平台建设，与省级制造业数字化转型平台数据协同，为下一步场景赋能平台建设奠定基础。包括诊断管理、改造管理、贯标管理、标杆申报、门户集成、开放平台（“一图四清单”集成）以及领导驾驶舱等功能，部署在本地政务云（详见附件）</w:t>
      </w:r>
    </w:p>
    <w:p w14:paraId="44477E66">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2" w:firstLineChars="200"/>
        <w:jc w:val="left"/>
        <w:textAlignment w:val="baseline"/>
        <w:rPr>
          <w:rFonts w:hint="default" w:ascii="仿宋" w:hAnsi="仿宋" w:eastAsia="仿宋" w:cs="宋体"/>
          <w:b/>
          <w:bCs/>
          <w:color w:val="auto"/>
          <w:kern w:val="0"/>
          <w:sz w:val="27"/>
          <w:szCs w:val="27"/>
          <w:lang w:val="en-US" w:eastAsia="zh-CN"/>
        </w:rPr>
      </w:pPr>
      <w:r>
        <w:rPr>
          <w:rFonts w:hint="eastAsia" w:ascii="仿宋" w:hAnsi="仿宋" w:eastAsia="仿宋" w:cs="宋体"/>
          <w:b/>
          <w:bCs/>
          <w:color w:val="auto"/>
          <w:kern w:val="0"/>
          <w:sz w:val="27"/>
          <w:szCs w:val="27"/>
          <w:lang w:val="en-US" w:eastAsia="zh-CN"/>
        </w:rPr>
        <w:t>5.3服务标准</w:t>
      </w:r>
    </w:p>
    <w:p w14:paraId="0FA3B11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snapToGrid w:val="0"/>
          <w:color w:val="auto"/>
          <w:kern w:val="0"/>
          <w:sz w:val="27"/>
          <w:szCs w:val="27"/>
          <w:lang w:val="en-US" w:eastAsia="zh-CN" w:bidi="ar-SA"/>
        </w:rPr>
      </w:pPr>
      <w:r>
        <w:rPr>
          <w:rFonts w:hint="eastAsia" w:ascii="仿宋" w:hAnsi="仿宋" w:eastAsia="仿宋" w:cs="宋体"/>
          <w:snapToGrid w:val="0"/>
          <w:color w:val="auto"/>
          <w:kern w:val="0"/>
          <w:sz w:val="27"/>
          <w:szCs w:val="27"/>
          <w:lang w:val="en-US" w:eastAsia="zh-CN" w:bidi="ar-SA"/>
        </w:rPr>
        <w:t>（1）</w:t>
      </w:r>
      <w:r>
        <w:rPr>
          <w:rFonts w:hint="eastAsia" w:ascii="仿宋" w:hAnsi="仿宋" w:eastAsia="仿宋" w:cs="宋体"/>
          <w:color w:val="auto"/>
          <w:kern w:val="0"/>
          <w:sz w:val="27"/>
          <w:szCs w:val="27"/>
          <w:lang w:val="en-US" w:eastAsia="zh-CN"/>
        </w:rPr>
        <w:t>政策文件的编制符合《江西省工业和信息化厅 江西省财政厅关于组织申报2025年产业集群和中小企业数字化转型试点的通知》（赣工信信推〔2025〕95号）</w:t>
      </w:r>
      <w:r>
        <w:rPr>
          <w:rFonts w:hint="eastAsia" w:ascii="仿宋" w:hAnsi="仿宋" w:eastAsia="仿宋" w:cs="宋体"/>
          <w:snapToGrid w:val="0"/>
          <w:color w:val="auto"/>
          <w:kern w:val="0"/>
          <w:sz w:val="27"/>
          <w:szCs w:val="27"/>
          <w:lang w:val="en-US" w:eastAsia="zh-CN" w:bidi="ar-SA"/>
        </w:rPr>
        <w:t>文件等上级文件，体例规范、要素齐全、流程清晰、可落地执行。经县科工信局审定、专家评审通过，无原则性错误与合规风险。</w:t>
      </w:r>
    </w:p>
    <w:p w14:paraId="65BA17D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lang w:val="en-US" w:eastAsia="zh-CN"/>
        </w:rPr>
      </w:pPr>
      <w:r>
        <w:rPr>
          <w:rFonts w:hint="eastAsia" w:ascii="仿宋" w:hAnsi="仿宋" w:eastAsia="仿宋" w:cs="宋体"/>
          <w:snapToGrid w:val="0"/>
          <w:color w:val="auto"/>
          <w:kern w:val="0"/>
          <w:sz w:val="27"/>
          <w:szCs w:val="27"/>
          <w:lang w:val="en-US" w:eastAsia="zh-CN" w:bidi="ar-SA"/>
        </w:rPr>
        <w:t>（2）材料模</w:t>
      </w:r>
      <w:r>
        <w:rPr>
          <w:rFonts w:hint="eastAsia" w:ascii="仿宋" w:hAnsi="仿宋" w:eastAsia="仿宋" w:cs="宋体"/>
          <w:color w:val="auto"/>
          <w:kern w:val="0"/>
          <w:sz w:val="27"/>
          <w:szCs w:val="27"/>
          <w:lang w:val="en-US" w:eastAsia="zh-CN"/>
        </w:rPr>
        <w:t>板统一，支撑企业申报、备案、合同、验收全流程标准化管理。</w:t>
      </w:r>
    </w:p>
    <w:p w14:paraId="6CEFBCA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lang w:val="en-US" w:eastAsia="zh-CN"/>
        </w:rPr>
      </w:pPr>
      <w:r>
        <w:rPr>
          <w:rFonts w:hint="eastAsia" w:ascii="仿宋" w:hAnsi="仿宋" w:eastAsia="仿宋" w:cs="宋体"/>
          <w:color w:val="auto"/>
          <w:kern w:val="0"/>
          <w:sz w:val="27"/>
          <w:szCs w:val="27"/>
          <w:lang w:val="en-US" w:eastAsia="zh-CN"/>
        </w:rPr>
        <w:t>（3）按时间节点提交，修改完善后正式发布实施。</w:t>
      </w:r>
    </w:p>
    <w:p w14:paraId="5F4BCFE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lang w:val="en-US" w:eastAsia="zh-CN"/>
        </w:rPr>
      </w:pPr>
      <w:r>
        <w:rPr>
          <w:rFonts w:hint="eastAsia" w:ascii="仿宋" w:hAnsi="仿宋" w:eastAsia="仿宋" w:cs="宋体"/>
          <w:color w:val="auto"/>
          <w:kern w:val="0"/>
          <w:sz w:val="27"/>
          <w:szCs w:val="27"/>
          <w:lang w:val="en-US" w:eastAsia="zh-CN"/>
        </w:rPr>
        <w:t>（4）政策宣贯需做到每场有方案、课件、签到记录、现场照片、会议纪要及效果评估，相关资料完整归档。</w:t>
      </w:r>
    </w:p>
    <w:p w14:paraId="0CF0FE4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lang w:val="en-US" w:eastAsia="zh-CN"/>
        </w:rPr>
      </w:pPr>
      <w:r>
        <w:rPr>
          <w:rFonts w:hint="eastAsia" w:ascii="仿宋" w:hAnsi="仿宋" w:eastAsia="仿宋" w:cs="宋体"/>
          <w:color w:val="auto"/>
          <w:kern w:val="0"/>
          <w:sz w:val="27"/>
          <w:szCs w:val="27"/>
          <w:lang w:val="en-US" w:eastAsia="zh-CN"/>
        </w:rPr>
        <w:t>（5）形成活动总结报告，支撑试点扩面提质。</w:t>
      </w:r>
    </w:p>
    <w:p w14:paraId="5FD4A9D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default" w:ascii="仿宋" w:hAnsi="仿宋" w:eastAsia="仿宋" w:cs="宋体"/>
          <w:color w:val="auto"/>
          <w:kern w:val="0"/>
          <w:sz w:val="27"/>
          <w:szCs w:val="27"/>
          <w:lang w:val="en-US" w:eastAsia="zh-CN"/>
        </w:rPr>
      </w:pPr>
      <w:r>
        <w:rPr>
          <w:rFonts w:hint="eastAsia" w:ascii="仿宋" w:hAnsi="仿宋" w:eastAsia="仿宋" w:cs="宋体"/>
          <w:color w:val="auto"/>
          <w:kern w:val="0"/>
          <w:sz w:val="27"/>
          <w:szCs w:val="27"/>
          <w:lang w:val="en-US" w:eastAsia="zh-CN"/>
        </w:rPr>
        <w:t>（6）试点企业改造需要建立审核台账，一户一档，可追溯、可核查。</w:t>
      </w:r>
    </w:p>
    <w:p w14:paraId="2C8F362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default" w:ascii="仿宋" w:hAnsi="仿宋" w:eastAsia="仿宋" w:cs="宋体"/>
          <w:color w:val="auto"/>
          <w:kern w:val="0"/>
          <w:sz w:val="27"/>
          <w:szCs w:val="27"/>
          <w:lang w:val="en-US" w:eastAsia="zh-CN"/>
        </w:rPr>
      </w:pPr>
      <w:r>
        <w:rPr>
          <w:rFonts w:hint="eastAsia" w:ascii="仿宋" w:hAnsi="仿宋" w:eastAsia="仿宋" w:cs="宋体"/>
          <w:color w:val="auto"/>
          <w:kern w:val="0"/>
          <w:sz w:val="27"/>
          <w:szCs w:val="27"/>
          <w:lang w:val="en-US" w:eastAsia="zh-CN"/>
        </w:rPr>
        <w:t>（7）项目实施与过程管控做到全流程监管覆盖试点企业，无虚假改造、无重大偏离、无资金违规使用风险。</w:t>
      </w:r>
    </w:p>
    <w:p w14:paraId="7DE5416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lang w:val="en-US" w:eastAsia="zh-CN"/>
        </w:rPr>
      </w:pPr>
      <w:r>
        <w:rPr>
          <w:rFonts w:hint="eastAsia" w:ascii="仿宋" w:hAnsi="仿宋" w:eastAsia="仿宋" w:cs="宋体"/>
          <w:color w:val="auto"/>
          <w:kern w:val="0"/>
          <w:sz w:val="27"/>
          <w:szCs w:val="27"/>
          <w:lang w:val="en-US" w:eastAsia="zh-CN"/>
        </w:rPr>
        <w:t>（8）监理报告真实完整、规范，作为资金兑付与验收依据。</w:t>
      </w:r>
    </w:p>
    <w:p w14:paraId="7C310F4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lang w:val="en-US" w:eastAsia="zh-CN"/>
        </w:rPr>
      </w:pPr>
      <w:r>
        <w:rPr>
          <w:rFonts w:hint="eastAsia" w:ascii="仿宋" w:hAnsi="仿宋" w:eastAsia="仿宋" w:cs="宋体"/>
          <w:color w:val="auto"/>
          <w:kern w:val="0"/>
          <w:sz w:val="27"/>
          <w:szCs w:val="27"/>
          <w:lang w:val="en-US" w:eastAsia="zh-CN"/>
        </w:rPr>
        <w:t>（9）服务平台功能全覆盖附件清单，运行稳定、响应快、安全合规；完成对接联调，数据同步准确，支撑 “一图四清单”、诊断 / 改造 / 贯标 / 标杆全流程管理；通过功能、性能、安全、数据对接测试，提供部署包、文档、源代码、运维手册；提供1年免费质保，7×24 小时技术支持。</w:t>
      </w:r>
    </w:p>
    <w:p w14:paraId="6E698ABC">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2" w:firstLineChars="200"/>
        <w:jc w:val="left"/>
        <w:textAlignment w:val="baseline"/>
        <w:rPr>
          <w:rFonts w:hint="default" w:ascii="仿宋" w:hAnsi="仿宋" w:eastAsia="仿宋" w:cs="宋体"/>
          <w:b/>
          <w:bCs/>
          <w:color w:val="auto"/>
          <w:kern w:val="0"/>
          <w:sz w:val="27"/>
          <w:szCs w:val="27"/>
          <w:lang w:val="en-US" w:eastAsia="zh-CN"/>
        </w:rPr>
      </w:pPr>
      <w:r>
        <w:rPr>
          <w:rFonts w:hint="eastAsia" w:ascii="仿宋" w:hAnsi="仿宋" w:eastAsia="仿宋" w:cs="宋体"/>
          <w:b/>
          <w:bCs/>
          <w:color w:val="auto"/>
          <w:kern w:val="0"/>
          <w:sz w:val="27"/>
          <w:szCs w:val="27"/>
          <w:lang w:val="en-US" w:eastAsia="zh-CN"/>
        </w:rPr>
        <w:t>5.4保密要求</w:t>
      </w:r>
    </w:p>
    <w:p w14:paraId="6EA6F49F">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lang w:val="en-US" w:eastAsia="zh-CN"/>
        </w:rPr>
      </w:pPr>
      <w:r>
        <w:rPr>
          <w:rFonts w:hint="eastAsia" w:ascii="仿宋" w:hAnsi="仿宋" w:eastAsia="仿宋" w:cs="宋体"/>
          <w:color w:val="auto"/>
          <w:kern w:val="0"/>
          <w:sz w:val="27"/>
          <w:szCs w:val="27"/>
          <w:lang w:val="en-US" w:eastAsia="zh-CN"/>
        </w:rPr>
        <w:t>在项目实施过程中，对县科工信局提供的所有相关资料、数据，未经县科工信局书面同意不得向任何第三人泄露，且保密责任不因合同的终止或解除而失效。</w:t>
      </w:r>
    </w:p>
    <w:p w14:paraId="0D77112C">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2" w:firstLineChars="200"/>
        <w:jc w:val="left"/>
        <w:textAlignment w:val="baseline"/>
        <w:rPr>
          <w:rFonts w:hint="default" w:ascii="仿宋" w:hAnsi="仿宋" w:eastAsia="仿宋" w:cs="宋体"/>
          <w:b/>
          <w:bCs/>
          <w:color w:val="auto"/>
          <w:kern w:val="0"/>
          <w:sz w:val="27"/>
          <w:szCs w:val="27"/>
          <w:lang w:val="en-US" w:eastAsia="zh-CN"/>
        </w:rPr>
      </w:pPr>
      <w:r>
        <w:rPr>
          <w:rFonts w:hint="eastAsia" w:ascii="仿宋" w:hAnsi="仿宋" w:eastAsia="仿宋" w:cs="宋体"/>
          <w:b/>
          <w:bCs/>
          <w:color w:val="auto"/>
          <w:kern w:val="0"/>
          <w:sz w:val="27"/>
          <w:szCs w:val="27"/>
          <w:lang w:val="en-US" w:eastAsia="zh-CN"/>
        </w:rPr>
        <w:t>5.5其他要求</w:t>
      </w:r>
    </w:p>
    <w:p w14:paraId="2CE382CD">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default" w:ascii="仿宋" w:hAnsi="仿宋" w:eastAsia="仿宋" w:cs="宋体"/>
          <w:color w:val="auto"/>
          <w:kern w:val="0"/>
          <w:sz w:val="27"/>
          <w:szCs w:val="27"/>
          <w:lang w:val="en-US" w:eastAsia="zh-CN"/>
        </w:rPr>
      </w:pPr>
      <w:r>
        <w:rPr>
          <w:rFonts w:hint="eastAsia" w:ascii="仿宋" w:hAnsi="仿宋" w:eastAsia="仿宋" w:cs="宋体"/>
          <w:color w:val="auto"/>
          <w:kern w:val="0"/>
          <w:sz w:val="27"/>
          <w:szCs w:val="27"/>
          <w:lang w:val="en-US" w:eastAsia="zh-CN"/>
        </w:rPr>
        <w:t>（1）中期验收及问题整改：在产业集群数字化转型试点工作中期，协同县科工信局组织开展中期验收工作。结合书面检查与实地勘察，对试点企业的数字化转型进展展开全面评估。重点核查项目进度、阶段性成果及资金使用状况等，确保项目按计划推进。对于未达成预期目标的项目，及时提出整改意见，并督促企业进行整改，保障项目按时完成。</w:t>
      </w:r>
    </w:p>
    <w:p w14:paraId="7676EAFE">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lang w:val="en-US" w:eastAsia="zh-CN"/>
        </w:rPr>
      </w:pPr>
      <w:r>
        <w:rPr>
          <w:rFonts w:hint="eastAsia" w:ascii="仿宋" w:hAnsi="仿宋" w:eastAsia="仿宋" w:cs="宋体"/>
          <w:color w:val="auto"/>
          <w:kern w:val="0"/>
          <w:sz w:val="27"/>
          <w:szCs w:val="27"/>
          <w:lang w:val="en-US" w:eastAsia="zh-CN"/>
        </w:rPr>
        <w:t>（2）成果验收与总结评估：中期验收完成的项目，若已完成改造，可申请成果验收。对改造成果进行科学评定，确保达到验收标准。每批试点企业完成数字化改造后，在20个工作日内出具《产业集群试点企业数字化转型全流程验收报告》，评估企业是否如期完成数字化转型、是否达到试点验收要求。全部试点企业完成改造后，形成《定南县产业集群数字化转型试点全流程综合服务工作总结报告》，全面分析工作进展、完成情况等，为后续推广提供参考依据。</w:t>
      </w:r>
    </w:p>
    <w:p w14:paraId="199EA9B8">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lang w:val="en-US" w:eastAsia="zh-CN"/>
        </w:rPr>
      </w:pPr>
      <w:r>
        <w:rPr>
          <w:rFonts w:hint="eastAsia" w:ascii="仿宋" w:hAnsi="仿宋" w:eastAsia="仿宋" w:cs="宋体"/>
          <w:color w:val="auto"/>
          <w:kern w:val="0"/>
          <w:sz w:val="27"/>
          <w:szCs w:val="27"/>
          <w:lang w:val="en-US" w:eastAsia="zh-CN"/>
        </w:rPr>
        <w:br w:type="page"/>
      </w:r>
    </w:p>
    <w:p w14:paraId="5D301DEF">
      <w:pPr>
        <w:widowControl w:val="0"/>
        <w:kinsoku/>
        <w:autoSpaceDE/>
        <w:autoSpaceDN/>
        <w:adjustRightInd/>
        <w:snapToGrid/>
        <w:jc w:val="both"/>
        <w:textAlignment w:val="auto"/>
        <w:rPr>
          <w:rFonts w:hint="eastAsia" w:ascii="国标黑体" w:hAnsi="国标黑体" w:eastAsia="国标黑体" w:cs="国标黑体"/>
          <w:snapToGrid/>
          <w:kern w:val="2"/>
          <w:sz w:val="32"/>
          <w:szCs w:val="32"/>
          <w:lang w:val="en-US" w:eastAsia="zh-CN"/>
        </w:rPr>
      </w:pPr>
      <w:r>
        <w:rPr>
          <w:rFonts w:hint="eastAsia" w:ascii="国标黑体" w:hAnsi="国标黑体" w:eastAsia="国标黑体" w:cs="国标黑体"/>
          <w:snapToGrid/>
          <w:kern w:val="2"/>
          <w:sz w:val="32"/>
          <w:szCs w:val="32"/>
          <w:lang w:val="en-US" w:eastAsia="zh-CN"/>
        </w:rPr>
        <w:t>附件：</w:t>
      </w:r>
    </w:p>
    <w:p w14:paraId="62BEE0C2">
      <w:pPr>
        <w:widowControl w:val="0"/>
        <w:kinsoku/>
        <w:autoSpaceDE/>
        <w:autoSpaceDN/>
        <w:adjustRightInd/>
        <w:snapToGrid/>
        <w:jc w:val="center"/>
        <w:textAlignment w:val="auto"/>
        <w:rPr>
          <w:rFonts w:hint="eastAsia" w:ascii="国标黑体" w:hAnsi="国标黑体" w:eastAsia="国标黑体" w:cs="国标黑体"/>
          <w:snapToGrid/>
          <w:kern w:val="2"/>
          <w:szCs w:val="24"/>
          <w:lang w:val="en-US" w:eastAsia="zh-CN"/>
        </w:rPr>
      </w:pPr>
      <w:r>
        <w:rPr>
          <w:rFonts w:hint="eastAsia" w:ascii="国标黑体" w:hAnsi="国标黑体" w:eastAsia="国标黑体" w:cs="国标黑体"/>
          <w:snapToGrid/>
          <w:kern w:val="2"/>
          <w:sz w:val="32"/>
          <w:szCs w:val="32"/>
          <w:lang w:val="en-US" w:eastAsia="zh-CN"/>
        </w:rPr>
        <w:t>县级制造业数字化转型综合服务平台功能清单</w:t>
      </w:r>
    </w:p>
    <w:tbl>
      <w:tblPr>
        <w:tblStyle w:val="8"/>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108" w:type="dxa"/>
          <w:bottom w:w="0" w:type="dxa"/>
          <w:right w:w="108" w:type="dxa"/>
        </w:tblCellMar>
      </w:tblPr>
      <w:tblGrid>
        <w:gridCol w:w="667"/>
        <w:gridCol w:w="1569"/>
        <w:gridCol w:w="2020"/>
        <w:gridCol w:w="2020"/>
        <w:gridCol w:w="2246"/>
      </w:tblGrid>
      <w:tr w14:paraId="0E7BF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l2br w:val="nil"/>
            </w:tcBorders>
            <w:shd w:val="clear" w:color="auto" w:fill="FFFFFF"/>
            <w:noWrap/>
            <w:vAlign w:val="center"/>
          </w:tcPr>
          <w:p w14:paraId="056B954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bCs/>
                <w:i w:val="0"/>
                <w:iCs w:val="0"/>
                <w:snapToGrid/>
                <w:color w:val="000000"/>
                <w:kern w:val="2"/>
                <w:sz w:val="24"/>
                <w:szCs w:val="24"/>
                <w:u w:val="none"/>
                <w:lang w:eastAsia="zh-CN"/>
              </w:rPr>
            </w:pPr>
            <w:r>
              <w:rPr>
                <w:rFonts w:hint="eastAsia" w:ascii="国标仿宋-GB/T 2312" w:hAnsi="国标仿宋-GB/T 2312" w:eastAsia="国标仿宋-GB/T 2312" w:cs="国标仿宋-GB/T 2312"/>
                <w:b w:val="0"/>
                <w:bCs/>
                <w:i w:val="0"/>
                <w:iCs w:val="0"/>
                <w:snapToGrid/>
                <w:color w:val="000000"/>
                <w:kern w:val="2"/>
                <w:sz w:val="24"/>
                <w:szCs w:val="24"/>
                <w:u w:val="none"/>
                <w:lang w:eastAsia="zh-CN"/>
              </w:rPr>
              <w:t>序号</w:t>
            </w:r>
          </w:p>
        </w:tc>
        <w:tc>
          <w:tcPr>
            <w:tcW w:w="92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5C9FA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bCs/>
                <w:i w:val="0"/>
                <w:iCs w:val="0"/>
                <w:snapToGrid/>
                <w:color w:val="000000"/>
                <w:kern w:val="2"/>
                <w:sz w:val="24"/>
                <w:szCs w:val="24"/>
                <w:u w:val="none"/>
                <w:lang w:eastAsia="zh-CN"/>
              </w:rPr>
            </w:pPr>
            <w:r>
              <w:rPr>
                <w:rFonts w:hint="eastAsia" w:ascii="国标仿宋-GB/T 2312" w:hAnsi="国标仿宋-GB/T 2312" w:eastAsia="国标仿宋-GB/T 2312" w:cs="国标仿宋-GB/T 2312"/>
                <w:b w:val="0"/>
                <w:bCs/>
                <w:i w:val="0"/>
                <w:iCs w:val="0"/>
                <w:snapToGrid/>
                <w:color w:val="000000"/>
                <w:kern w:val="0"/>
                <w:sz w:val="24"/>
                <w:szCs w:val="24"/>
                <w:u w:val="none"/>
                <w:lang w:val="en-US" w:eastAsia="zh-CN" w:bidi="ar"/>
              </w:rPr>
              <w:t>子系统</w:t>
            </w: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F33A2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bCs/>
                <w:i w:val="0"/>
                <w:iCs w:val="0"/>
                <w:snapToGrid/>
                <w:color w:val="000000"/>
                <w:kern w:val="2"/>
                <w:sz w:val="24"/>
                <w:szCs w:val="24"/>
                <w:u w:val="none"/>
                <w:lang w:eastAsia="zh-CN"/>
              </w:rPr>
            </w:pPr>
            <w:r>
              <w:rPr>
                <w:rFonts w:hint="eastAsia" w:ascii="国标仿宋-GB/T 2312" w:hAnsi="国标仿宋-GB/T 2312" w:eastAsia="国标仿宋-GB/T 2312" w:cs="国标仿宋-GB/T 2312"/>
                <w:b w:val="0"/>
                <w:bCs/>
                <w:i w:val="0"/>
                <w:iCs w:val="0"/>
                <w:snapToGrid/>
                <w:color w:val="000000"/>
                <w:kern w:val="0"/>
                <w:sz w:val="24"/>
                <w:szCs w:val="24"/>
                <w:u w:val="none"/>
                <w:lang w:val="en-US" w:eastAsia="zh-CN" w:bidi="ar"/>
              </w:rPr>
              <w:t>一级模块</w:t>
            </w: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AC7B88">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bCs/>
                <w:i w:val="0"/>
                <w:iCs w:val="0"/>
                <w:snapToGrid/>
                <w:color w:val="000000"/>
                <w:kern w:val="2"/>
                <w:sz w:val="24"/>
                <w:szCs w:val="24"/>
                <w:u w:val="none"/>
                <w:lang w:eastAsia="zh-CN"/>
              </w:rPr>
            </w:pPr>
            <w:r>
              <w:rPr>
                <w:rFonts w:hint="eastAsia" w:ascii="国标仿宋-GB/T 2312" w:hAnsi="国标仿宋-GB/T 2312" w:eastAsia="国标仿宋-GB/T 2312" w:cs="国标仿宋-GB/T 2312"/>
                <w:b w:val="0"/>
                <w:bCs/>
                <w:i w:val="0"/>
                <w:iCs w:val="0"/>
                <w:snapToGrid/>
                <w:color w:val="000000"/>
                <w:kern w:val="0"/>
                <w:sz w:val="24"/>
                <w:szCs w:val="24"/>
                <w:u w:val="none"/>
                <w:lang w:val="en-US" w:eastAsia="zh-CN" w:bidi="ar"/>
              </w:rPr>
              <w:t>二级模块</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254FC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bCs/>
                <w:i w:val="0"/>
                <w:iCs w:val="0"/>
                <w:snapToGrid/>
                <w:color w:val="000000"/>
                <w:kern w:val="2"/>
                <w:sz w:val="24"/>
                <w:szCs w:val="24"/>
                <w:u w:val="none"/>
                <w:lang w:eastAsia="zh-CN"/>
              </w:rPr>
            </w:pPr>
            <w:r>
              <w:rPr>
                <w:rFonts w:hint="eastAsia" w:ascii="国标仿宋-GB/T 2312" w:hAnsi="国标仿宋-GB/T 2312" w:eastAsia="国标仿宋-GB/T 2312" w:cs="国标仿宋-GB/T 2312"/>
                <w:b w:val="0"/>
                <w:bCs/>
                <w:i w:val="0"/>
                <w:iCs w:val="0"/>
                <w:snapToGrid/>
                <w:color w:val="000000"/>
                <w:kern w:val="0"/>
                <w:sz w:val="24"/>
                <w:szCs w:val="24"/>
                <w:u w:val="none"/>
                <w:lang w:val="en-US" w:eastAsia="zh-CN" w:bidi="ar"/>
              </w:rPr>
              <w:t>功能细项</w:t>
            </w:r>
          </w:p>
        </w:tc>
      </w:tr>
      <w:tr w14:paraId="4B9540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48C23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w:t>
            </w:r>
          </w:p>
        </w:tc>
        <w:tc>
          <w:tcPr>
            <w:tcW w:w="920"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30488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公共服务平台</w:t>
            </w: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F0E35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平台首页</w:t>
            </w: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32F69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首页展示</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A61B8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数据概览展示</w:t>
            </w:r>
          </w:p>
        </w:tc>
      </w:tr>
      <w:tr w14:paraId="46BEC3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BD7CF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2</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9D985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7FF60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2B3B24">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F215F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快捷菜单</w:t>
            </w:r>
          </w:p>
        </w:tc>
      </w:tr>
      <w:tr w14:paraId="7FEF44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A0484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3</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AD780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99669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3E1CB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BE435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新闻导览展示</w:t>
            </w:r>
          </w:p>
        </w:tc>
      </w:tr>
      <w:tr w14:paraId="78B341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5CC1E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4</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ABADF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0F586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D4689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987AB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研究报告展示</w:t>
            </w:r>
          </w:p>
        </w:tc>
      </w:tr>
      <w:tr w14:paraId="70E50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1263A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5</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CDF9E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77C76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D1F75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74DD1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公示通告展示</w:t>
            </w:r>
          </w:p>
        </w:tc>
      </w:tr>
      <w:tr w14:paraId="2D81C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5BD23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6</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69817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E39B6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2E879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9B056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政策申报展示</w:t>
            </w:r>
          </w:p>
        </w:tc>
      </w:tr>
      <w:tr w14:paraId="51E842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3FA01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7</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990BE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D25CDB">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D41EB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4C0C1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解决方案展示</w:t>
            </w:r>
          </w:p>
        </w:tc>
      </w:tr>
      <w:tr w14:paraId="7DB57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89645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8</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5E0BB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3717C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3A20B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2221F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数字领航展示</w:t>
            </w:r>
          </w:p>
        </w:tc>
      </w:tr>
      <w:tr w14:paraId="69F8A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85F36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9</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4460B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6B3F3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C554D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8D47A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小灯塔展示</w:t>
            </w:r>
          </w:p>
        </w:tc>
      </w:tr>
      <w:tr w14:paraId="4858EA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79F38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10</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4D9D9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BE275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F43B1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6DBDE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数智工厂展示</w:t>
            </w:r>
          </w:p>
        </w:tc>
      </w:tr>
      <w:tr w14:paraId="4977E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9D6AD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11</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C19AA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4A098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9C747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转型服务首页</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349D2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去诊断</w:t>
            </w:r>
          </w:p>
        </w:tc>
      </w:tr>
      <w:tr w14:paraId="35FA8D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E4BC2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12</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182A7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DC5D6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122F3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1F747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要改造</w:t>
            </w:r>
          </w:p>
        </w:tc>
      </w:tr>
      <w:tr w14:paraId="5150FA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9D0A2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13</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18BDFB">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E9CD3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B20B5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CF417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去贯标</w:t>
            </w:r>
          </w:p>
        </w:tc>
      </w:tr>
      <w:tr w14:paraId="73424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FE8F4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14</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DD19C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3EC58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right w:val="single" w:color="000000" w:sz="4" w:space="0"/>
            </w:tcBorders>
            <w:shd w:val="clear" w:color="auto" w:fill="FFFFFF"/>
            <w:noWrap/>
            <w:vAlign w:val="center"/>
          </w:tcPr>
          <w:p w14:paraId="4DFC013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政策服务</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D59C1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政策申报</w:t>
            </w:r>
          </w:p>
        </w:tc>
      </w:tr>
      <w:tr w14:paraId="5A277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BE934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15</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48A5D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5DA51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left w:val="single" w:color="000000" w:sz="4" w:space="0"/>
              <w:right w:val="single" w:color="000000" w:sz="4" w:space="0"/>
            </w:tcBorders>
            <w:shd w:val="clear" w:color="auto" w:fill="FFFFFF"/>
            <w:noWrap/>
            <w:vAlign w:val="center"/>
          </w:tcPr>
          <w:p w14:paraId="1BD9C284">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07CC3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政策信息查看</w:t>
            </w:r>
          </w:p>
        </w:tc>
      </w:tr>
      <w:tr w14:paraId="10AB26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CB0EC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16</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CF567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7A37B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left w:val="single" w:color="000000" w:sz="4" w:space="0"/>
              <w:right w:val="single" w:color="000000" w:sz="4" w:space="0"/>
            </w:tcBorders>
            <w:shd w:val="clear" w:color="auto" w:fill="FFFFFF"/>
            <w:noWrap/>
            <w:vAlign w:val="center"/>
          </w:tcPr>
          <w:p w14:paraId="7CDAE29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556D4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政策筛选</w:t>
            </w:r>
          </w:p>
        </w:tc>
      </w:tr>
      <w:tr w14:paraId="5C937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35A37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17</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BA413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FFA3E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left w:val="single" w:color="000000" w:sz="4" w:space="0"/>
              <w:right w:val="single" w:color="000000" w:sz="4" w:space="0"/>
            </w:tcBorders>
            <w:shd w:val="clear" w:color="auto" w:fill="FFFFFF"/>
            <w:noWrap/>
            <w:vAlign w:val="center"/>
          </w:tcPr>
          <w:p w14:paraId="6AAF342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4AE7C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政策文件状态</w:t>
            </w:r>
          </w:p>
        </w:tc>
      </w:tr>
      <w:tr w14:paraId="385D3E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8099D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18</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DFD27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B5DE8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left w:val="single" w:color="000000" w:sz="4" w:space="0"/>
              <w:right w:val="single" w:color="000000" w:sz="4" w:space="0"/>
            </w:tcBorders>
            <w:shd w:val="clear" w:color="auto" w:fill="FFFFFF"/>
            <w:noWrap/>
            <w:vAlign w:val="center"/>
          </w:tcPr>
          <w:p w14:paraId="2B3AF0C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4FE74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申报操作</w:t>
            </w:r>
          </w:p>
        </w:tc>
      </w:tr>
      <w:tr w14:paraId="07D4D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F4BF6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19</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6E311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BFD9D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left w:val="single" w:color="000000" w:sz="4" w:space="0"/>
              <w:right w:val="single" w:color="000000" w:sz="4" w:space="0"/>
            </w:tcBorders>
            <w:shd w:val="clear" w:color="auto" w:fill="FFFFFF"/>
            <w:noWrap/>
            <w:vAlign w:val="center"/>
          </w:tcPr>
          <w:p w14:paraId="15A591D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B00A8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申报信息</w:t>
            </w:r>
          </w:p>
        </w:tc>
      </w:tr>
      <w:tr w14:paraId="50B26E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9A2EF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20</w:t>
            </w:r>
            <w:bookmarkStart w:id="1" w:name="_GoBack"/>
            <w:bookmarkEnd w:id="1"/>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FDC1E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77E01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left w:val="single" w:color="000000" w:sz="4" w:space="0"/>
              <w:right w:val="single" w:color="000000" w:sz="4" w:space="0"/>
            </w:tcBorders>
            <w:shd w:val="clear" w:color="auto" w:fill="FFFFFF"/>
            <w:noWrap/>
            <w:vAlign w:val="center"/>
          </w:tcPr>
          <w:p w14:paraId="60F30A0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6B2E1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提报审批</w:t>
            </w:r>
          </w:p>
        </w:tc>
      </w:tr>
      <w:tr w14:paraId="29335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D8384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21</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08314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01313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left w:val="single" w:color="000000" w:sz="4" w:space="0"/>
              <w:right w:val="single" w:color="000000" w:sz="4" w:space="0"/>
            </w:tcBorders>
            <w:shd w:val="clear" w:color="auto" w:fill="FFFFFF"/>
            <w:noWrap/>
            <w:vAlign w:val="center"/>
          </w:tcPr>
          <w:p w14:paraId="407B62C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5D346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提交审核</w:t>
            </w:r>
          </w:p>
        </w:tc>
      </w:tr>
      <w:tr w14:paraId="1CACA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43F86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22</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DD701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983FD4">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left w:val="single" w:color="000000" w:sz="4" w:space="0"/>
              <w:right w:val="single" w:color="000000" w:sz="4" w:space="0"/>
            </w:tcBorders>
            <w:shd w:val="clear" w:color="auto" w:fill="FFFFFF"/>
            <w:noWrap/>
            <w:vAlign w:val="center"/>
          </w:tcPr>
          <w:p w14:paraId="5E54789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C692A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撤回修改</w:t>
            </w:r>
          </w:p>
        </w:tc>
      </w:tr>
      <w:tr w14:paraId="1D320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F0D498">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23</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9148C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F302C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left w:val="single" w:color="000000" w:sz="4" w:space="0"/>
              <w:right w:val="single" w:color="000000" w:sz="4" w:space="0"/>
            </w:tcBorders>
            <w:shd w:val="clear" w:color="auto" w:fill="FFFFFF"/>
            <w:noWrap/>
            <w:vAlign w:val="center"/>
          </w:tcPr>
          <w:p w14:paraId="1B9ECE4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E2480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auto"/>
                <w:kern w:val="2"/>
                <w:sz w:val="24"/>
                <w:szCs w:val="24"/>
                <w:u w:val="none"/>
                <w:lang w:eastAsia="zh-CN"/>
              </w:rPr>
            </w:pPr>
            <w:r>
              <w:rPr>
                <w:rFonts w:hint="eastAsia" w:ascii="国标仿宋-GB/T 2312" w:hAnsi="国标仿宋-GB/T 2312" w:eastAsia="国标仿宋-GB/T 2312" w:cs="国标仿宋-GB/T 2312"/>
                <w:b w:val="0"/>
                <w:i w:val="0"/>
                <w:iCs w:val="0"/>
                <w:snapToGrid/>
                <w:color w:val="auto"/>
                <w:kern w:val="0"/>
                <w:sz w:val="24"/>
                <w:szCs w:val="24"/>
                <w:u w:val="none"/>
                <w:lang w:val="en-US" w:eastAsia="zh-CN" w:bidi="ar"/>
              </w:rPr>
              <w:t>重新提交</w:t>
            </w:r>
          </w:p>
        </w:tc>
      </w:tr>
      <w:tr w14:paraId="01C503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3B8DF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24</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0ABB7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C6607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left w:val="single" w:color="000000" w:sz="4" w:space="0"/>
              <w:bottom w:val="single" w:color="000000" w:sz="4" w:space="0"/>
              <w:right w:val="single" w:color="000000" w:sz="4" w:space="0"/>
            </w:tcBorders>
            <w:shd w:val="clear" w:color="auto" w:fill="FFFFFF"/>
            <w:noWrap/>
            <w:vAlign w:val="center"/>
          </w:tcPr>
          <w:p w14:paraId="03E7518B">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E0B7A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auto"/>
                <w:kern w:val="0"/>
                <w:sz w:val="24"/>
                <w:szCs w:val="24"/>
                <w:u w:val="none"/>
                <w:lang w:val="en-US" w:eastAsia="zh-CN" w:bidi="ar"/>
              </w:rPr>
            </w:pPr>
            <w:r>
              <w:rPr>
                <w:rFonts w:hint="eastAsia" w:ascii="国标仿宋-GB/T 2312" w:hAnsi="国标仿宋-GB/T 2312" w:eastAsia="国标仿宋-GB/T 2312" w:cs="国标仿宋-GB/T 2312"/>
                <w:b w:val="0"/>
                <w:i w:val="0"/>
                <w:iCs w:val="0"/>
                <w:snapToGrid/>
                <w:color w:val="auto"/>
                <w:kern w:val="0"/>
                <w:sz w:val="24"/>
                <w:szCs w:val="24"/>
                <w:u w:val="none"/>
                <w:lang w:val="en-US" w:eastAsia="zh-CN" w:bidi="ar"/>
              </w:rPr>
              <w:t>票据在线校验</w:t>
            </w:r>
          </w:p>
        </w:tc>
      </w:tr>
      <w:tr w14:paraId="610D98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A515C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25</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004F5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625A7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5D7CD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供需服务首页</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F9657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auto"/>
                <w:kern w:val="2"/>
                <w:sz w:val="24"/>
                <w:szCs w:val="24"/>
                <w:u w:val="none"/>
                <w:lang w:eastAsia="zh-CN"/>
              </w:rPr>
            </w:pPr>
            <w:r>
              <w:rPr>
                <w:rFonts w:hint="eastAsia" w:ascii="国标仿宋-GB/T 2312" w:hAnsi="国标仿宋-GB/T 2312" w:eastAsia="国标仿宋-GB/T 2312" w:cs="国标仿宋-GB/T 2312"/>
                <w:b w:val="0"/>
                <w:i w:val="0"/>
                <w:iCs w:val="0"/>
                <w:snapToGrid/>
                <w:color w:val="auto"/>
                <w:kern w:val="0"/>
                <w:sz w:val="24"/>
                <w:szCs w:val="24"/>
                <w:u w:val="none"/>
                <w:lang w:val="en-US" w:eastAsia="zh-CN" w:bidi="ar"/>
              </w:rPr>
              <w:t>供需服务</w:t>
            </w:r>
          </w:p>
        </w:tc>
      </w:tr>
      <w:tr w14:paraId="16C79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0F6A5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26</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883E3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B221E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用户中心</w:t>
            </w: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8D671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用户平台</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041D7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auto"/>
                <w:kern w:val="2"/>
                <w:sz w:val="24"/>
                <w:szCs w:val="24"/>
                <w:u w:val="none"/>
                <w:lang w:eastAsia="zh-CN"/>
              </w:rPr>
            </w:pPr>
            <w:r>
              <w:rPr>
                <w:rFonts w:hint="eastAsia" w:ascii="国标仿宋-GB/T 2312" w:hAnsi="国标仿宋-GB/T 2312" w:eastAsia="国标仿宋-GB/T 2312" w:cs="国标仿宋-GB/T 2312"/>
                <w:b w:val="0"/>
                <w:i w:val="0"/>
                <w:iCs w:val="0"/>
                <w:snapToGrid/>
                <w:color w:val="auto"/>
                <w:kern w:val="0"/>
                <w:sz w:val="24"/>
                <w:szCs w:val="24"/>
                <w:u w:val="none"/>
                <w:lang w:val="en-US" w:eastAsia="zh-CN" w:bidi="ar"/>
              </w:rPr>
              <w:t>用户注册</w:t>
            </w:r>
          </w:p>
        </w:tc>
      </w:tr>
      <w:tr w14:paraId="42372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2DABC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27</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84B63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399EC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F5357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D7E318">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用户认证</w:t>
            </w:r>
          </w:p>
        </w:tc>
      </w:tr>
      <w:tr w14:paraId="3CAB3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B00EE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28</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84EE94">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1004E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772F4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BBD98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密码登录</w:t>
            </w:r>
          </w:p>
        </w:tc>
      </w:tr>
      <w:tr w14:paraId="51DF7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4631D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29</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E533E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97182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D3877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931D8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验证码管理</w:t>
            </w:r>
          </w:p>
        </w:tc>
      </w:tr>
      <w:tr w14:paraId="2E459B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1D06B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30</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8A3B0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F5736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FBDC5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FFCB9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验证码登录</w:t>
            </w:r>
          </w:p>
        </w:tc>
      </w:tr>
      <w:tr w14:paraId="71537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AF5BB8">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31</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11B43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6CFC9B">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C7DEE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08780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忘记账号</w:t>
            </w:r>
          </w:p>
        </w:tc>
      </w:tr>
      <w:tr w14:paraId="64FB0F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9FB2C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32</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EB234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7B0A7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0A6A8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B7AEB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忘记密码</w:t>
            </w:r>
          </w:p>
        </w:tc>
      </w:tr>
      <w:tr w14:paraId="1C615F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0DC04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33</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AC372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66A6B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1E9C0B">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3E124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账号变更</w:t>
            </w:r>
          </w:p>
        </w:tc>
      </w:tr>
      <w:tr w14:paraId="77111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E3084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34</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C0ECC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842F5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数字化转型服务</w:t>
            </w: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00D9A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去诊断</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0BD96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去诊断</w:t>
            </w:r>
          </w:p>
        </w:tc>
      </w:tr>
      <w:tr w14:paraId="6EBD2C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AA630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35</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28F26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EEA79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F1388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要改造</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ECA13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要改造</w:t>
            </w:r>
          </w:p>
        </w:tc>
      </w:tr>
      <w:tr w14:paraId="631A09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7C297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36</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8EB2E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52090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5FC40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去贯标</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387218">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去贯标</w:t>
            </w:r>
          </w:p>
        </w:tc>
      </w:tr>
      <w:tr w14:paraId="59677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0BD45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37</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0EE084">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4C2F2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供需服务</w:t>
            </w: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328DA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应用商城</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C8EC4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应用商城</w:t>
            </w:r>
          </w:p>
        </w:tc>
      </w:tr>
      <w:tr w14:paraId="09677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FFE72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38</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1F359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112E8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E5CEC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需求中心</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A6881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需求中心</w:t>
            </w:r>
          </w:p>
        </w:tc>
      </w:tr>
      <w:tr w14:paraId="0A11D3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B49FF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39</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9CFE0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10E50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F4946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解决方案</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67BD1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解决方案</w:t>
            </w:r>
          </w:p>
        </w:tc>
      </w:tr>
      <w:tr w14:paraId="5600A4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C107B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40</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C3ECF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1EE87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F0606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金融服务</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A9EB3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金融服务</w:t>
            </w:r>
          </w:p>
        </w:tc>
      </w:tr>
      <w:tr w14:paraId="3125B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86672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41</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E1204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F4C8E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企业自诊断</w:t>
            </w: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44A15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用户和企业信息补充</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747F3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完善个人信息页签</w:t>
            </w:r>
          </w:p>
        </w:tc>
      </w:tr>
      <w:tr w14:paraId="532EF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6210F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42</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D41E7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DCAE3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FBAE1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F56D1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完善企业信息页签</w:t>
            </w:r>
          </w:p>
        </w:tc>
      </w:tr>
      <w:tr w14:paraId="6E7BCC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27B99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43</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4EA95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EFED0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2AFC7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企业自诊断问卷填报</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DF50F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自诊断工作列表</w:t>
            </w:r>
          </w:p>
        </w:tc>
      </w:tr>
      <w:tr w14:paraId="6010E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17650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44</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06775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42242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CF578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81B31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问卷填报任务</w:t>
            </w:r>
          </w:p>
        </w:tc>
      </w:tr>
      <w:tr w14:paraId="76FEA6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B4219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45</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EBD00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ECACB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FDACC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955AB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问卷问题作答</w:t>
            </w:r>
          </w:p>
        </w:tc>
      </w:tr>
      <w:tr w14:paraId="2EB06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58848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46</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F58BF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C61F2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870DC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企业自诊断结果获取和使用</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C4443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企业自诊断结果查看和下载</w:t>
            </w:r>
          </w:p>
        </w:tc>
      </w:tr>
      <w:tr w14:paraId="472E0E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462C4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z</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0C840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50CD2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B1317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6C918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企业自诊断报告分享</w:t>
            </w:r>
          </w:p>
        </w:tc>
      </w:tr>
      <w:tr w14:paraId="483B95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C9CE2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48</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5AF31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F3C09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区县专区</w:t>
            </w: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57B8A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区县专区</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1403F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数据概览展示</w:t>
            </w:r>
          </w:p>
        </w:tc>
      </w:tr>
      <w:tr w14:paraId="5AB8E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8804D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49</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7A41D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90BE5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6FC67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37A94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新闻导览展示</w:t>
            </w:r>
          </w:p>
        </w:tc>
      </w:tr>
      <w:tr w14:paraId="2CB6F2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351BD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50</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9B200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DAADA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7E98E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DC0FB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研究报告展示</w:t>
            </w:r>
          </w:p>
        </w:tc>
      </w:tr>
      <w:tr w14:paraId="18E037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D5668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51</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42555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1866D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9A48B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A5F45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公示通告展示</w:t>
            </w:r>
          </w:p>
        </w:tc>
      </w:tr>
      <w:tr w14:paraId="1013FE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AAAAD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52</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250AC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C7B33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64AA4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55B8A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政策申报展示</w:t>
            </w:r>
          </w:p>
        </w:tc>
      </w:tr>
      <w:tr w14:paraId="38577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8AC41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53</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AE41A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8B7AA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FC573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1EEFB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解决方案展示</w:t>
            </w:r>
          </w:p>
        </w:tc>
      </w:tr>
      <w:tr w14:paraId="066E36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2423F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54</w:t>
            </w:r>
          </w:p>
        </w:tc>
        <w:tc>
          <w:tcPr>
            <w:tcW w:w="920"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DABD7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服务管理平台</w:t>
            </w: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47EC9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政策服务后端管理</w:t>
            </w: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C00EF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政策文件</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94F3D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政策文件发布</w:t>
            </w:r>
          </w:p>
        </w:tc>
      </w:tr>
      <w:tr w14:paraId="465EB5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C3977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55</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CBEA2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12F6F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B1831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研究报告</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B6DD5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研究报告发布</w:t>
            </w:r>
          </w:p>
        </w:tc>
      </w:tr>
      <w:tr w14:paraId="6AD909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1C9F7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56</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0851A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5E6D5B">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86C30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公示通告</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BE872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公示通告发布</w:t>
            </w:r>
          </w:p>
        </w:tc>
      </w:tr>
      <w:tr w14:paraId="771A2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EA36E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57</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F4808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63B28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610E4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新闻咨询</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626CE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新闻咨询发布</w:t>
            </w:r>
          </w:p>
        </w:tc>
      </w:tr>
      <w:tr w14:paraId="27B9F0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64A56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58</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20AA2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F913F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诊断管理</w:t>
            </w: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986FA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诊断申请</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C1F63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提交诊断申请</w:t>
            </w:r>
          </w:p>
        </w:tc>
      </w:tr>
      <w:tr w14:paraId="5E1F4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4E90C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59</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43E9F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4710D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83B6D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9E0B4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驳回诊断申请</w:t>
            </w:r>
          </w:p>
        </w:tc>
      </w:tr>
      <w:tr w14:paraId="0EE7E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E691C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60</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1C087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9BC2A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E33DF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E7C71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附件管理</w:t>
            </w:r>
          </w:p>
        </w:tc>
      </w:tr>
      <w:tr w14:paraId="61BBD7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90D50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61</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E3DE4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95A65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EDEFC4">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77C28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区县待阅列表</w:t>
            </w:r>
          </w:p>
        </w:tc>
      </w:tr>
      <w:tr w14:paraId="59F0AD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40286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62</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82132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301BE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1FEBD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1A0C9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市级待阅列表</w:t>
            </w:r>
          </w:p>
        </w:tc>
      </w:tr>
      <w:tr w14:paraId="6F26F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65D81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63</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412C6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D0536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65627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1DD1A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批量提交</w:t>
            </w:r>
          </w:p>
        </w:tc>
      </w:tr>
      <w:tr w14:paraId="33FC97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85904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64</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DE924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9223B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D5159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F33B4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已阅完成列表</w:t>
            </w:r>
          </w:p>
        </w:tc>
      </w:tr>
      <w:tr w14:paraId="19F7C4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837D2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65</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3DB99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0A4A8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422A0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5785C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已拒绝列表</w:t>
            </w:r>
          </w:p>
        </w:tc>
      </w:tr>
      <w:tr w14:paraId="733A5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8315E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66</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B24F2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47129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C0D0B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ED875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搜索条件</w:t>
            </w:r>
          </w:p>
        </w:tc>
      </w:tr>
      <w:tr w14:paraId="6A02B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1D27C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67</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09740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6C18C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D8266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诊断服务</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F7049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诊断服务</w:t>
            </w:r>
          </w:p>
        </w:tc>
      </w:tr>
      <w:tr w14:paraId="29B76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0B49D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68</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5A06D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35519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F4E0D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5659F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待诊断</w:t>
            </w:r>
          </w:p>
        </w:tc>
      </w:tr>
      <w:tr w14:paraId="23700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DA503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69</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81912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9B621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5F43FB">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2673A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诊断中</w:t>
            </w:r>
          </w:p>
        </w:tc>
      </w:tr>
      <w:tr w14:paraId="6FB11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F0AC7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70</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C6DF0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32DF4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431D8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F5E6A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待确认</w:t>
            </w:r>
          </w:p>
        </w:tc>
      </w:tr>
      <w:tr w14:paraId="099730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6692B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71</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3C070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1B981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99AD5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0C758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区县验收</w:t>
            </w:r>
          </w:p>
        </w:tc>
      </w:tr>
      <w:tr w14:paraId="177EB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05E8F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72</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A5CB6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165D2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E9E2C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CC23F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地市验收</w:t>
            </w:r>
          </w:p>
        </w:tc>
      </w:tr>
      <w:tr w14:paraId="296A1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8C2ED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73</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E66C6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DC18B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84F83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282A5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关联产品</w:t>
            </w:r>
          </w:p>
        </w:tc>
      </w:tr>
      <w:tr w14:paraId="77676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8BF6D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74</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A7992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1CA9E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57A394">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1E959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平台审核</w:t>
            </w:r>
          </w:p>
        </w:tc>
      </w:tr>
      <w:tr w14:paraId="759A2D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87F07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75</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87BD7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0A9ED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1CBE8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4A922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诊断完成列表</w:t>
            </w:r>
          </w:p>
        </w:tc>
      </w:tr>
      <w:tr w14:paraId="21DA2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2274A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76</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26081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5A403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01A44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573AE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诊断取消列表</w:t>
            </w:r>
          </w:p>
        </w:tc>
      </w:tr>
      <w:tr w14:paraId="0769B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EA0D5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77</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AB69A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C716C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改造管理</w:t>
            </w: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7623E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数字化改造申请</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C9372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提交改造申请</w:t>
            </w:r>
          </w:p>
        </w:tc>
      </w:tr>
      <w:tr w14:paraId="2D1554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0AA06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78</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CB3AD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29887B">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EC650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AE9E0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驳回改造申请</w:t>
            </w:r>
          </w:p>
        </w:tc>
      </w:tr>
      <w:tr w14:paraId="6846C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6B308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79</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0D2E0B">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412CD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B168B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292C4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附件管理</w:t>
            </w:r>
          </w:p>
        </w:tc>
      </w:tr>
      <w:tr w14:paraId="052244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29BBF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80</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7297D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85E89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3B9FC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CC2C9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区县待阅列表</w:t>
            </w:r>
          </w:p>
        </w:tc>
      </w:tr>
      <w:tr w14:paraId="7D67D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92DAE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81</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47F0E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33E62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2B37E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CFF76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市级待阅列表</w:t>
            </w:r>
          </w:p>
        </w:tc>
      </w:tr>
      <w:tr w14:paraId="54E50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42C20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82</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648EE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534AD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4CD6C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1711D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批量提交</w:t>
            </w:r>
          </w:p>
        </w:tc>
      </w:tr>
      <w:tr w14:paraId="53E4E4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69DCA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83</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3C011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2647A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D7DC2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41AF4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已阅完成列表</w:t>
            </w:r>
          </w:p>
        </w:tc>
      </w:tr>
      <w:tr w14:paraId="6E1CB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405DE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84</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6729C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2FC4D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BDCBF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F71F5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已拒绝列表</w:t>
            </w:r>
          </w:p>
        </w:tc>
      </w:tr>
      <w:tr w14:paraId="2C382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184B7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85</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F7D2EB">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C57FA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E70E7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0E954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搜索条件</w:t>
            </w:r>
          </w:p>
        </w:tc>
      </w:tr>
      <w:tr w14:paraId="31954F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D677A8">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86</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E2B1A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6AB4A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9781E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数字改造服务</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3FA6A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数字化改造服务</w:t>
            </w:r>
          </w:p>
        </w:tc>
      </w:tr>
      <w:tr w14:paraId="00BAB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7329A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87</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B002F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D619D4">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43A05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972AE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改造待确认</w:t>
            </w:r>
          </w:p>
        </w:tc>
      </w:tr>
      <w:tr w14:paraId="21C2D8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5EA5A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88</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DD909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A31AE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6A902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C25C1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改造中</w:t>
            </w:r>
          </w:p>
        </w:tc>
      </w:tr>
      <w:tr w14:paraId="28EC3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5B8D0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89</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6A76E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D9535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C9936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45383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改造确认</w:t>
            </w:r>
          </w:p>
        </w:tc>
      </w:tr>
      <w:tr w14:paraId="2734B8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21D00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90</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F21C6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8BC1D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C9AE34">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28744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区县验收</w:t>
            </w:r>
          </w:p>
        </w:tc>
      </w:tr>
      <w:tr w14:paraId="49FE1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75E18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91</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D58CC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3AF81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4545A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76615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地市验收</w:t>
            </w:r>
          </w:p>
        </w:tc>
      </w:tr>
      <w:tr w14:paraId="08B918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D4CB6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92</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19E8A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E639D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49E5F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AE2F6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关联产品</w:t>
            </w:r>
          </w:p>
        </w:tc>
      </w:tr>
      <w:tr w14:paraId="000DE3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A46A7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93</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79633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50884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56073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0506D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平台审核</w:t>
            </w:r>
          </w:p>
        </w:tc>
      </w:tr>
      <w:tr w14:paraId="655C68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B9C20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94</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8CFF3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18750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4B19C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2CEBE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改造完成列表</w:t>
            </w:r>
          </w:p>
        </w:tc>
      </w:tr>
      <w:tr w14:paraId="28B02B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ECE57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95</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A0D1F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AFEFC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2BBC3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5F08B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改造取消列表</w:t>
            </w:r>
          </w:p>
        </w:tc>
      </w:tr>
      <w:tr w14:paraId="06CC08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C4CFD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96</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0B43F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D48F8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D117D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标杆示范打造申请</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3098B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提交标杆示范申请</w:t>
            </w:r>
          </w:p>
        </w:tc>
      </w:tr>
      <w:tr w14:paraId="1BC766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FA926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97</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E0488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1C113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74D5F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0963C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驳回标杆示范申请</w:t>
            </w:r>
          </w:p>
        </w:tc>
      </w:tr>
      <w:tr w14:paraId="736460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262B1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98</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5CADC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DCF5A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94F7E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3F20B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附件管理</w:t>
            </w:r>
          </w:p>
        </w:tc>
      </w:tr>
      <w:tr w14:paraId="5487C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C1F31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99</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485C3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CB191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92E94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73DFC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区县待阅列表</w:t>
            </w:r>
          </w:p>
        </w:tc>
      </w:tr>
      <w:tr w14:paraId="5EC96C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981DA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100</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E62A5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4FDC2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A5206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87E8D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市级待阅列表</w:t>
            </w:r>
          </w:p>
        </w:tc>
      </w:tr>
      <w:tr w14:paraId="6B80C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0CA95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101</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7BF21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AD159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B6113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EC781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批量提交</w:t>
            </w:r>
          </w:p>
        </w:tc>
      </w:tr>
      <w:tr w14:paraId="103DB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E67B5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102</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66522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3B822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81AF4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00382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已阅完成列表</w:t>
            </w:r>
          </w:p>
        </w:tc>
      </w:tr>
      <w:tr w14:paraId="2C75F3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CE599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103</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24326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C1C98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DA96AB">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4C670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已拒绝列表</w:t>
            </w:r>
          </w:p>
        </w:tc>
      </w:tr>
      <w:tr w14:paraId="47CF10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C9B7A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104</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B7834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9056B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47F34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ECC2C8">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搜索条件</w:t>
            </w:r>
          </w:p>
        </w:tc>
      </w:tr>
      <w:tr w14:paraId="1AD57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AEFBD8">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105</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89D3B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F285C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E5798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标杆示范改造服务</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4A50C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标杆示范改造服务</w:t>
            </w:r>
          </w:p>
        </w:tc>
      </w:tr>
      <w:tr w14:paraId="27717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984DF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106</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95C87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FEB08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D37DDE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9D312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改造待确认</w:t>
            </w:r>
          </w:p>
        </w:tc>
      </w:tr>
      <w:tr w14:paraId="3BE5D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73965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107</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960B9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A9B1CB">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8CFA5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6FA76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改造中</w:t>
            </w:r>
          </w:p>
        </w:tc>
      </w:tr>
      <w:tr w14:paraId="7D495E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D3178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108</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A9DF8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7C987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29C84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06C15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改造确认</w:t>
            </w:r>
          </w:p>
        </w:tc>
      </w:tr>
      <w:tr w14:paraId="33475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160E2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109</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5D59F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16578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29FE7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3BB9A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区县验收</w:t>
            </w:r>
          </w:p>
        </w:tc>
      </w:tr>
      <w:tr w14:paraId="1618B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E101B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110</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21966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D289A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CB6E9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99074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地市验收</w:t>
            </w:r>
          </w:p>
        </w:tc>
      </w:tr>
      <w:tr w14:paraId="5A929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2CC2E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111</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282EE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42917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B0FAE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85805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关联产品</w:t>
            </w:r>
          </w:p>
        </w:tc>
      </w:tr>
      <w:tr w14:paraId="16D62C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FAB50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112</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3E93A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E2EB6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59BD0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BF9EE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平台审核</w:t>
            </w:r>
          </w:p>
        </w:tc>
      </w:tr>
      <w:tr w14:paraId="658A4B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7FD02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113</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707CCB">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B45E8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3F24F4">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BF91A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改造完成列表</w:t>
            </w:r>
          </w:p>
        </w:tc>
      </w:tr>
      <w:tr w14:paraId="0037E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A4412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114</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11E4E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28BAA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52899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57DD3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改造取消列表</w:t>
            </w:r>
          </w:p>
        </w:tc>
      </w:tr>
      <w:tr w14:paraId="4DB34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65501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115</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D0C8B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41EBB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贯标管理</w:t>
            </w: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E92D8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贯标申请</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8FF6C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预评申请</w:t>
            </w:r>
          </w:p>
        </w:tc>
      </w:tr>
      <w:tr w14:paraId="1B55A7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FFEEC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116</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4CA5F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2C16E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08FB4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08E96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服务开启</w:t>
            </w:r>
          </w:p>
        </w:tc>
      </w:tr>
      <w:tr w14:paraId="02C17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0D8F2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117</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E24B9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DD0B5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A2E88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6200F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服务取消</w:t>
            </w:r>
          </w:p>
        </w:tc>
      </w:tr>
      <w:tr w14:paraId="21462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5930C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118</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02A36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8D88F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BB1188">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贯标服务</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A6B33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待预评答卷</w:t>
            </w:r>
          </w:p>
        </w:tc>
      </w:tr>
      <w:tr w14:paraId="0F632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53838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119</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25144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CD5CF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4C3EC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22149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待预评问卷佐证</w:t>
            </w:r>
          </w:p>
        </w:tc>
      </w:tr>
      <w:tr w14:paraId="27254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8BFD3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120</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14BDD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0BBD0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29AF4B">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A4C4E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预评关键项复核</w:t>
            </w:r>
          </w:p>
        </w:tc>
      </w:tr>
      <w:tr w14:paraId="50A3AF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62C20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121</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03CC7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8B980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1C62A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9FC2E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企业预评评价</w:t>
            </w:r>
          </w:p>
        </w:tc>
      </w:tr>
      <w:tr w14:paraId="6E0DB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187D4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122</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F5C89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C7701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BEAC4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FB7DA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待预评机构佐证</w:t>
            </w:r>
          </w:p>
        </w:tc>
      </w:tr>
      <w:tr w14:paraId="6427F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8E3E2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123</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0CA3B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B8F5D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7FBA44">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F997E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评估备案</w:t>
            </w:r>
          </w:p>
        </w:tc>
      </w:tr>
      <w:tr w14:paraId="7C9ED5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9804D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124</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7C699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2E9724">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953EC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568FD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融合推进中心分配</w:t>
            </w:r>
          </w:p>
        </w:tc>
      </w:tr>
      <w:tr w14:paraId="27808D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A6500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125</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91520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C37B2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C4614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1AB28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复评估</w:t>
            </w:r>
          </w:p>
        </w:tc>
      </w:tr>
      <w:tr w14:paraId="670A6E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1A143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126</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B7F1F4">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4845C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591A6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F74E8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专家审核</w:t>
            </w:r>
          </w:p>
        </w:tc>
      </w:tr>
      <w:tr w14:paraId="05F83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8C2DB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127</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47DA4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4F464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65DA5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28467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完成服务</w:t>
            </w:r>
          </w:p>
        </w:tc>
      </w:tr>
      <w:tr w14:paraId="5E135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DBB45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128</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5953A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2E341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专项工作</w:t>
            </w: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BD1B2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专项填报</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9100F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试点上报</w:t>
            </w:r>
          </w:p>
        </w:tc>
      </w:tr>
      <w:tr w14:paraId="3E7BC3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95272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129</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FC3B1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578E7B">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BA521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72DDC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地市审核</w:t>
            </w:r>
          </w:p>
        </w:tc>
      </w:tr>
      <w:tr w14:paraId="6BC4F1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6E002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130</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5E2D8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8496D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3A24C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A44AF8">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上报审核列表</w:t>
            </w:r>
          </w:p>
        </w:tc>
      </w:tr>
      <w:tr w14:paraId="7EA52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C3B96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131</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5D873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A65F5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BD61B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29877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驳回列表</w:t>
            </w:r>
          </w:p>
        </w:tc>
      </w:tr>
      <w:tr w14:paraId="39A7E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28A6F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132</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91A7A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12FE1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7BA6F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37211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数据导入</w:t>
            </w:r>
          </w:p>
        </w:tc>
      </w:tr>
      <w:tr w14:paraId="5360D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2340D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133</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4DD2C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F2C16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6AA56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D1408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附件管理</w:t>
            </w:r>
          </w:p>
        </w:tc>
      </w:tr>
      <w:tr w14:paraId="64322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F15A7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134</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05E71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49257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C2641B">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FB3A1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政策支撑情况</w:t>
            </w:r>
          </w:p>
        </w:tc>
      </w:tr>
      <w:tr w14:paraId="7C1042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25977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135</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B3008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7D9BE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E0DCC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EAE9A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服务体系建设</w:t>
            </w:r>
          </w:p>
        </w:tc>
      </w:tr>
      <w:tr w14:paraId="0C65C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5BD68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136</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107C1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94415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70B08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59E02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企业数字化改造</w:t>
            </w:r>
          </w:p>
        </w:tc>
      </w:tr>
      <w:tr w14:paraId="5C52A8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6AC13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137</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C0845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EF33D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8B45C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9BE0D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工业互联网建设</w:t>
            </w:r>
          </w:p>
        </w:tc>
      </w:tr>
      <w:tr w14:paraId="76AFC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50A7F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138</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D6645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A2635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07A59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复核填报</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F80EF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等级复核</w:t>
            </w:r>
          </w:p>
        </w:tc>
      </w:tr>
      <w:tr w14:paraId="6BC702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E9A04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139</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835B9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7CB8D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企业管理</w:t>
            </w: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8D212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企业信息管理</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37E30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企业信息管理</w:t>
            </w:r>
          </w:p>
        </w:tc>
      </w:tr>
      <w:tr w14:paraId="0011C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3739E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140</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EE0FC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A71DB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F9ECE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规上企业</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F2991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区县录入</w:t>
            </w:r>
          </w:p>
        </w:tc>
      </w:tr>
      <w:tr w14:paraId="3566B7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FC452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141</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D2791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2DD864">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43F53B">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B5E19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区县待阅列表</w:t>
            </w:r>
          </w:p>
        </w:tc>
      </w:tr>
      <w:tr w14:paraId="38BED8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9835B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142</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0ADD2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DE50E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B2BAA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A14AE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地市待阅列表</w:t>
            </w:r>
          </w:p>
        </w:tc>
      </w:tr>
      <w:tr w14:paraId="1997F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EC250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143</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8D805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3FEC1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B1B80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我的服务商</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5209A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我的服务商</w:t>
            </w:r>
          </w:p>
        </w:tc>
      </w:tr>
      <w:tr w14:paraId="1350CB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D970C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144</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D07CF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50A81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供需服务</w:t>
            </w: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0511B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应用产品管理</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18FD88">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应用产品管理</w:t>
            </w:r>
          </w:p>
        </w:tc>
      </w:tr>
      <w:tr w14:paraId="40286C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748A4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145</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A785F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2421B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数据中心</w:t>
            </w: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885D8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企业认证</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A52B2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企业认证</w:t>
            </w:r>
          </w:p>
        </w:tc>
      </w:tr>
      <w:tr w14:paraId="17D42E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6F155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146</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90F414">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755A7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C4EB8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注册服务商</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FBCC6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注册服务商列表</w:t>
            </w:r>
          </w:p>
        </w:tc>
      </w:tr>
      <w:tr w14:paraId="0893D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88126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147</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C1008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CD0C3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AE06D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数据分析</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E0393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数据分析</w:t>
            </w:r>
          </w:p>
        </w:tc>
      </w:tr>
      <w:tr w14:paraId="72756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B781E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148</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F6345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3EDD1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4C167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推进情况总览</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E0D33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推进情况总览</w:t>
            </w:r>
          </w:p>
        </w:tc>
      </w:tr>
      <w:tr w14:paraId="2080C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DC6E98">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149</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18977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06C59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数据专区</w:t>
            </w: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DAF96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企业等级分布</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1FE3E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企业等级分布</w:t>
            </w:r>
          </w:p>
        </w:tc>
      </w:tr>
      <w:tr w14:paraId="4A03B5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4C20D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150</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7C9D0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291CC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53E4F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服务商统计</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2D62F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服务商数量</w:t>
            </w:r>
          </w:p>
        </w:tc>
      </w:tr>
      <w:tr w14:paraId="0C24B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00BE5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151</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B7CA1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9742B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AD99B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A2382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诊断企业数</w:t>
            </w:r>
          </w:p>
        </w:tc>
      </w:tr>
      <w:tr w14:paraId="4075F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06EB7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152</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26429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B977D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AFBC1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07ADD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改造企业数</w:t>
            </w:r>
          </w:p>
        </w:tc>
      </w:tr>
      <w:tr w14:paraId="313AE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842E5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153</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23528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5F16D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6F0E7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FB86C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产品数</w:t>
            </w:r>
          </w:p>
        </w:tc>
      </w:tr>
      <w:tr w14:paraId="0C68A6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BF8A28">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154</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0F612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3AFE2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1A5C4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企业诊断</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385BC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诊断数量</w:t>
            </w:r>
          </w:p>
        </w:tc>
      </w:tr>
      <w:tr w14:paraId="31910A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8ABAE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155</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7BB2A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CD698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C2520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5F656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诊断分析</w:t>
            </w:r>
          </w:p>
        </w:tc>
      </w:tr>
      <w:tr w14:paraId="5403C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792F18">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156</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95EC3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9F281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76DC9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0F464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诊断附件分析</w:t>
            </w:r>
          </w:p>
        </w:tc>
      </w:tr>
      <w:tr w14:paraId="405A2E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61A6D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157</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09500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7C441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C6156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企业改造</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1623D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改造数量</w:t>
            </w:r>
          </w:p>
        </w:tc>
      </w:tr>
      <w:tr w14:paraId="4D702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DDA40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158</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37667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9F93C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6974C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CFEEF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改造分析</w:t>
            </w:r>
          </w:p>
        </w:tc>
      </w:tr>
      <w:tr w14:paraId="784BF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7D35D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159</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C1C7B4">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BE9F8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BB88E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C923A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改造附件分析</w:t>
            </w:r>
          </w:p>
        </w:tc>
      </w:tr>
      <w:tr w14:paraId="32394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45F40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160</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68E96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A6C91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89346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企业贯标</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8583B8">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贯标数量</w:t>
            </w:r>
          </w:p>
        </w:tc>
      </w:tr>
      <w:tr w14:paraId="7CCF6A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0FA25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161</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D7D53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E3F7C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4F826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9674C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贯标分析</w:t>
            </w:r>
          </w:p>
        </w:tc>
      </w:tr>
      <w:tr w14:paraId="050376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87FD5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162</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6E303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38C24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AB4B6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BB3F1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贯标附件分析</w:t>
            </w:r>
          </w:p>
        </w:tc>
      </w:tr>
      <w:tr w14:paraId="3B427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EA257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163</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FB786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3AF98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32EA6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企业贯标等级情况</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41B5D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企业贯标等级情况</w:t>
            </w:r>
          </w:p>
        </w:tc>
      </w:tr>
      <w:tr w14:paraId="3E5C21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FB4CF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164</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006D6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97BC8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60B05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产业链完成情况</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B7BAE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诊断完成情况</w:t>
            </w:r>
          </w:p>
        </w:tc>
      </w:tr>
      <w:tr w14:paraId="130DEE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D8CD3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165</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CB121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7DBF2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2EA61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6CBFA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改造完成情况</w:t>
            </w:r>
          </w:p>
        </w:tc>
      </w:tr>
      <w:tr w14:paraId="74BDA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DB196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166</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9F2F6B">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FFE08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ACEBD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7A034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贯标完成情况</w:t>
            </w:r>
          </w:p>
        </w:tc>
      </w:tr>
      <w:tr w14:paraId="0E366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E0F8B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167</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54EB9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D7714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5169F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服务商详情</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0B2B0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服务商服务企业排行</w:t>
            </w:r>
          </w:p>
        </w:tc>
      </w:tr>
      <w:tr w14:paraId="02861D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AD29E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168</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E5C2D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6D2FC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3729F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软件使用排行</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6BC48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软件使用排行</w:t>
            </w:r>
          </w:p>
        </w:tc>
      </w:tr>
      <w:tr w14:paraId="4D324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07DC2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169</w:t>
            </w:r>
          </w:p>
        </w:tc>
        <w:tc>
          <w:tcPr>
            <w:tcW w:w="920"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D026E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统一门户</w:t>
            </w: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C2353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监测中心集成</w:t>
            </w: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5266F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驾驶舱</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BBD2E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驾驶舱</w:t>
            </w:r>
          </w:p>
        </w:tc>
      </w:tr>
      <w:tr w14:paraId="61F7B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82B16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170</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4FB4A4">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608944">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D6EEF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数据子屏</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B325E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数据子屏</w:t>
            </w:r>
          </w:p>
        </w:tc>
      </w:tr>
      <w:tr w14:paraId="2987AC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BA669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171</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1E51C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2514A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门户集成</w:t>
            </w: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32958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平台门户集成</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67057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门户集成</w:t>
            </w:r>
          </w:p>
        </w:tc>
      </w:tr>
      <w:tr w14:paraId="128F2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0FFEF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172</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6DC9A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89996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A44DC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服务商门户集成</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CEA9B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服务商门户</w:t>
            </w:r>
          </w:p>
        </w:tc>
      </w:tr>
      <w:tr w14:paraId="3F80D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B938C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173</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3655B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26B04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5B708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企业门户集成</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33587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企业门户</w:t>
            </w:r>
          </w:p>
        </w:tc>
      </w:tr>
      <w:tr w14:paraId="75F99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F304E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174</w:t>
            </w:r>
          </w:p>
        </w:tc>
        <w:tc>
          <w:tcPr>
            <w:tcW w:w="920"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1DBA1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驾驶舱</w:t>
            </w: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A8D29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首屏</w:t>
            </w: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535A7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企业产业分布</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6AF8F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企业产业分布</w:t>
            </w:r>
          </w:p>
        </w:tc>
      </w:tr>
      <w:tr w14:paraId="1DDE0A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DD9A9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175</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C5F25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CB2F6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6EDC7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推进情况总览</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9F8FC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推进情况总览</w:t>
            </w:r>
          </w:p>
        </w:tc>
      </w:tr>
      <w:tr w14:paraId="3D4A4E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01BDA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176</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C9363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3629B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04D39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服务体系</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A333B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服务体系</w:t>
            </w:r>
          </w:p>
        </w:tc>
      </w:tr>
      <w:tr w14:paraId="3D5180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53302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177</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DFEC53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10D77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7A18F8">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水平等级分布</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F480B8">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水平等级分布</w:t>
            </w:r>
          </w:p>
        </w:tc>
      </w:tr>
      <w:tr w14:paraId="5B138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E10D4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178</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B0C20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F8615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8719B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改造成效</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9419C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改造成效</w:t>
            </w:r>
          </w:p>
        </w:tc>
      </w:tr>
      <w:tr w14:paraId="1ED85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414E7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179</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06451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311E4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15F2A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样板间</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DB652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样板间</w:t>
            </w:r>
          </w:p>
        </w:tc>
      </w:tr>
      <w:tr w14:paraId="5BCB4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43004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180</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D4852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4DCDA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4D3F8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地图热力图</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66491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地图热力图</w:t>
            </w:r>
          </w:p>
        </w:tc>
      </w:tr>
      <w:tr w14:paraId="551AE1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2BAB5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181</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10C32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9C30E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产业链</w:t>
            </w: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48B6C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经济效益分析</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1563E8">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销售利润率</w:t>
            </w:r>
          </w:p>
        </w:tc>
      </w:tr>
      <w:tr w14:paraId="551B8C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9CA95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182</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86558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E0A60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A15A9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363E7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成本利润率</w:t>
            </w:r>
          </w:p>
        </w:tc>
      </w:tr>
      <w:tr w14:paraId="08E22A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8DA88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183</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6ECF3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21C7F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9F1F6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供应链管理</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123AD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网上采购率</w:t>
            </w:r>
          </w:p>
        </w:tc>
      </w:tr>
      <w:tr w14:paraId="391EC9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25B43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184</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27921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60E2B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E5B50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E3601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网上销售率</w:t>
            </w:r>
          </w:p>
        </w:tc>
      </w:tr>
      <w:tr w14:paraId="07DE04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72914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185</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134BE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D9162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B516A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社会效益</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A8CE2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社会效益数据</w:t>
            </w:r>
          </w:p>
        </w:tc>
      </w:tr>
      <w:tr w14:paraId="335F12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F0518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186</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D0993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6D1DC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E34B4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水平等级分布</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D8514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产业链纬度水平等级分布</w:t>
            </w:r>
          </w:p>
        </w:tc>
      </w:tr>
      <w:tr w14:paraId="4B5582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5B842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187</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52298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3E2B6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企业子屏</w:t>
            </w: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ECDC0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水平等级分布</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0DC2C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水平等级分布</w:t>
            </w:r>
          </w:p>
        </w:tc>
      </w:tr>
      <w:tr w14:paraId="4D4761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6F4D1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188</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50DBC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E0836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20670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企业数据</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66F98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企业数据统计</w:t>
            </w:r>
          </w:p>
        </w:tc>
      </w:tr>
      <w:tr w14:paraId="77759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395B1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189</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2A777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75482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31D9F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推进情况总览</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A51C2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推进情况总览</w:t>
            </w:r>
          </w:p>
        </w:tc>
      </w:tr>
      <w:tr w14:paraId="578B6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EE1AD8">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190</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AC8CC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B4AB0F">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1FD6C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行业分布</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BFED3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行业分布</w:t>
            </w:r>
          </w:p>
        </w:tc>
      </w:tr>
      <w:tr w14:paraId="6551F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96535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191</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B3BA8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E8D39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0C45E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企业列表</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8CC5B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企业列表</w:t>
            </w:r>
          </w:p>
        </w:tc>
      </w:tr>
      <w:tr w14:paraId="3AA3B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D1496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192</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513FC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40582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FD0E0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企业画像</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8E8D0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企业基础信息</w:t>
            </w:r>
          </w:p>
        </w:tc>
      </w:tr>
      <w:tr w14:paraId="516B44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41211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193</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29F074">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3EDCD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EC047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数字化转型</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706E6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数字化转型</w:t>
            </w:r>
          </w:p>
        </w:tc>
      </w:tr>
      <w:tr w14:paraId="0DB36A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7612E7">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194</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56BBFB">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64CA1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推进情况子屏</w:t>
            </w: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45942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入企诊断</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FACC2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入企诊断</w:t>
            </w:r>
          </w:p>
        </w:tc>
      </w:tr>
      <w:tr w14:paraId="2E123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0A1EF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195</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6D4C0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E100B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E9DC3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数字化改造</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DA3BA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数字化改造</w:t>
            </w:r>
          </w:p>
        </w:tc>
      </w:tr>
      <w:tr w14:paraId="4FE1B0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84B38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196</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6236F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12E54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FD2B6B">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标杆示范</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31508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标杆示范</w:t>
            </w:r>
          </w:p>
        </w:tc>
      </w:tr>
      <w:tr w14:paraId="774AD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264DD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197</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1A8AE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C9E5F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C9EA4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贯标</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CA4AB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贯标</w:t>
            </w:r>
          </w:p>
        </w:tc>
      </w:tr>
      <w:tr w14:paraId="789608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9DCB58">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198</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3B50F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DB1B4B">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16159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项目清单</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7F12FD">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项目清单</w:t>
            </w:r>
          </w:p>
        </w:tc>
      </w:tr>
      <w:tr w14:paraId="17F90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EF0E1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199</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BAE51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0FD31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服务商子屏</w:t>
            </w:r>
          </w:p>
        </w:tc>
        <w:tc>
          <w:tcPr>
            <w:tcW w:w="1185"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555E1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服务商指标</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C2A21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服务企业数</w:t>
            </w:r>
          </w:p>
        </w:tc>
      </w:tr>
      <w:tr w14:paraId="390A2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32C32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200</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947D2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DA8455">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9FBFAE">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69F29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服务项目数</w:t>
            </w:r>
          </w:p>
        </w:tc>
      </w:tr>
      <w:tr w14:paraId="6D00A9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4E39A6">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 xml:space="preserve"> 201</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74D48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361759">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79C09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0013E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服务商数量</w:t>
            </w:r>
          </w:p>
        </w:tc>
      </w:tr>
      <w:tr w14:paraId="107C6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FFBCE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202</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89BC27">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6B78D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55BDD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BA350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产品/解决方案数</w:t>
            </w:r>
          </w:p>
        </w:tc>
      </w:tr>
      <w:tr w14:paraId="7D617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76337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203</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BACA2A">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1FA6B8">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AA64C1">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应用产品排行</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5FBCBA">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应用产品排行</w:t>
            </w:r>
          </w:p>
        </w:tc>
      </w:tr>
      <w:tr w14:paraId="0234B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849029">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204</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19693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816952">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6B8B0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数字化转型产品</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4A0044">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数字化转型产品</w:t>
            </w:r>
          </w:p>
        </w:tc>
      </w:tr>
      <w:tr w14:paraId="35EA1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0B1072">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205</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B63DE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75DC41">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5D4B5E">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诊断服务</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E7787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诊断服务</w:t>
            </w:r>
          </w:p>
        </w:tc>
      </w:tr>
      <w:tr w14:paraId="331B8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8DFA63">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206</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073866">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360AB3">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317668">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改造服务</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CA5AEC">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改造服务</w:t>
            </w:r>
          </w:p>
        </w:tc>
      </w:tr>
      <w:tr w14:paraId="28019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CABD55">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207</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4C887B">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C49E80">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E5D13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贯标服务</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03379F">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贯标服务</w:t>
            </w:r>
          </w:p>
        </w:tc>
      </w:tr>
      <w:tr w14:paraId="4E87B8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39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7D75DB">
            <w:pPr>
              <w:keepNext w:val="0"/>
              <w:keepLines w:val="0"/>
              <w:widowControl/>
              <w:suppressLineNumbers w:val="0"/>
              <w:kinsoku/>
              <w:autoSpaceDE/>
              <w:autoSpaceDN/>
              <w:adjustRightInd/>
              <w:snapToGrid/>
              <w:jc w:val="center"/>
              <w:textAlignment w:val="center"/>
              <w:rPr>
                <w:rFonts w:hint="default" w:ascii="国标仿宋-GB/T 2312" w:hAnsi="国标仿宋-GB/T 2312" w:eastAsia="国标仿宋-GB/T 2312" w:cs="国标仿宋-GB/T 2312"/>
                <w:b w:val="0"/>
                <w:i w:val="0"/>
                <w:iCs w:val="0"/>
                <w:snapToGrid/>
                <w:color w:val="000000"/>
                <w:kern w:val="2"/>
                <w:sz w:val="24"/>
                <w:szCs w:val="24"/>
                <w:u w:val="none"/>
                <w:lang w:val="en-US"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208</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8B1E6C">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18DC2D">
            <w:pPr>
              <w:widowControl w:val="0"/>
              <w:kinsoku/>
              <w:autoSpaceDE/>
              <w:autoSpaceDN/>
              <w:adjustRightInd/>
              <w:snapToGrid/>
              <w:jc w:val="center"/>
              <w:textAlignment w:val="auto"/>
              <w:rPr>
                <w:rFonts w:hint="eastAsia" w:ascii="国标仿宋-GB/T 2312" w:hAnsi="国标仿宋-GB/T 2312" w:eastAsia="国标仿宋-GB/T 2312" w:cs="国标仿宋-GB/T 2312"/>
                <w:b w:val="0"/>
                <w:i w:val="0"/>
                <w:iCs w:val="0"/>
                <w:snapToGrid/>
                <w:color w:val="000000"/>
                <w:kern w:val="2"/>
                <w:sz w:val="24"/>
                <w:szCs w:val="24"/>
                <w:u w:val="none"/>
                <w:lang w:eastAsia="zh-CN"/>
              </w:rPr>
            </w:pPr>
          </w:p>
        </w:tc>
        <w:tc>
          <w:tcPr>
            <w:tcW w:w="118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0020D0">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满意度排行</w:t>
            </w:r>
          </w:p>
        </w:tc>
        <w:tc>
          <w:tcPr>
            <w:tcW w:w="131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63AED8">
            <w:pPr>
              <w:keepNext w:val="0"/>
              <w:keepLines w:val="0"/>
              <w:widowControl/>
              <w:suppressLineNumbers w:val="0"/>
              <w:kinsoku/>
              <w:autoSpaceDE/>
              <w:autoSpaceDN/>
              <w:adjustRightInd/>
              <w:snapToGrid/>
              <w:jc w:val="center"/>
              <w:textAlignment w:val="center"/>
              <w:rPr>
                <w:rFonts w:hint="eastAsia" w:ascii="国标仿宋-GB/T 2312" w:hAnsi="国标仿宋-GB/T 2312" w:eastAsia="国标仿宋-GB/T 2312" w:cs="国标仿宋-GB/T 2312"/>
                <w:b w:val="0"/>
                <w:i w:val="0"/>
                <w:iCs w:val="0"/>
                <w:snapToGrid/>
                <w:color w:val="000000"/>
                <w:kern w:val="2"/>
                <w:sz w:val="24"/>
                <w:szCs w:val="24"/>
                <w:u w:val="none"/>
                <w:lang w:eastAsia="zh-CN"/>
              </w:rPr>
            </w:pPr>
            <w:r>
              <w:rPr>
                <w:rFonts w:hint="eastAsia" w:ascii="国标仿宋-GB/T 2312" w:hAnsi="国标仿宋-GB/T 2312" w:eastAsia="国标仿宋-GB/T 2312" w:cs="国标仿宋-GB/T 2312"/>
                <w:b w:val="0"/>
                <w:i w:val="0"/>
                <w:iCs w:val="0"/>
                <w:snapToGrid/>
                <w:color w:val="000000"/>
                <w:kern w:val="0"/>
                <w:sz w:val="24"/>
                <w:szCs w:val="24"/>
                <w:u w:val="none"/>
                <w:lang w:val="en-US" w:eastAsia="zh-CN" w:bidi="ar"/>
              </w:rPr>
              <w:t>满意度排行</w:t>
            </w:r>
          </w:p>
        </w:tc>
      </w:tr>
    </w:tbl>
    <w:p w14:paraId="4EBC01A8">
      <w:pPr>
        <w:rPr>
          <w:rFonts w:hint="eastAsia" w:ascii="仿宋" w:hAnsi="仿宋" w:eastAsia="仿宋" w:cs="仿宋"/>
          <w:b/>
          <w:bCs/>
          <w:color w:val="auto"/>
          <w:spacing w:val="-6"/>
          <w:sz w:val="27"/>
          <w:szCs w:val="27"/>
          <w:highlight w:val="none"/>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国标黑体">
    <w:altName w:val="黑体"/>
    <w:panose1 w:val="02000500000000000000"/>
    <w:charset w:val="86"/>
    <w:family w:val="auto"/>
    <w:pitch w:val="default"/>
    <w:sig w:usb0="00000000" w:usb1="00000000" w:usb2="00000000" w:usb3="00000000" w:csb0="00040000" w:csb1="00000000"/>
  </w:font>
  <w:font w:name="国标仿宋-GB/T 2312">
    <w:altName w:val="仿宋"/>
    <w:panose1 w:val="02000500000000000000"/>
    <w:charset w:val="86"/>
    <w:family w:val="auto"/>
    <w:pitch w:val="default"/>
    <w:sig w:usb0="00000000" w:usb1="00000000" w:usb2="00000010" w:usb3="00000000" w:csb0="00040000" w:csb1="00000000"/>
  </w:font>
  <w:font w:name="KSOF6BE7A20B">
    <w:panose1 w:val="02010609060101010101"/>
    <w:charset w:val="86"/>
    <w:family w:val="auto"/>
    <w:pitch w:val="default"/>
    <w:sig w:usb0="00000001"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5"/>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CC614A3"/>
    <w:rsid w:val="02820350"/>
    <w:rsid w:val="36A94F3E"/>
    <w:rsid w:val="3CC614A3"/>
    <w:rsid w:val="404A12CD"/>
    <w:rsid w:val="69B73EA6"/>
    <w:rsid w:val="762341E1"/>
    <w:rsid w:val="7CE771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First Indent 2"/>
    <w:next w:val="1"/>
    <w:unhideWhenUsed/>
    <w:qFormat/>
    <w:uiPriority w:val="99"/>
    <w:pPr>
      <w:widowControl w:val="0"/>
      <w:ind w:firstLine="420" w:firstLineChars="200"/>
      <w:jc w:val="both"/>
    </w:pPr>
    <w:rPr>
      <w:rFonts w:ascii="Times New Roman" w:hAnsi="Times New Roman" w:eastAsia="宋体" w:cs="Times New Roman"/>
      <w:kern w:val="2"/>
      <w:sz w:val="28"/>
      <w:szCs w:val="24"/>
      <w:lang w:val="en-US" w:eastAsia="zh-CN" w:bidi="ar-SA"/>
    </w:rPr>
  </w:style>
  <w:style w:type="paragraph" w:styleId="4">
    <w:name w:val="Body Text"/>
    <w:basedOn w:val="1"/>
    <w:next w:val="5"/>
    <w:qFormat/>
    <w:uiPriority w:val="0"/>
    <w:rPr>
      <w:rFonts w:ascii="仿宋" w:hAnsi="仿宋" w:eastAsia="仿宋" w:cs="仿宋"/>
      <w:sz w:val="30"/>
      <w:szCs w:val="30"/>
    </w:rPr>
  </w:style>
  <w:style w:type="paragraph" w:styleId="5">
    <w:name w:val="Body Text First Indent"/>
    <w:basedOn w:val="4"/>
    <w:qFormat/>
    <w:uiPriority w:val="0"/>
    <w:pPr>
      <w:ind w:firstLine="420" w:firstLineChars="100"/>
    </w:pPr>
  </w:style>
  <w:style w:type="paragraph" w:styleId="6">
    <w:name w:val="Body Text Indent"/>
    <w:next w:val="7"/>
    <w:qFormat/>
    <w:uiPriority w:val="0"/>
    <w:pPr>
      <w:widowControl w:val="0"/>
      <w:ind w:firstLine="560" w:firstLineChars="200"/>
      <w:jc w:val="both"/>
    </w:pPr>
    <w:rPr>
      <w:rFonts w:ascii="Times New Roman" w:hAnsi="Times New Roman" w:eastAsia="宋体" w:cs="Times New Roman"/>
      <w:kern w:val="2"/>
      <w:sz w:val="28"/>
      <w:szCs w:val="24"/>
      <w:lang w:val="en-US" w:eastAsia="zh-CN" w:bidi="ar-SA"/>
    </w:rPr>
  </w:style>
  <w:style w:type="paragraph" w:styleId="7">
    <w:name w:val="envelope return"/>
    <w:qFormat/>
    <w:uiPriority w:val="0"/>
    <w:pPr>
      <w:widowControl w:val="0"/>
      <w:snapToGrid w:val="0"/>
      <w:jc w:val="both"/>
    </w:pPr>
    <w:rPr>
      <w:rFonts w:ascii="Arial" w:hAnsi="Arial" w:eastAsia="宋体" w:cs="Times New Roman"/>
      <w:kern w:val="2"/>
      <w:sz w:val="21"/>
      <w:szCs w:val="24"/>
      <w:lang w:val="en-US" w:eastAsia="zh-CN" w:bidi="ar-SA"/>
    </w:rPr>
  </w:style>
  <w:style w:type="character" w:styleId="10">
    <w:name w:val="Hyperlink"/>
    <w:basedOn w:val="9"/>
    <w:qFormat/>
    <w:uiPriority w:val="0"/>
    <w:rPr>
      <w:color w:val="0000FF"/>
      <w:u w:val="single"/>
    </w:rPr>
  </w:style>
  <w:style w:type="paragraph" w:customStyle="1" w:styleId="11">
    <w:name w:val="*正文"/>
    <w:basedOn w:val="1"/>
    <w:autoRedefine/>
    <w:qFormat/>
    <w:uiPriority w:val="99"/>
    <w:pPr>
      <w:spacing w:line="360" w:lineRule="auto"/>
      <w:ind w:firstLine="200" w:firstLineChars="200"/>
    </w:pPr>
    <w:rPr>
      <w:rFonts w:ascii="宋体" w:hAnsi="宋体" w:cs="宋体"/>
      <w:sz w:val="22"/>
      <w:szCs w:val="2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2440</Words>
  <Characters>2482</Characters>
  <Lines>0</Lines>
  <Paragraphs>0</Paragraphs>
  <TotalTime>1</TotalTime>
  <ScaleCrop>false</ScaleCrop>
  <LinksUpToDate>false</LinksUpToDate>
  <CharactersWithSpaces>2498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2026-03-03T08:33:00Z</dcterms:created>
  <dc:creator>admin</dc:creator>
  <cp:lastModifiedBy>F</cp:lastModifiedBy>
  <dcterms:modified xsi:type="dcterms:W3CDTF">2026-05-15T03:44:36Z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075CD9AD71E14252B205EBBCC29EBF63_11</vt:lpwstr>
  </property>
  <property fmtid="{D5CDD505-2E9C-101B-9397-08002B2CF9AE}" pid="4" name="KSOTemplateDocerSaveRecord">
    <vt:lpwstr>eyJoZGlkIjoiZTdmMDhiOWUzZjg4MTZkZTI0MGMxYzVjNWM2YTQ1MjYiLCJ1c2VySWQiOiIyMjczMzg1MzEifQ==</vt:lpwstr>
  </property>
</Properties>
</file>