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490D4A4">
      <w:pPr>
        <w:pStyle w:val="4"/>
        <w:spacing w:before="0" w:after="0" w:line="360" w:lineRule="auto"/>
        <w:jc w:val="center"/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</w:pPr>
      <w:bookmarkStart w:id="0" w:name="_Toc505020181"/>
      <w:r>
        <w:rPr>
          <w:rFonts w:hint="eastAsia" w:ascii="宋体" w:hAnsi="宋体" w:eastAsia="宋体" w:cs="宋体"/>
          <w:color w:val="auto"/>
          <w:sz w:val="28"/>
          <w:szCs w:val="28"/>
          <w:highlight w:val="none"/>
        </w:rPr>
        <w:t>二、</w:t>
      </w:r>
      <w:bookmarkEnd w:id="0"/>
      <w:r>
        <w:rPr>
          <w:rFonts w:hint="eastAsia" w:ascii="宋体" w:hAnsi="宋体" w:eastAsia="宋体" w:cs="宋体"/>
          <w:color w:val="auto"/>
          <w:sz w:val="28"/>
          <w:szCs w:val="28"/>
          <w:highlight w:val="none"/>
          <w:lang w:val="en-US" w:eastAsia="zh-CN"/>
        </w:rPr>
        <w:t>技术规格</w:t>
      </w:r>
    </w:p>
    <w:p w14:paraId="4AA14A41">
      <w:pPr>
        <w:spacing w:line="460" w:lineRule="exact"/>
        <w:ind w:left="480" w:hanging="482" w:hangingChars="200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（一）</w:t>
      </w:r>
      <w:bookmarkStart w:id="1" w:name="OLE_LINK3"/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  <w:lang w:val="en-US" w:eastAsia="zh-CN"/>
        </w:rPr>
        <w:t>服务</w:t>
      </w:r>
      <w:bookmarkEnd w:id="1"/>
      <w:r>
        <w:rPr>
          <w:rFonts w:hint="eastAsia" w:ascii="宋体" w:hAnsi="宋体" w:cs="宋体"/>
          <w:b/>
          <w:bCs/>
          <w:color w:val="auto"/>
          <w:sz w:val="24"/>
          <w:szCs w:val="24"/>
          <w:highlight w:val="none"/>
          <w:lang w:val="en-US" w:eastAsia="zh-CN"/>
        </w:rPr>
        <w:t>内容</w:t>
      </w:r>
    </w:p>
    <w:p w14:paraId="75EA50B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2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  <w:t>1.1人员安全保障</w:t>
      </w:r>
    </w:p>
    <w:p w14:paraId="647F157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1.人员出入管理：对进入省档案馆的人员进行严格的身份核实和登记，确保外来人员身份的真实性、安全性。</w:t>
      </w:r>
    </w:p>
    <w:p w14:paraId="6D3C6F4C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2.巡逻与监控：安排安保人员定时对省档案馆内外进行巡逻，利用监控设备实时监视馆内各个区域，发现异常情况及时采取措施。</w:t>
      </w:r>
    </w:p>
    <w:p w14:paraId="6E0C967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3.应急处理：制定应急预案，在发生突发事件如火灾、盗窃、暴力袭击等情况时，迅速响应并采取有效的应急措施，保护人员生命安全。</w:t>
      </w:r>
    </w:p>
    <w:p w14:paraId="05A258C4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2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  <w:t>1.2档案安全保护</w:t>
      </w:r>
    </w:p>
    <w:p w14:paraId="298B7FF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1.档案库房守护：重点加强对档案库房的安保，禁止无关人员进入，确保档案安全。</w:t>
      </w:r>
    </w:p>
    <w:p w14:paraId="2D67985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2.温湿度与环境监测协助：协助省档案馆工作人员监测档案库房的温湿度和环境状况，确保温湿度符合档案保存要求，发现异常及时报告。</w:t>
      </w:r>
    </w:p>
    <w:p w14:paraId="61CED00F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3.防止自然灾害影响：在暴雨、洪水、地震等自然灾害发生时，及时采取相应的防护措施，如转移档案、搬运物资、加固库房等，避免或减少灾害对档案的损害。</w:t>
      </w:r>
    </w:p>
    <w:p w14:paraId="78D85C5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2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  <w:t>1.3设施设备维护与安全</w:t>
      </w:r>
    </w:p>
    <w:p w14:paraId="419159F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 xml:space="preserve"> 1.安全设施维护：操作和维护省档案馆内的安防设备、消防设备等安全设施，确保其正常运行。</w:t>
      </w:r>
    </w:p>
    <w:p w14:paraId="7E1D1F3E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 xml:space="preserve"> 2.设施设备安全检查：对省档案馆的各类设施设备进行安全检查，发现安全隐患及时报告并协助处理，保障设施设备的安全运行。</w:t>
      </w:r>
    </w:p>
    <w:p w14:paraId="44A72BC7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2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  <w:t xml:space="preserve"> 1.4其他服务</w:t>
      </w:r>
    </w:p>
    <w:p w14:paraId="4412D7BB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 xml:space="preserve"> 1.提供安保报告：定期向省档案馆提交安保工作报告，包括巡逻记录、异常情况报告等。</w:t>
      </w:r>
    </w:p>
    <w:p w14:paraId="7A876F11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 xml:space="preserve"> 2.配合相关工作：积极配合省档案馆的其他工作，如协助进行安全培训、参与物资搬运、应急抢险等工作。 </w:t>
      </w:r>
    </w:p>
    <w:p w14:paraId="0539F545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2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/>
          <w:bCs w:val="0"/>
          <w:color w:val="auto"/>
          <w:sz w:val="24"/>
          <w:szCs w:val="24"/>
          <w:highlight w:val="none"/>
          <w:lang w:val="en-US" w:eastAsia="zh-CN"/>
        </w:rPr>
        <w:t>1.5服务要求</w:t>
      </w:r>
    </w:p>
    <w:p w14:paraId="67F6597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1.安保人员年龄在25周岁至50周岁之间，男性，身体健康，无违法犯罪记录，具备良好的职业道德与责任心。</w:t>
      </w:r>
    </w:p>
    <w:p w14:paraId="7408823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2.需提供9名专业保安员进驻。要求具备基本的安全知识与应急处置技能，入职前经过专业培训与考核并取得保安员专业资格证书（其中4名需同时持有中级及以上消防设施操作员职业技能等级证书）。</w:t>
      </w:r>
    </w:p>
    <w:p w14:paraId="58EDF2E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3.配备1名驻场项目负责人。要求具有10年以上安保项目管理经验，能够有效组织、协调、管理安保团队，带头做好各项工作，与省档案馆相关部门保持良好沟通协作。</w:t>
      </w:r>
    </w:p>
    <w:p w14:paraId="06B079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80" w:firstLineChars="200"/>
        <w:textAlignment w:val="auto"/>
        <w:outlineLvl w:val="9"/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4.安保服务供应商应为本项目全部进驻人员购买国家规定的五险，每年春节为保安人员发放适当的节日福利。</w:t>
      </w:r>
    </w:p>
    <w:p w14:paraId="3D03BAF6">
      <w:pPr>
        <w:keepNext w:val="0"/>
        <w:keepLines w:val="0"/>
        <w:pageBreakBefore w:val="0"/>
        <w:widowControl w:val="0"/>
        <w:kinsoku/>
        <w:wordWrap/>
        <w:overflowPunct/>
        <w:topLinePunct w:val="0"/>
        <w:bidi w:val="0"/>
        <w:spacing w:line="360" w:lineRule="auto"/>
        <w:ind w:left="0" w:leftChars="0" w:right="0" w:rightChars="0" w:firstLine="480" w:firstLineChars="200"/>
        <w:textAlignment w:val="auto"/>
        <w:outlineLvl w:val="9"/>
        <w:rPr>
          <w:rFonts w:hint="default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Theme="minorEastAsia" w:hAnsiTheme="minorEastAsia" w:eastAsiaTheme="minorEastAsia" w:cstheme="minorEastAsia"/>
          <w:bCs/>
          <w:color w:val="auto"/>
          <w:sz w:val="24"/>
          <w:szCs w:val="24"/>
          <w:highlight w:val="none"/>
          <w:lang w:val="en-US" w:eastAsia="zh-CN"/>
        </w:rPr>
        <w:t>5.供应商</w:t>
      </w:r>
      <w:r>
        <w:rPr>
          <w:rFonts w:hint="eastAsia" w:cs="仿宋" w:asciiTheme="minorEastAsia" w:hAnsiTheme="minorEastAsia" w:eastAsiaTheme="minorEastAsia"/>
          <w:b w:val="0"/>
          <w:bCs/>
          <w:color w:val="auto"/>
          <w:sz w:val="24"/>
          <w:szCs w:val="24"/>
          <w:highlight w:val="none"/>
          <w:lang w:val="en-US" w:eastAsia="zh-CN"/>
        </w:rPr>
        <w:t>须具备市级（或以上）公安机关颁发的《保安服务许可证》，非服务所在地公安机关颁发保安服务许可证的供应商，成交后30日内须向服务所在地社区的市级人民政府公安机关成功备案，否则视为无效响应。</w:t>
      </w:r>
    </w:p>
    <w:p w14:paraId="1D42ECD2">
      <w:pPr>
        <w:adjustRightInd w:val="0"/>
        <w:spacing w:line="500" w:lineRule="atLeast"/>
        <w:rPr>
          <w:rFonts w:hint="eastAsia" w:cs="仿宋" w:asciiTheme="minorEastAsia" w:hAnsiTheme="minorEastAsia" w:eastAsiaTheme="minorEastAsia"/>
          <w:b/>
          <w:bCs w:val="0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cs="仿宋" w:asciiTheme="minorEastAsia" w:hAnsiTheme="minorEastAsia" w:eastAsiaTheme="minorEastAsia"/>
          <w:b/>
          <w:bCs w:val="0"/>
          <w:color w:val="auto"/>
          <w:sz w:val="24"/>
          <w:szCs w:val="24"/>
          <w:highlight w:val="none"/>
          <w:lang w:val="en-US" w:eastAsia="zh-CN"/>
        </w:rPr>
        <w:t>1.6安保人员配置及服务时间：</w:t>
      </w:r>
    </w:p>
    <w:p w14:paraId="6BA0A877">
      <w:pPr>
        <w:adjustRightInd w:val="0"/>
        <w:spacing w:line="500" w:lineRule="atLeast"/>
        <w:rPr>
          <w:rFonts w:hint="eastAsia" w:cs="仿宋" w:asciiTheme="minorEastAsia" w:hAnsiTheme="minorEastAsia" w:eastAsiaTheme="minorEastAsia"/>
          <w:b w:val="0"/>
          <w:bCs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cs="仿宋" w:asciiTheme="minorEastAsia" w:hAnsiTheme="minorEastAsia" w:eastAsiaTheme="minorEastAsia"/>
          <w:b w:val="0"/>
          <w:bCs/>
          <w:color w:val="auto"/>
          <w:sz w:val="24"/>
          <w:szCs w:val="24"/>
          <w:highlight w:val="none"/>
          <w:lang w:val="en-US" w:eastAsia="zh-CN"/>
        </w:rPr>
        <w:t>1、安保人员配置：</w:t>
      </w:r>
    </w:p>
    <w:tbl>
      <w:tblPr>
        <w:tblStyle w:val="8"/>
        <w:tblW w:w="807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66"/>
        <w:gridCol w:w="2946"/>
        <w:gridCol w:w="2566"/>
      </w:tblGrid>
      <w:tr w14:paraId="3698EB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2566" w:type="dxa"/>
            <w:vAlign w:val="center"/>
          </w:tcPr>
          <w:p w14:paraId="4B64345E">
            <w:pPr>
              <w:widowControl w:val="0"/>
              <w:adjustRightInd w:val="0"/>
              <w:spacing w:line="500" w:lineRule="atLeast"/>
              <w:jc w:val="both"/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白班人数</w:t>
            </w:r>
          </w:p>
        </w:tc>
        <w:tc>
          <w:tcPr>
            <w:tcW w:w="2946" w:type="dxa"/>
            <w:vAlign w:val="center"/>
          </w:tcPr>
          <w:p w14:paraId="6D6DF95D">
            <w:pPr>
              <w:widowControl w:val="0"/>
              <w:adjustRightInd w:val="0"/>
              <w:spacing w:line="500" w:lineRule="atLeast"/>
              <w:jc w:val="both"/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晚班人数</w:t>
            </w:r>
          </w:p>
        </w:tc>
        <w:tc>
          <w:tcPr>
            <w:tcW w:w="2566" w:type="dxa"/>
            <w:vAlign w:val="center"/>
          </w:tcPr>
          <w:p w14:paraId="54952B96">
            <w:pPr>
              <w:widowControl w:val="0"/>
              <w:adjustRightInd w:val="0"/>
              <w:spacing w:line="500" w:lineRule="atLeast"/>
              <w:jc w:val="both"/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合计人数</w:t>
            </w:r>
          </w:p>
        </w:tc>
      </w:tr>
      <w:tr w14:paraId="661D2BB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8" w:hRule="atLeast"/>
        </w:trPr>
        <w:tc>
          <w:tcPr>
            <w:tcW w:w="2566" w:type="dxa"/>
            <w:vAlign w:val="center"/>
          </w:tcPr>
          <w:p w14:paraId="36C92398">
            <w:pPr>
              <w:widowControl w:val="0"/>
              <w:adjustRightInd w:val="0"/>
              <w:spacing w:line="500" w:lineRule="atLeast"/>
              <w:jc w:val="both"/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6</w:t>
            </w:r>
          </w:p>
        </w:tc>
        <w:tc>
          <w:tcPr>
            <w:tcW w:w="2946" w:type="dxa"/>
            <w:vAlign w:val="center"/>
          </w:tcPr>
          <w:p w14:paraId="4AE1E2B0">
            <w:pPr>
              <w:widowControl w:val="0"/>
              <w:adjustRightInd w:val="0"/>
              <w:spacing w:line="500" w:lineRule="atLeast"/>
              <w:jc w:val="both"/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3</w:t>
            </w:r>
          </w:p>
        </w:tc>
        <w:tc>
          <w:tcPr>
            <w:tcW w:w="2566" w:type="dxa"/>
            <w:vAlign w:val="center"/>
          </w:tcPr>
          <w:p w14:paraId="01C975FA">
            <w:pPr>
              <w:widowControl w:val="0"/>
              <w:adjustRightInd w:val="0"/>
              <w:spacing w:line="500" w:lineRule="atLeast"/>
              <w:jc w:val="both"/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</w:pPr>
            <w:r>
              <w:rPr>
                <w:rFonts w:hint="eastAsia" w:cs="仿宋" w:asciiTheme="minorEastAsia" w:hAnsiTheme="minorEastAsia" w:eastAsiaTheme="minorEastAsia"/>
                <w:b w:val="0"/>
                <w:bCs/>
                <w:color w:val="auto"/>
                <w:sz w:val="24"/>
                <w:szCs w:val="24"/>
                <w:highlight w:val="none"/>
                <w:lang w:val="en-US" w:eastAsia="zh-CN"/>
              </w:rPr>
              <w:t>9</w:t>
            </w:r>
          </w:p>
        </w:tc>
      </w:tr>
    </w:tbl>
    <w:p w14:paraId="7E9AAD27">
      <w:pPr>
        <w:adjustRightInd w:val="0"/>
        <w:spacing w:line="500" w:lineRule="atLeast"/>
        <w:rPr>
          <w:rFonts w:hint="eastAsia" w:cs="仿宋" w:asciiTheme="minorEastAsia" w:hAnsiTheme="minorEastAsia" w:eastAsiaTheme="minorEastAsia"/>
          <w:b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cs="仿宋" w:asciiTheme="minorEastAsia" w:hAnsiTheme="minorEastAsia" w:eastAsiaTheme="minorEastAsia"/>
          <w:b w:val="0"/>
          <w:bCs/>
          <w:color w:val="auto"/>
          <w:sz w:val="24"/>
          <w:szCs w:val="24"/>
          <w:highlight w:val="none"/>
          <w:lang w:val="en-US" w:eastAsia="zh-CN"/>
        </w:rPr>
        <w:t>2、服务时间：全天24小时，白班：8:00至18:00，晚班：18:00至次日8:00。</w:t>
      </w:r>
    </w:p>
    <w:p w14:paraId="31850CA0">
      <w:pPr>
        <w:adjustRightInd w:val="0"/>
        <w:spacing w:line="460" w:lineRule="exact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hint="eastAsia" w:cs="仿宋" w:asciiTheme="minorEastAsia" w:hAnsiTheme="minorEastAsia" w:eastAsiaTheme="minorEastAsia"/>
          <w:b/>
          <w:color w:val="auto"/>
          <w:sz w:val="24"/>
          <w:szCs w:val="24"/>
          <w:highlight w:val="none"/>
          <w:lang w:val="en-US" w:eastAsia="zh-CN"/>
        </w:rPr>
        <w:t>注：以上技术条款须完全响应，否则响应无效。</w:t>
      </w:r>
    </w:p>
    <w:p w14:paraId="296CF60C">
      <w:pPr>
        <w:adjustRightInd w:val="0"/>
        <w:spacing w:line="460" w:lineRule="exact"/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b/>
          <w:bCs/>
          <w:color w:val="auto"/>
          <w:sz w:val="24"/>
          <w:szCs w:val="24"/>
          <w:highlight w:val="none"/>
        </w:rPr>
        <w:t>（二）商务条款</w:t>
      </w:r>
    </w:p>
    <w:p w14:paraId="727D709B">
      <w:pPr>
        <w:spacing w:line="460" w:lineRule="exact"/>
        <w:ind w:left="480" w:firstLine="0" w:firstLineChars="0"/>
        <w:jc w:val="left"/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1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服务期:本项目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服务期限为合同</w:t>
      </w:r>
      <w:r>
        <w:rPr>
          <w:rFonts w:hint="eastAsia" w:ascii="宋体" w:hAnsi="宋体" w:cs="宋体"/>
          <w:color w:val="auto"/>
          <w:sz w:val="24"/>
          <w:szCs w:val="24"/>
          <w:highlight w:val="none"/>
          <w:lang w:val="en-US" w:eastAsia="zh-CN"/>
        </w:rPr>
        <w:t>约定的进驻日期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起一年。</w:t>
      </w:r>
    </w:p>
    <w:p w14:paraId="0103F9DE">
      <w:pPr>
        <w:spacing w:line="46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cs="宋体"/>
          <w:color w:val="auto"/>
          <w:sz w:val="24"/>
          <w:szCs w:val="24"/>
          <w:highlight w:val="none"/>
          <w:lang w:val="en-US" w:eastAsia="zh-CN"/>
        </w:rPr>
        <w:t>2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.服务地点：采购人指定地点。</w:t>
      </w:r>
    </w:p>
    <w:p w14:paraId="017A2CC3">
      <w:pPr>
        <w:spacing w:line="46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3</w:t>
      </w:r>
      <w:r>
        <w:rPr>
          <w:rFonts w:hint="eastAsia" w:ascii="宋体" w:hAnsi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服装与器材：中标方须为项目安保人员配备统一的制服和必要的安保器材。</w:t>
      </w:r>
    </w:p>
    <w:p w14:paraId="6CBB3B00">
      <w:pPr>
        <w:spacing w:line="460" w:lineRule="exact"/>
        <w:ind w:firstLine="480" w:firstLineChars="200"/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</w:pPr>
      <w:r>
        <w:rPr>
          <w:rFonts w:hint="eastAsia" w:ascii="宋体" w:hAnsi="宋体" w:cs="宋体"/>
          <w:color w:val="auto"/>
          <w:sz w:val="24"/>
          <w:szCs w:val="24"/>
          <w:highlight w:val="none"/>
          <w:lang w:val="en-US" w:eastAsia="zh-CN"/>
        </w:rPr>
        <w:t>4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.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付款方式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eastAsia="zh-CN"/>
        </w:rPr>
        <w:t>：</w:t>
      </w:r>
      <w:r>
        <w:rPr>
          <w:rFonts w:hint="eastAsia" w:cs="仿宋" w:asciiTheme="minorEastAsia" w:hAnsiTheme="minorEastAsia" w:eastAsiaTheme="minorEastAsia"/>
          <w:b w:val="0"/>
          <w:bCs/>
          <w:color w:val="auto"/>
          <w:sz w:val="24"/>
          <w:szCs w:val="24"/>
          <w:highlight w:val="none"/>
          <w:lang w:val="en-US" w:eastAsia="zh-CN"/>
        </w:rPr>
        <w:t>按月支付，下个自然月的第15日前支付上个月费用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。</w:t>
      </w:r>
    </w:p>
    <w:p w14:paraId="58443CE9">
      <w:pPr>
        <w:spacing w:line="460" w:lineRule="exact"/>
        <w:ind w:firstLine="480" w:firstLineChars="200"/>
        <w:rPr>
          <w:rFonts w:hint="default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5.履约保证金：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成交供应商在与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签订合同之前，应向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采购人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提交合同金额5%的费用作为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  <w:lang w:val="en-US" w:eastAsia="zh-CN"/>
        </w:rPr>
        <w:t>履约保证金，并汇入采购人指定账户，合同履行完成后，采购人向成交供应商无息返还履约保证金。</w:t>
      </w:r>
    </w:p>
    <w:p w14:paraId="682CF2DC">
      <w:r>
        <w:rPr>
          <w:rFonts w:hint="eastAsia" w:cs="仿宋" w:asciiTheme="minorEastAsia" w:hAnsiTheme="minorEastAsia" w:eastAsiaTheme="minorEastAsia"/>
          <w:b/>
          <w:color w:val="auto"/>
          <w:sz w:val="24"/>
          <w:szCs w:val="24"/>
          <w:highlight w:val="none"/>
          <w:lang w:val="en-US" w:eastAsia="zh-CN"/>
        </w:rPr>
        <w:t>注：以上商务条款须完全响应，否则响应无效。</w:t>
      </w:r>
      <w:bookmarkStart w:id="2" w:name="_GoBack"/>
      <w:bookmarkEnd w:id="2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E0327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99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textAlignment w:val="baseline"/>
    </w:pPr>
    <w:rPr>
      <w:rFonts w:ascii="Arial" w:hAnsi="Arial" w:eastAsia="Arial" w:cs="Arial"/>
      <w:snapToGrid w:val="0"/>
      <w:color w:val="000000"/>
      <w:sz w:val="21"/>
      <w:szCs w:val="21"/>
      <w:lang w:val="en-US" w:eastAsia="en-US" w:bidi="ar-SA"/>
    </w:rPr>
  </w:style>
  <w:style w:type="paragraph" w:styleId="4">
    <w:name w:val="heading 2"/>
    <w:basedOn w:val="1"/>
    <w:next w:val="1"/>
    <w:qFormat/>
    <w:uiPriority w:val="0"/>
    <w:pPr>
      <w:keepNext/>
      <w:keepLines/>
      <w:spacing w:before="260" w:after="260" w:line="413" w:lineRule="auto"/>
      <w:outlineLvl w:val="1"/>
    </w:pPr>
    <w:rPr>
      <w:rFonts w:eastAsia="黑体"/>
      <w:b/>
      <w:bCs/>
      <w:sz w:val="32"/>
      <w:szCs w:val="32"/>
    </w:rPr>
  </w:style>
  <w:style w:type="character" w:default="1" w:styleId="9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/>
    </w:pPr>
  </w:style>
  <w:style w:type="paragraph" w:styleId="3">
    <w:name w:val="Body Text Indent"/>
    <w:basedOn w:val="1"/>
    <w:next w:val="1"/>
    <w:unhideWhenUsed/>
    <w:qFormat/>
    <w:uiPriority w:val="99"/>
    <w:pPr>
      <w:spacing w:after="120"/>
      <w:ind w:left="420" w:leftChars="200"/>
    </w:pPr>
    <w:rPr>
      <w:rFonts w:eastAsia="微软雅黑"/>
      <w:sz w:val="24"/>
      <w:szCs w:val="20"/>
    </w:rPr>
  </w:style>
  <w:style w:type="paragraph" w:styleId="5">
    <w:name w:val="footer"/>
    <w:basedOn w:val="1"/>
    <w:qFormat/>
    <w:uiPriority w:val="0"/>
    <w:pPr>
      <w:tabs>
        <w:tab w:val="center" w:pos="4153"/>
        <w:tab w:val="right" w:pos="8306"/>
      </w:tabs>
    </w:pPr>
    <w:rPr>
      <w:sz w:val="18"/>
    </w:rPr>
  </w:style>
  <w:style w:type="paragraph" w:styleId="6">
    <w:name w:val="header"/>
    <w:basedOn w:val="1"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jc w:val="both"/>
    </w:pPr>
    <w:rPr>
      <w:sz w:val="18"/>
    </w:rPr>
  </w:style>
  <w:style w:type="table" w:styleId="8">
    <w:name w:val="Table Grid"/>
    <w:basedOn w:val="7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0">
    <w:name w:val="page number"/>
    <w:basedOn w:val="9"/>
    <w:qFormat/>
    <w:uiPriority w:val="99"/>
    <w:rPr>
      <w:rFonts w:cs="Times New Roma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2026-05-14T11:15:13Z</dcterms:created>
  <dc:creator>乐斌</dc:creator>
  <cp:lastModifiedBy>乐斌</cp:lastModifiedBy>
  <dcterms:modified xsi:type="dcterms:W3CDTF">2026-05-14T11:16:17Z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KSOTemplateDocerSaveRecord">
    <vt:lpwstr>eyJoZGlkIjoiNWU4ZDQ1NjE1MzE1ODA2NmNiZGZkMTU5ZGFjNzZhNWQiLCJ1c2VySWQiOiIyNTk3NTAyMTUifQ==</vt:lpwstr>
  </property>
  <property fmtid="{D5CDD505-2E9C-101B-9397-08002B2CF9AE}" pid="4" name="ICV">
    <vt:lpwstr>3F14B5853BE840CA94DA344666CAD43E_12</vt:lpwstr>
  </property>
</Properties>
</file>