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077BC">
      <w:pPr>
        <w:spacing w:before="112" w:line="351" w:lineRule="exact"/>
        <w:jc w:val="center"/>
        <w:outlineLvl w:val="1"/>
        <w:rPr>
          <w:rFonts w:hint="eastAsia" w:asciiTheme="minorEastAsia" w:hAnsiTheme="minorEastAsia" w:eastAsiaTheme="minorEastAsia" w:cstheme="minorEastAsia"/>
          <w:b/>
          <w:bCs/>
          <w:sz w:val="35"/>
          <w:szCs w:val="35"/>
        </w:rPr>
      </w:pPr>
      <w:bookmarkStart w:id="4" w:name="_GoBack"/>
      <w:bookmarkEnd w:id="4"/>
      <w:r>
        <w:rPr>
          <w:rFonts w:hint="eastAsia" w:asciiTheme="minorEastAsia" w:hAnsiTheme="minorEastAsia" w:eastAsiaTheme="minorEastAsia" w:cstheme="minorEastAsia"/>
          <w:b/>
          <w:bCs/>
          <w:color w:val="131313"/>
          <w:spacing w:val="-15"/>
          <w:position w:val="-2"/>
          <w:sz w:val="35"/>
          <w:szCs w:val="35"/>
        </w:rPr>
        <w:t>采购需求</w:t>
      </w:r>
    </w:p>
    <w:p w14:paraId="277E2976">
      <w:pPr>
        <w:pStyle w:val="2"/>
        <w:spacing w:line="264" w:lineRule="auto"/>
        <w:rPr>
          <w:rFonts w:hint="eastAsia" w:asciiTheme="minorEastAsia" w:hAnsiTheme="minorEastAsia" w:eastAsiaTheme="minorEastAsia" w:cstheme="minorEastAsia"/>
          <w:b/>
          <w:bCs/>
        </w:rPr>
      </w:pPr>
    </w:p>
    <w:p w14:paraId="2E095641">
      <w:pPr>
        <w:numPr>
          <w:ilvl w:val="0"/>
          <w:numId w:val="1"/>
        </w:numPr>
        <w:spacing w:before="124" w:line="296" w:lineRule="exact"/>
        <w:ind w:left="289"/>
        <w:outlineLvl w:val="1"/>
        <w:rPr>
          <w:rFonts w:hint="eastAsia" w:asciiTheme="minorEastAsia" w:hAnsiTheme="minorEastAsia" w:eastAsiaTheme="minorEastAsia" w:cstheme="minorEastAsia"/>
          <w:b/>
          <w:bCs/>
          <w:color w:val="131313"/>
          <w:spacing w:val="-13"/>
          <w:w w:val="88"/>
          <w:position w:val="-1"/>
          <w:sz w:val="29"/>
          <w:szCs w:val="29"/>
        </w:rPr>
      </w:pPr>
      <w:bookmarkStart w:id="0" w:name="bookmark167"/>
      <w:bookmarkEnd w:id="0"/>
      <w:bookmarkStart w:id="1" w:name="bookmark166"/>
      <w:bookmarkEnd w:id="1"/>
      <w:r>
        <w:rPr>
          <w:rFonts w:hint="eastAsia" w:asciiTheme="minorEastAsia" w:hAnsiTheme="minorEastAsia" w:eastAsiaTheme="minorEastAsia" w:cstheme="minorEastAsia"/>
          <w:b/>
          <w:bCs/>
          <w:color w:val="131313"/>
          <w:spacing w:val="-13"/>
          <w:w w:val="88"/>
          <w:position w:val="-1"/>
          <w:sz w:val="29"/>
          <w:szCs w:val="29"/>
        </w:rPr>
        <w:t>采购需求表</w:t>
      </w:r>
    </w:p>
    <w:tbl>
      <w:tblPr>
        <w:tblStyle w:val="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38"/>
        <w:gridCol w:w="6263"/>
      </w:tblGrid>
      <w:tr w14:paraId="69A5B2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14" w:hRule="atLeast"/>
        </w:trPr>
        <w:tc>
          <w:tcPr>
            <w:tcW w:w="2838" w:type="dxa"/>
          </w:tcPr>
          <w:p w14:paraId="373ED2E8">
            <w:pPr>
              <w:widowControl w:val="0"/>
              <w:spacing w:before="253" w:line="219" w:lineRule="auto"/>
              <w:ind w:firstLine="1440" w:firstLineChars="6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sz w:val="24"/>
              </w:rPr>
              <mc:AlternateContent>
                <mc:Choice Requires="wps">
                  <w:drawing>
                    <wp:anchor distT="0" distB="0" distL="114300" distR="114300" simplePos="0" relativeHeight="251659264" behindDoc="0" locked="0" layoutInCell="1" allowOverlap="1">
                      <wp:simplePos x="0" y="0"/>
                      <wp:positionH relativeFrom="column">
                        <wp:posOffset>23495</wp:posOffset>
                      </wp:positionH>
                      <wp:positionV relativeFrom="paragraph">
                        <wp:posOffset>17145</wp:posOffset>
                      </wp:positionV>
                      <wp:extent cx="1762760" cy="1395095"/>
                      <wp:effectExtent l="3175" t="3810" r="5715" b="10795"/>
                      <wp:wrapNone/>
                      <wp:docPr id="8" name="直接连接符 8"/>
                      <wp:cNvGraphicFramePr/>
                      <a:graphic xmlns:a="http://schemas.openxmlformats.org/drawingml/2006/main">
                        <a:graphicData uri="http://schemas.microsoft.com/office/word/2010/wordprocessingShape">
                          <wps:wsp>
                            <wps:cNvCnPr/>
                            <wps:spPr>
                              <a:xfrm>
                                <a:off x="885190" y="3452495"/>
                                <a:ext cx="1762760" cy="1395095"/>
                              </a:xfrm>
                              <a:prstGeom prst="line">
                                <a:avLst/>
                              </a:prstGeom>
                              <a:noFill/>
                              <a:ln w="3175" cap="flat" cmpd="sng" algn="ctr">
                                <a:solidFill>
                                  <a:prstClr val="black"/>
                                </a:solidFill>
                                <a:prstDash val="solid"/>
                              </a:ln>
                              <a:effectLst/>
                            </wps:spPr>
                            <wps:bodyPr/>
                          </wps:wsp>
                        </a:graphicData>
                      </a:graphic>
                    </wp:anchor>
                  </w:drawing>
                </mc:Choice>
                <mc:Fallback>
                  <w:pict>
                    <v:line id="_x0000_s1026" o:spid="_x0000_s1026" o:spt="20" style="position:absolute;left:0pt;margin-left:1.85pt;margin-top:1.35pt;height:109.85pt;width:138.8pt;z-index:251659264;mso-width-relative:page;mso-height-relative:page;" filled="f" stroked="t" coordsize="21600,21600" o:gfxdata="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Ox4VpfXAAAABwEAAA8AAAAAAAAAAQAgAAAAIgAAAGRycy9kb3ducmV2LnhtbFBLAQIUABQAAAAI&#10;AIdO4kBF/tXQ7gEAALgDAAAOAAAAAAAAAAEAIAAAACYBAABkcnMvZTJvRG9jLnhtbFBLBQYAAAAA&#10;BgAGAFkBAACGBQAAAAA=&#10;">
                      <v:fill on="f" focussize="0,0"/>
                      <v:stroke weight="0.25pt" color="#000000" joinstyle="round"/>
                      <v:imagedata o:title=""/>
                      <o:lock v:ext="edit" aspectratio="f"/>
                    </v:line>
                  </w:pict>
                </mc:Fallback>
              </mc:AlternateContent>
            </w:r>
            <w:r>
              <w:rPr>
                <w:rFonts w:hint="eastAsia" w:asciiTheme="minorEastAsia" w:hAnsiTheme="minorEastAsia" w:eastAsiaTheme="minorEastAsia" w:cstheme="minorEastAsia"/>
                <w:color w:val="auto"/>
                <w:sz w:val="24"/>
                <w:szCs w:val="24"/>
                <w:lang w:eastAsia="zh-CN"/>
              </w:rPr>
              <w:t>名</w:t>
            </w:r>
          </w:p>
          <w:p w14:paraId="002DD937">
            <w:pPr>
              <w:widowControl w:val="0"/>
              <w:spacing w:before="253" w:line="219" w:lineRule="auto"/>
              <w:ind w:firstLine="240" w:firstLineChars="1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 xml:space="preserve">内 </w:t>
            </w:r>
          </w:p>
          <w:p w14:paraId="79F2B8AB">
            <w:pPr>
              <w:widowControl w:val="0"/>
              <w:spacing w:before="253" w:line="219" w:lineRule="auto"/>
              <w:ind w:firstLine="720" w:firstLineChars="3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容            称</w:t>
            </w:r>
          </w:p>
        </w:tc>
        <w:tc>
          <w:tcPr>
            <w:tcW w:w="6263" w:type="dxa"/>
            <w:vAlign w:val="center"/>
          </w:tcPr>
          <w:p w14:paraId="6FA35FF8">
            <w:pPr>
              <w:pStyle w:val="7"/>
              <w:widowControl w:val="0"/>
              <w:spacing w:line="360" w:lineRule="auto"/>
              <w:jc w:val="center"/>
              <w:rPr>
                <w:rFonts w:hint="eastAsia" w:asciiTheme="minorEastAsia" w:hAnsiTheme="minorEastAsia" w:eastAsiaTheme="minorEastAsia" w:cstheme="minorEastAsia"/>
                <w:color w:val="auto"/>
                <w:lang w:eastAsia="zh-CN"/>
              </w:rPr>
            </w:pPr>
            <w:r>
              <w:rPr>
                <w:rFonts w:hint="eastAsia" w:asciiTheme="minorEastAsia" w:hAnsiTheme="minorEastAsia" w:eastAsiaTheme="minorEastAsia" w:cstheme="minorEastAsia"/>
                <w:color w:val="auto"/>
                <w:lang w:eastAsia="zh-CN"/>
              </w:rPr>
              <w:t>吉水县河西片区新建污水管网工程设计勘察服务</w:t>
            </w:r>
          </w:p>
        </w:tc>
      </w:tr>
      <w:tr w14:paraId="036415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tcPr>
          <w:p w14:paraId="14B3C5D3">
            <w:pPr>
              <w:widowControl w:val="0"/>
              <w:spacing w:before="253" w:line="219" w:lineRule="auto"/>
              <w:ind w:left="1188"/>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数量</w:t>
            </w:r>
          </w:p>
        </w:tc>
        <w:tc>
          <w:tcPr>
            <w:tcW w:w="6263" w:type="dxa"/>
            <w:vAlign w:val="center"/>
          </w:tcPr>
          <w:p w14:paraId="4FB8E633">
            <w:pPr>
              <w:pStyle w:val="7"/>
              <w:widowControl w:val="0"/>
              <w:spacing w:line="360" w:lineRule="auto"/>
              <w:jc w:val="center"/>
              <w:rPr>
                <w:rFonts w:hint="eastAsia" w:asciiTheme="minorEastAsia" w:hAnsiTheme="minorEastAsia" w:eastAsiaTheme="minorEastAsia" w:cstheme="minorEastAsia"/>
                <w:color w:val="auto"/>
                <w:lang w:eastAsia="zh-CN"/>
              </w:rPr>
            </w:pPr>
            <w:r>
              <w:rPr>
                <w:rFonts w:hint="eastAsia" w:asciiTheme="minorEastAsia" w:hAnsiTheme="minorEastAsia" w:eastAsiaTheme="minorEastAsia" w:cstheme="minorEastAsia"/>
                <w:color w:val="auto"/>
                <w:lang w:eastAsia="zh-CN"/>
              </w:rPr>
              <w:t>1批</w:t>
            </w:r>
          </w:p>
        </w:tc>
      </w:tr>
      <w:tr w14:paraId="360A81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tcPr>
          <w:p w14:paraId="3194344D">
            <w:pPr>
              <w:widowControl w:val="0"/>
              <w:spacing w:before="253" w:line="219" w:lineRule="auto"/>
              <w:ind w:left="107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交货期</w:t>
            </w:r>
          </w:p>
        </w:tc>
        <w:tc>
          <w:tcPr>
            <w:tcW w:w="6263" w:type="dxa"/>
            <w:vAlign w:val="center"/>
          </w:tcPr>
          <w:p w14:paraId="1DA74B8F">
            <w:pPr>
              <w:pStyle w:val="7"/>
              <w:widowControl w:val="0"/>
              <w:spacing w:line="360" w:lineRule="auto"/>
              <w:jc w:val="center"/>
              <w:rPr>
                <w:rFonts w:hint="eastAsia" w:asciiTheme="minorEastAsia" w:hAnsiTheme="minorEastAsia" w:eastAsiaTheme="minorEastAsia" w:cstheme="minorEastAsia"/>
                <w:color w:val="auto"/>
                <w:lang w:eastAsia="zh-CN"/>
              </w:rPr>
            </w:pPr>
            <w:r>
              <w:rPr>
                <w:rFonts w:hint="eastAsia" w:asciiTheme="minorEastAsia" w:hAnsiTheme="minorEastAsia" w:eastAsiaTheme="minorEastAsia" w:cstheme="minorEastAsia"/>
                <w:color w:val="auto"/>
                <w:lang w:eastAsia="zh-CN"/>
              </w:rPr>
              <w:t>合同签订之日起</w:t>
            </w:r>
            <w:r>
              <w:rPr>
                <w:rFonts w:hint="eastAsia" w:asciiTheme="minorEastAsia" w:hAnsiTheme="minorEastAsia" w:eastAsiaTheme="minorEastAsia" w:cstheme="minorEastAsia"/>
                <w:color w:val="auto"/>
                <w:lang w:val="en-US" w:eastAsia="zh-CN"/>
              </w:rPr>
              <w:t>3</w:t>
            </w:r>
            <w:r>
              <w:rPr>
                <w:rFonts w:hint="eastAsia" w:asciiTheme="minorEastAsia" w:hAnsiTheme="minorEastAsia" w:eastAsiaTheme="minorEastAsia" w:cstheme="minorEastAsia"/>
                <w:color w:val="auto"/>
                <w:lang w:eastAsia="zh-CN"/>
              </w:rPr>
              <w:t>5天内完成。</w:t>
            </w:r>
          </w:p>
        </w:tc>
      </w:tr>
      <w:tr w14:paraId="5134AF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tcPr>
          <w:p w14:paraId="4C212DB8">
            <w:pPr>
              <w:widowControl w:val="0"/>
              <w:spacing w:before="256" w:line="219" w:lineRule="auto"/>
              <w:ind w:left="95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pacing w:val="-5"/>
              </w:rPr>
              <w:t>服务地点</w:t>
            </w:r>
          </w:p>
        </w:tc>
        <w:tc>
          <w:tcPr>
            <w:tcW w:w="6263" w:type="dxa"/>
            <w:vAlign w:val="center"/>
          </w:tcPr>
          <w:p w14:paraId="2FE3CCCD">
            <w:pPr>
              <w:pStyle w:val="7"/>
              <w:widowControl w:val="0"/>
              <w:spacing w:line="360" w:lineRule="auto"/>
              <w:jc w:val="center"/>
              <w:rPr>
                <w:rFonts w:hint="eastAsia" w:asciiTheme="minorEastAsia" w:hAnsiTheme="minorEastAsia" w:eastAsiaTheme="minorEastAsia" w:cstheme="minorEastAsia"/>
                <w:color w:val="auto"/>
                <w:lang w:eastAsia="zh-CN"/>
              </w:rPr>
            </w:pPr>
            <w:r>
              <w:rPr>
                <w:rFonts w:hint="eastAsia" w:asciiTheme="minorEastAsia" w:hAnsiTheme="minorEastAsia" w:eastAsiaTheme="minorEastAsia" w:cstheme="minorEastAsia"/>
                <w:color w:val="auto"/>
                <w:lang w:eastAsia="zh-CN"/>
              </w:rPr>
              <w:t>采购人指定地点</w:t>
            </w:r>
          </w:p>
        </w:tc>
      </w:tr>
      <w:tr w14:paraId="48E207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tcPr>
          <w:p w14:paraId="6D4F41E3">
            <w:pPr>
              <w:widowControl w:val="0"/>
              <w:spacing w:before="256" w:line="221" w:lineRule="auto"/>
              <w:ind w:left="1189"/>
              <w:rPr>
                <w:rFonts w:hint="eastAsia" w:asciiTheme="minorEastAsia" w:hAnsiTheme="minorEastAsia" w:eastAsiaTheme="minorEastAsia" w:cstheme="minorEastAsia"/>
                <w:color w:val="auto"/>
                <w:sz w:val="24"/>
                <w:szCs w:val="24"/>
              </w:rPr>
            </w:pPr>
          </w:p>
        </w:tc>
        <w:tc>
          <w:tcPr>
            <w:tcW w:w="6263" w:type="dxa"/>
            <w:vAlign w:val="center"/>
          </w:tcPr>
          <w:p w14:paraId="149F9349">
            <w:pPr>
              <w:pStyle w:val="7"/>
              <w:widowControl w:val="0"/>
              <w:spacing w:line="360" w:lineRule="auto"/>
              <w:jc w:val="both"/>
              <w:rPr>
                <w:rFonts w:hint="eastAsia" w:asciiTheme="minorEastAsia" w:hAnsiTheme="minorEastAsia" w:eastAsiaTheme="minorEastAsia" w:cstheme="minorEastAsia"/>
                <w:color w:val="auto"/>
                <w:lang w:eastAsia="zh-CN"/>
              </w:rPr>
            </w:pPr>
          </w:p>
        </w:tc>
      </w:tr>
    </w:tbl>
    <w:p w14:paraId="4E3DE1A9">
      <w:pPr>
        <w:pStyle w:val="2"/>
        <w:spacing w:line="241" w:lineRule="auto"/>
        <w:rPr>
          <w:rFonts w:hint="eastAsia" w:asciiTheme="minorEastAsia" w:hAnsiTheme="minorEastAsia" w:eastAsiaTheme="minorEastAsia" w:cstheme="minorEastAsia"/>
        </w:rPr>
      </w:pPr>
    </w:p>
    <w:p w14:paraId="7E20E187">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bookmarkStart w:id="2" w:name="bookmark207"/>
      <w:bookmarkEnd w:id="2"/>
    </w:p>
    <w:p w14:paraId="00BC4E40">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3964D798">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795C5A7D">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7B1D53B3">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0380340D">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53C23B6D">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22B0467F">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26862331">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4C06FA6A">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6E7CBEB1">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75247253">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50233DEC">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4262D7CD">
      <w:pPr>
        <w:spacing w:before="145" w:line="296" w:lineRule="exact"/>
        <w:rPr>
          <w:rFonts w:hint="eastAsia" w:asciiTheme="minorEastAsia" w:hAnsiTheme="minorEastAsia" w:eastAsiaTheme="minorEastAsia" w:cstheme="minorEastAsia"/>
          <w:b/>
          <w:bCs/>
          <w:color w:val="1F1F1F"/>
          <w:spacing w:val="-11"/>
          <w:w w:val="90"/>
          <w:position w:val="-1"/>
          <w:sz w:val="29"/>
          <w:szCs w:val="29"/>
        </w:rPr>
      </w:pPr>
    </w:p>
    <w:p w14:paraId="7477F11A">
      <w:pPr>
        <w:spacing w:before="145" w:line="296" w:lineRule="exac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color w:val="1F1F1F"/>
          <w:spacing w:val="-11"/>
          <w:w w:val="90"/>
          <w:position w:val="-1"/>
          <w:sz w:val="29"/>
          <w:szCs w:val="29"/>
        </w:rPr>
        <w:t>二、采购要求</w:t>
      </w:r>
    </w:p>
    <w:p w14:paraId="386962C3">
      <w:pPr>
        <w:pStyle w:val="2"/>
        <w:spacing w:line="270" w:lineRule="auto"/>
        <w:rPr>
          <w:rFonts w:hint="eastAsia" w:asciiTheme="minorEastAsia" w:hAnsiTheme="minorEastAsia" w:eastAsiaTheme="minorEastAsia" w:cstheme="minorEastAsia"/>
        </w:rPr>
      </w:pPr>
    </w:p>
    <w:p w14:paraId="3DFEB778">
      <w:pPr>
        <w:numPr>
          <w:ilvl w:val="0"/>
          <w:numId w:val="2"/>
        </w:numPr>
        <w:spacing w:before="266" w:line="400" w:lineRule="atLeast"/>
        <w:ind w:left="24"/>
        <w:rPr>
          <w:rFonts w:hint="eastAsia" w:asciiTheme="minorEastAsia" w:hAnsiTheme="minorEastAsia" w:eastAsiaTheme="minorEastAsia" w:cstheme="minorEastAsia"/>
          <w:b/>
          <w:bCs/>
          <w:color w:val="auto"/>
          <w:spacing w:val="-7"/>
          <w:sz w:val="24"/>
          <w:szCs w:val="24"/>
          <w:lang w:eastAsia="zh-CN"/>
        </w:rPr>
      </w:pPr>
      <w:bookmarkStart w:id="3" w:name="bookmark208"/>
      <w:bookmarkEnd w:id="3"/>
      <w:r>
        <w:rPr>
          <w:rFonts w:hint="eastAsia" w:asciiTheme="minorEastAsia" w:hAnsiTheme="minorEastAsia" w:eastAsiaTheme="minorEastAsia" w:cstheme="minorEastAsia"/>
          <w:b/>
          <w:bCs/>
          <w:color w:val="auto"/>
          <w:spacing w:val="-7"/>
          <w:sz w:val="24"/>
          <w:szCs w:val="24"/>
          <w:lang w:eastAsia="zh-CN"/>
        </w:rPr>
        <w:t>项目背景</w:t>
      </w:r>
    </w:p>
    <w:p w14:paraId="6FD14E42">
      <w:pPr>
        <w:spacing w:before="266" w:line="400" w:lineRule="atLeast"/>
        <w:ind w:firstLine="452"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为解决吉水县河西片区污水管网问题，改善城市基础设施、提升排水能力，推动城市可持续发展、提升城市形象，促进经济发展、优化投资环境，依据《政府投资条例》(国务院令712号)、《江西省政府投资管理办法》(省政府令第251号)。</w:t>
      </w:r>
    </w:p>
    <w:p w14:paraId="4BB427BF">
      <w:pPr>
        <w:spacing w:before="266" w:line="400" w:lineRule="atLeast"/>
        <w:ind w:firstLine="452"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根据国务院办公厅《关于做好城市排水防涝设施建设工作的通知（国办发〔2013〕23号）》、住房城乡建设部办公厅《关于加强2014年城市排水防涝汛前检查工作的通知（建办城函 [2014]170号）》、国务院办公厅《国务院办公厅关于加强城市内涝治理的实施意见》（国办发〔2021〕11号）、住房和城乡建设部办公厅国家发展改革委办公厅《关于做好2023年城市排水防涝工作的通知（建办城函〔2023〕99号）》等政策要求，结合超长期特别国债支持资金，计划开展实施吉水县河西片区污水管网项目。</w:t>
      </w:r>
    </w:p>
    <w:p w14:paraId="5965A845">
      <w:pPr>
        <w:spacing w:before="266" w:line="400" w:lineRule="atLeast"/>
        <w:ind w:left="24"/>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2、项目概况</w:t>
      </w:r>
    </w:p>
    <w:p w14:paraId="2BF54FC3">
      <w:pPr>
        <w:spacing w:before="266" w:line="400" w:lineRule="atLeast"/>
        <w:ind w:left="24" w:firstLine="452"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项目位于吉水县河西片区，主要建设内容新建HDPE双壁波纹污水管网43447米，其中，DN300污水管网4861米、DN400污水管网29664米、DN800污水管网8922米，并对新建时破除场地进行修复及配置污水检查井1086座。项目总投资约1.25亿元。</w:t>
      </w:r>
    </w:p>
    <w:p w14:paraId="7D01A681">
      <w:pPr>
        <w:spacing w:before="266" w:line="400" w:lineRule="atLeast"/>
        <w:ind w:firstLine="454" w:firstLineChars="200"/>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3、采购范围</w:t>
      </w:r>
    </w:p>
    <w:p w14:paraId="435DABAF">
      <w:pPr>
        <w:spacing w:before="266" w:line="400" w:lineRule="atLeast"/>
        <w:ind w:firstLine="452"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本次采购内容涵盖项目地质勘察服务、施工图设计，以及施工阶段全过程设计配合及技术服务工作。</w:t>
      </w:r>
    </w:p>
    <w:p w14:paraId="7B90261F">
      <w:pPr>
        <w:spacing w:before="266" w:line="400" w:lineRule="atLeast"/>
        <w:ind w:firstLine="454" w:firstLineChars="200"/>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4、计划工期</w:t>
      </w:r>
    </w:p>
    <w:p w14:paraId="64137363">
      <w:pPr>
        <w:spacing w:before="266" w:line="400" w:lineRule="atLeast"/>
        <w:ind w:firstLine="452"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合同签订之日</w:t>
      </w:r>
      <w:r>
        <w:rPr>
          <w:rFonts w:hint="eastAsia" w:asciiTheme="minorEastAsia" w:hAnsiTheme="minorEastAsia" w:eastAsiaTheme="minorEastAsia" w:cstheme="minorEastAsia"/>
          <w:color w:val="auto"/>
          <w:spacing w:val="-7"/>
          <w:sz w:val="24"/>
          <w:szCs w:val="24"/>
          <w:highlight w:val="none"/>
          <w:lang w:eastAsia="zh-CN"/>
        </w:rPr>
        <w:t>起</w:t>
      </w:r>
      <w:r>
        <w:rPr>
          <w:rFonts w:hint="eastAsia" w:asciiTheme="minorEastAsia" w:hAnsiTheme="minorEastAsia" w:eastAsiaTheme="minorEastAsia" w:cstheme="minorEastAsia"/>
          <w:color w:val="auto"/>
          <w:spacing w:val="-7"/>
          <w:sz w:val="24"/>
          <w:szCs w:val="24"/>
          <w:highlight w:val="none"/>
          <w:lang w:val="en-US" w:eastAsia="zh-CN"/>
        </w:rPr>
        <w:t>35</w:t>
      </w:r>
      <w:r>
        <w:rPr>
          <w:rFonts w:hint="eastAsia" w:asciiTheme="minorEastAsia" w:hAnsiTheme="minorEastAsia" w:eastAsiaTheme="minorEastAsia" w:cstheme="minorEastAsia"/>
          <w:color w:val="auto"/>
          <w:spacing w:val="-7"/>
          <w:sz w:val="24"/>
          <w:szCs w:val="24"/>
          <w:highlight w:val="none"/>
          <w:lang w:eastAsia="zh-CN"/>
        </w:rPr>
        <w:t>天内完成。</w:t>
      </w:r>
    </w:p>
    <w:p w14:paraId="593E8E2E">
      <w:pPr>
        <w:spacing w:before="266" w:line="400" w:lineRule="atLeast"/>
        <w:ind w:firstLine="454" w:firstLineChars="200"/>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5、服务要求</w:t>
      </w:r>
    </w:p>
    <w:p w14:paraId="4FE16628">
      <w:pPr>
        <w:spacing w:before="266" w:line="400" w:lineRule="atLeast"/>
        <w:ind w:firstLine="454"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1)技术要求：</w:t>
      </w:r>
      <w:r>
        <w:rPr>
          <w:rFonts w:hint="eastAsia" w:asciiTheme="minorEastAsia" w:hAnsiTheme="minorEastAsia" w:eastAsiaTheme="minorEastAsia" w:cstheme="minorEastAsia"/>
          <w:color w:val="auto"/>
          <w:spacing w:val="-7"/>
          <w:sz w:val="24"/>
          <w:szCs w:val="24"/>
          <w:lang w:eastAsia="zh-CN"/>
        </w:rPr>
        <w:t>根据招标人工作安排，编制施工图设计等相关设计文件。根据工作实际需求，动态优化设计内容，保证设计合理性和科学性。成交供应商完成全套施工图设计后，须配合采购人完成施工图审查。</w:t>
      </w:r>
    </w:p>
    <w:p w14:paraId="1518F882">
      <w:pPr>
        <w:spacing w:before="266" w:line="400" w:lineRule="atLeast"/>
        <w:ind w:firstLine="454" w:firstLineChars="200"/>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2)人员要求：</w:t>
      </w:r>
      <w:r>
        <w:rPr>
          <w:rFonts w:hint="eastAsia" w:asciiTheme="minorEastAsia" w:hAnsiTheme="minorEastAsia" w:eastAsiaTheme="minorEastAsia" w:cstheme="minorEastAsia"/>
          <w:color w:val="auto"/>
          <w:spacing w:val="-7"/>
          <w:sz w:val="24"/>
          <w:szCs w:val="24"/>
          <w:lang w:eastAsia="zh-CN"/>
        </w:rPr>
        <w:t>响应供应商应组建能够满足本项目服务需要的项目小组，并安排专人专岗在服务期内开展工作，按照工作范围和内容完成相关工作，并按约定向采购人汇报工作进展。</w:t>
      </w:r>
    </w:p>
    <w:p w14:paraId="7A023CE2">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宋体" w:hAnsi="宋体" w:eastAsia="宋体" w:cs="宋体"/>
          <w:color w:val="auto"/>
          <w:spacing w:val="-7"/>
          <w:sz w:val="24"/>
          <w:szCs w:val="24"/>
          <w:lang w:eastAsia="zh-CN"/>
        </w:rPr>
        <w:t>①</w:t>
      </w:r>
      <w:r>
        <w:rPr>
          <w:rFonts w:hint="eastAsia" w:asciiTheme="minorEastAsia" w:hAnsiTheme="minorEastAsia" w:eastAsiaTheme="minorEastAsia" w:cstheme="minorEastAsia"/>
          <w:color w:val="auto"/>
          <w:spacing w:val="-7"/>
          <w:sz w:val="24"/>
          <w:szCs w:val="24"/>
          <w:lang w:eastAsia="zh-CN"/>
        </w:rPr>
        <w:t>项目负责人1人：具有市政类中级及以上职称和注册公用设备工程师（给水排水）；</w:t>
      </w:r>
    </w:p>
    <w:p w14:paraId="52473368">
      <w:pPr>
        <w:spacing w:line="413" w:lineRule="exact"/>
        <w:ind w:left="266"/>
        <w:rPr>
          <w:rFonts w:hint="default" w:asciiTheme="minorEastAsia" w:hAnsiTheme="minorEastAsia" w:eastAsiaTheme="minorEastAsia" w:cstheme="minorEastAsia"/>
          <w:color w:val="auto"/>
          <w:spacing w:val="-7"/>
          <w:sz w:val="24"/>
          <w:szCs w:val="24"/>
          <w:lang w:val="en-US" w:eastAsia="zh-CN"/>
        </w:rPr>
      </w:pPr>
      <w:r>
        <w:rPr>
          <w:rFonts w:hint="eastAsia" w:asciiTheme="minorEastAsia" w:hAnsiTheme="minorEastAsia" w:eastAsiaTheme="minorEastAsia" w:cstheme="minorEastAsia"/>
          <w:color w:val="auto"/>
          <w:spacing w:val="-7"/>
          <w:sz w:val="24"/>
          <w:szCs w:val="24"/>
          <w:lang w:eastAsia="zh-CN"/>
        </w:rPr>
        <w:t>②</w:t>
      </w:r>
      <w:r>
        <w:rPr>
          <w:rFonts w:hint="eastAsia" w:asciiTheme="minorEastAsia" w:hAnsiTheme="minorEastAsia" w:eastAsiaTheme="minorEastAsia" w:cstheme="minorEastAsia"/>
          <w:color w:val="auto"/>
          <w:spacing w:val="-7"/>
          <w:sz w:val="24"/>
          <w:szCs w:val="24"/>
          <w:lang w:val="en-US" w:eastAsia="zh-CN"/>
        </w:rPr>
        <w:t>设计团队人员给水排水专业人员（具有给水排水工程专业中级及以上职称或注册公用设备工程师（给水排水））</w:t>
      </w:r>
      <w:r>
        <w:rPr>
          <w:rFonts w:hint="eastAsia" w:ascii="宋体" w:hAnsi="宋体" w:eastAsia="宋体" w:cs="宋体"/>
          <w:color w:val="auto"/>
          <w:spacing w:val="-7"/>
          <w:sz w:val="24"/>
          <w:szCs w:val="24"/>
          <w:lang w:val="en-US" w:eastAsia="zh-CN"/>
        </w:rPr>
        <w:t>至少配备1人</w:t>
      </w:r>
      <w:r>
        <w:rPr>
          <w:rFonts w:hint="eastAsia" w:asciiTheme="minorEastAsia" w:hAnsiTheme="minorEastAsia" w:eastAsiaTheme="minorEastAsia" w:cstheme="minorEastAsia"/>
          <w:color w:val="auto"/>
          <w:spacing w:val="-7"/>
          <w:sz w:val="24"/>
          <w:szCs w:val="24"/>
          <w:lang w:val="en-US" w:eastAsia="zh-CN"/>
        </w:rPr>
        <w:t>、</w:t>
      </w:r>
      <w:r>
        <w:rPr>
          <w:rFonts w:hint="eastAsia" w:ascii="宋体" w:hAnsi="宋体" w:eastAsia="宋体" w:cs="宋体"/>
          <w:color w:val="auto"/>
          <w:spacing w:val="-7"/>
          <w:sz w:val="24"/>
          <w:szCs w:val="24"/>
          <w:lang w:eastAsia="zh-CN"/>
        </w:rPr>
        <w:t>结构专业</w:t>
      </w:r>
      <w:r>
        <w:rPr>
          <w:rFonts w:hint="eastAsia" w:ascii="宋体" w:hAnsi="宋体" w:eastAsia="宋体" w:cs="宋体"/>
          <w:color w:val="auto"/>
          <w:spacing w:val="-7"/>
          <w:sz w:val="24"/>
          <w:szCs w:val="24"/>
          <w:lang w:val="en-US" w:eastAsia="zh-CN"/>
        </w:rPr>
        <w:t>人员（</w:t>
      </w:r>
      <w:r>
        <w:rPr>
          <w:rFonts w:hint="eastAsia" w:asciiTheme="minorEastAsia" w:hAnsiTheme="minorEastAsia" w:eastAsiaTheme="minorEastAsia" w:cstheme="minorEastAsia"/>
          <w:color w:val="auto"/>
          <w:spacing w:val="-7"/>
          <w:sz w:val="24"/>
          <w:szCs w:val="24"/>
          <w:lang w:val="en-US" w:eastAsia="zh-CN"/>
        </w:rPr>
        <w:t>具有结构工程专业中级及以上职称或一级</w:t>
      </w:r>
      <w:r>
        <w:rPr>
          <w:rFonts w:hint="eastAsia" w:asciiTheme="minorEastAsia" w:hAnsiTheme="minorEastAsia" w:eastAsiaTheme="minorEastAsia" w:cstheme="minorEastAsia"/>
          <w:color w:val="auto"/>
          <w:spacing w:val="-7"/>
          <w:sz w:val="24"/>
          <w:szCs w:val="24"/>
          <w:lang w:eastAsia="zh-CN"/>
        </w:rPr>
        <w:t>注册</w:t>
      </w:r>
      <w:r>
        <w:rPr>
          <w:rFonts w:hint="eastAsia" w:asciiTheme="minorEastAsia" w:hAnsiTheme="minorEastAsia" w:eastAsiaTheme="minorEastAsia" w:cstheme="minorEastAsia"/>
          <w:color w:val="auto"/>
          <w:spacing w:val="-7"/>
          <w:sz w:val="24"/>
          <w:szCs w:val="24"/>
          <w:lang w:val="en-US" w:eastAsia="zh-CN"/>
        </w:rPr>
        <w:t>结构</w:t>
      </w:r>
      <w:r>
        <w:rPr>
          <w:rFonts w:hint="eastAsia" w:asciiTheme="minorEastAsia" w:hAnsiTheme="minorEastAsia" w:eastAsiaTheme="minorEastAsia" w:cstheme="minorEastAsia"/>
          <w:color w:val="auto"/>
          <w:spacing w:val="-7"/>
          <w:sz w:val="24"/>
          <w:szCs w:val="24"/>
          <w:lang w:eastAsia="zh-CN"/>
        </w:rPr>
        <w:t>工程师）</w:t>
      </w:r>
      <w:r>
        <w:rPr>
          <w:rFonts w:hint="eastAsia" w:ascii="宋体" w:hAnsi="宋体" w:eastAsia="宋体" w:cs="宋体"/>
          <w:color w:val="auto"/>
          <w:spacing w:val="-7"/>
          <w:sz w:val="24"/>
          <w:szCs w:val="24"/>
          <w:lang w:val="en-US" w:eastAsia="zh-CN"/>
        </w:rPr>
        <w:t>至少配备1人；</w:t>
      </w:r>
    </w:p>
    <w:p w14:paraId="642ECB44">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宋体" w:hAnsi="宋体" w:eastAsia="宋体" w:cs="宋体"/>
          <w:color w:val="auto"/>
          <w:spacing w:val="-7"/>
          <w:sz w:val="24"/>
          <w:szCs w:val="24"/>
          <w:lang w:eastAsia="zh-CN"/>
        </w:rPr>
        <w:t>③</w:t>
      </w:r>
      <w:r>
        <w:rPr>
          <w:rFonts w:hint="eastAsia" w:asciiTheme="minorEastAsia" w:hAnsiTheme="minorEastAsia" w:eastAsiaTheme="minorEastAsia" w:cstheme="minorEastAsia"/>
          <w:color w:val="auto"/>
          <w:spacing w:val="-7"/>
          <w:sz w:val="24"/>
          <w:szCs w:val="24"/>
          <w:lang w:eastAsia="zh-CN"/>
        </w:rPr>
        <w:t>勘察专业负责人1人：具有中级及以上职称和注册土木工程师（岩土）。</w:t>
      </w:r>
    </w:p>
    <w:p w14:paraId="42E6AA01">
      <w:pPr>
        <w:spacing w:line="413" w:lineRule="exact"/>
        <w:ind w:left="266" w:firstLine="480" w:firstLineChars="200"/>
        <w:rPr>
          <w:rFonts w:hint="default" w:ascii="Microsoft JhengHei" w:hAnsi="Arial" w:eastAsia="Microsoft JhengHei" w:cs="Arial"/>
          <w:b/>
          <w:sz w:val="24"/>
          <w:lang w:val="en-US" w:eastAsia="zh-CN"/>
        </w:rPr>
      </w:pPr>
      <w:r>
        <w:rPr>
          <w:rFonts w:hint="eastAsia" w:ascii="Microsoft JhengHei" w:hAnsi="Arial" w:eastAsia="Microsoft JhengHei" w:cs="Arial"/>
          <w:b/>
          <w:sz w:val="24"/>
          <w:lang w:val="en-US" w:eastAsia="zh-CN"/>
        </w:rPr>
        <w:t>以上人员均需在</w:t>
      </w:r>
      <w:r>
        <w:rPr>
          <w:rFonts w:hint="eastAsia" w:ascii="Microsoft JhengHei" w:hAnsi="Arial" w:eastAsia="Microsoft JhengHei" w:cs="Arial"/>
          <w:b/>
          <w:sz w:val="24"/>
          <w:lang w:eastAsia="zh-CN"/>
        </w:rPr>
        <w:t>响应文件中</w:t>
      </w:r>
      <w:r>
        <w:rPr>
          <w:rFonts w:ascii="Microsoft JhengHei" w:hAnsi="Arial" w:eastAsia="Microsoft JhengHei" w:cs="Arial"/>
          <w:b/>
          <w:sz w:val="24"/>
          <w:lang w:eastAsia="zh-CN"/>
        </w:rPr>
        <w:t>提供</w:t>
      </w:r>
      <w:r>
        <w:rPr>
          <w:rFonts w:hint="eastAsia" w:ascii="Microsoft JhengHei" w:hAnsi="Arial" w:eastAsia="Microsoft JhengHei" w:cs="Arial"/>
          <w:b/>
          <w:sz w:val="24"/>
          <w:lang w:eastAsia="zh-CN"/>
        </w:rPr>
        <w:t>相</w:t>
      </w:r>
      <w:r>
        <w:rPr>
          <w:rFonts w:hint="eastAsia" w:ascii="Microsoft JhengHei" w:hAnsi="Arial" w:eastAsia="Microsoft JhengHei" w:cs="Arial"/>
          <w:b/>
          <w:sz w:val="24"/>
          <w:lang w:val="en-US" w:eastAsia="zh-CN"/>
        </w:rPr>
        <w:t>关</w:t>
      </w:r>
      <w:r>
        <w:rPr>
          <w:rFonts w:hint="eastAsia" w:ascii="Microsoft JhengHei" w:hAnsi="Arial" w:eastAsia="Microsoft JhengHei" w:cs="Arial"/>
          <w:b/>
          <w:sz w:val="24"/>
          <w:lang w:eastAsia="zh-CN"/>
        </w:rPr>
        <w:t>证书</w:t>
      </w:r>
      <w:r>
        <w:rPr>
          <w:rFonts w:ascii="Microsoft JhengHei" w:hAnsi="Arial" w:eastAsia="Microsoft JhengHei" w:cs="Arial"/>
          <w:b/>
          <w:sz w:val="24"/>
          <w:lang w:eastAsia="zh-CN"/>
        </w:rPr>
        <w:t>复印件</w:t>
      </w:r>
      <w:r>
        <w:rPr>
          <w:rFonts w:hint="eastAsia" w:ascii="Microsoft JhengHei" w:hAnsi="Arial" w:eastAsia="Microsoft JhengHei" w:cs="Arial"/>
          <w:b/>
          <w:sz w:val="24"/>
          <w:lang w:eastAsia="zh-CN"/>
        </w:rPr>
        <w:t>及</w:t>
      </w:r>
      <w:r>
        <w:rPr>
          <w:rFonts w:ascii="Microsoft JhengHei" w:hAnsi="Arial" w:eastAsia="Microsoft JhengHei" w:cs="Arial"/>
          <w:b/>
          <w:sz w:val="24"/>
          <w:lang w:eastAsia="zh-CN"/>
        </w:rPr>
        <w:t>供应商为其缴纳的开标前六个月</w:t>
      </w:r>
      <w:r>
        <w:rPr>
          <w:rFonts w:hint="eastAsia" w:ascii="Microsoft JhengHei" w:hAnsi="Arial" w:eastAsia="Microsoft JhengHei" w:cs="Arial"/>
          <w:b/>
          <w:sz w:val="24"/>
          <w:lang w:eastAsia="zh-CN"/>
        </w:rPr>
        <w:t>内</w:t>
      </w:r>
      <w:r>
        <w:rPr>
          <w:rFonts w:ascii="Microsoft JhengHei" w:hAnsi="Arial" w:eastAsia="Microsoft JhengHei" w:cs="Arial"/>
          <w:b/>
          <w:sz w:val="24"/>
          <w:lang w:eastAsia="zh-CN"/>
        </w:rPr>
        <w:t>（不含开标当月）任意一个月的社保证明并加盖</w:t>
      </w:r>
      <w:r>
        <w:rPr>
          <w:rFonts w:hint="eastAsia" w:ascii="Microsoft JhengHei" w:hAnsi="Arial" w:eastAsia="Microsoft JhengHei" w:cs="Arial"/>
          <w:b/>
          <w:sz w:val="24"/>
          <w:lang w:val="en-US" w:eastAsia="zh-CN"/>
        </w:rPr>
        <w:t>响应</w:t>
      </w:r>
      <w:r>
        <w:rPr>
          <w:rFonts w:hint="eastAsia" w:ascii="Microsoft JhengHei" w:hAnsi="Arial" w:eastAsia="Microsoft JhengHei" w:cs="Arial"/>
          <w:b/>
          <w:sz w:val="24"/>
          <w:lang w:eastAsia="zh-CN"/>
        </w:rPr>
        <w:t>供应商</w:t>
      </w:r>
      <w:r>
        <w:rPr>
          <w:rFonts w:ascii="Microsoft JhengHei" w:hAnsi="Arial" w:eastAsia="Microsoft JhengHei" w:cs="Arial"/>
          <w:b/>
          <w:sz w:val="24"/>
          <w:lang w:eastAsia="zh-CN"/>
        </w:rPr>
        <w:t>公章</w:t>
      </w:r>
      <w:r>
        <w:rPr>
          <w:rFonts w:hint="eastAsia" w:ascii="Microsoft JhengHei" w:hAnsi="Arial" w:eastAsia="Microsoft JhengHei" w:cs="Arial"/>
          <w:b/>
          <w:sz w:val="24"/>
          <w:lang w:eastAsia="zh-CN"/>
        </w:rPr>
        <w:t>。</w:t>
      </w:r>
    </w:p>
    <w:p w14:paraId="2614C49A">
      <w:pPr>
        <w:spacing w:before="266" w:line="400" w:lineRule="atLeast"/>
        <w:ind w:firstLine="454" w:firstLineChars="200"/>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6、设计依据</w:t>
      </w:r>
    </w:p>
    <w:p w14:paraId="05C7126E">
      <w:pPr>
        <w:spacing w:before="266" w:line="400" w:lineRule="atLeast"/>
        <w:ind w:firstLine="226" w:firstLineChars="100"/>
        <w:rPr>
          <w:rFonts w:hint="eastAsia" w:asciiTheme="minorEastAsia" w:hAnsiTheme="minorEastAsia" w:eastAsiaTheme="minorEastAsia" w:cstheme="minorEastAsia"/>
          <w:b w:val="0"/>
          <w:bCs w:val="0"/>
          <w:color w:val="auto"/>
          <w:spacing w:val="-7"/>
          <w:sz w:val="24"/>
          <w:szCs w:val="24"/>
          <w:lang w:eastAsia="zh-CN"/>
        </w:rPr>
      </w:pPr>
      <w:r>
        <w:rPr>
          <w:rFonts w:hint="eastAsia" w:asciiTheme="minorEastAsia" w:hAnsiTheme="minorEastAsia" w:eastAsiaTheme="minorEastAsia" w:cstheme="minorEastAsia"/>
          <w:b w:val="0"/>
          <w:bCs w:val="0"/>
          <w:color w:val="auto"/>
          <w:spacing w:val="-7"/>
          <w:sz w:val="24"/>
          <w:szCs w:val="24"/>
          <w:lang w:eastAsia="zh-CN"/>
        </w:rPr>
        <w:t>（1）《工程建设标准强制性条文》城市建设部分；</w:t>
      </w:r>
    </w:p>
    <w:p w14:paraId="411AA834">
      <w:pPr>
        <w:numPr>
          <w:ilvl w:val="0"/>
          <w:numId w:val="3"/>
        </w:numPr>
        <w:spacing w:line="413" w:lineRule="exact"/>
        <w:ind w:left="266"/>
        <w:rPr>
          <w:rFonts w:hint="eastAsia" w:asciiTheme="minorEastAsia" w:hAnsiTheme="minorEastAsia" w:eastAsiaTheme="minorEastAsia" w:cstheme="minorEastAsia"/>
          <w:b w:val="0"/>
          <w:bCs w:val="0"/>
          <w:color w:val="auto"/>
          <w:spacing w:val="-7"/>
          <w:sz w:val="24"/>
          <w:szCs w:val="24"/>
          <w:lang w:eastAsia="zh-CN"/>
        </w:rPr>
      </w:pPr>
      <w:r>
        <w:rPr>
          <w:rFonts w:hint="eastAsia" w:asciiTheme="minorEastAsia" w:hAnsiTheme="minorEastAsia" w:eastAsiaTheme="minorEastAsia" w:cstheme="minorEastAsia"/>
          <w:b w:val="0"/>
          <w:bCs w:val="0"/>
          <w:color w:val="auto"/>
          <w:spacing w:val="-7"/>
          <w:sz w:val="24"/>
          <w:szCs w:val="24"/>
          <w:lang w:eastAsia="zh-CN"/>
        </w:rPr>
        <w:t>《市政公用工程设计文件编制深度规定（2025版）》；</w:t>
      </w:r>
    </w:p>
    <w:p w14:paraId="36B3AD1B">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《室外排水设计标准》(GB50014-2021)；</w:t>
      </w:r>
    </w:p>
    <w:p w14:paraId="2604B2F6">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《城市排水工程规划规范》（GB50318-2017）； </w:t>
      </w:r>
    </w:p>
    <w:p w14:paraId="1D524C27">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《城乡排水工程项目规范》（GB55027-2022）；</w:t>
      </w:r>
    </w:p>
    <w:p w14:paraId="79404443">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《城镇内涝防治技术规范》（GB 51222-2017）；</w:t>
      </w:r>
    </w:p>
    <w:p w14:paraId="3187C536">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《混凝土和钢筋混凝土排水管》（GB/T 11836-2023）；</w:t>
      </w:r>
    </w:p>
    <w:p w14:paraId="40A580A9">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《排水工程用球墨铸铁管、管件和附件》（GB/T 26081-2022）； </w:t>
      </w:r>
    </w:p>
    <w:p w14:paraId="28459748">
      <w:pPr>
        <w:numPr>
          <w:ilvl w:val="0"/>
          <w:numId w:val="3"/>
        </w:num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《埋地塑料排水管道工程技术规程》（CJJ143-2010）；</w:t>
      </w:r>
    </w:p>
    <w:p w14:paraId="10C96E5D">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（10）《建筑小区排水用塑料检查井 》（CJ/T 233-2016）；</w:t>
      </w:r>
    </w:p>
    <w:p w14:paraId="1A9BAB06">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（11）《橡胶密封件给、排水管及污水管道用接口密封圈材料规范》（GB/T21873-2008</w:t>
      </w:r>
    </w:p>
    <w:p w14:paraId="60FCB25C">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w:t>
      </w:r>
    </w:p>
    <w:p w14:paraId="59536191">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（12）《检查井盖》（GB/T 23858-2009）；</w:t>
      </w:r>
    </w:p>
    <w:p w14:paraId="6ED2D1F6">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（13）《混凝土结构设计标准》（GB/T50010-2010）（2024版）；</w:t>
      </w:r>
    </w:p>
    <w:p w14:paraId="28CDC5DA">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 (14)《给水排水管道工程施工及验收规范》(GB50268-2008)；</w:t>
      </w:r>
    </w:p>
    <w:p w14:paraId="792BFCDB">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 (15)《给水排水工程管道结构设计规范》（GB 50332-2002）；</w:t>
      </w:r>
    </w:p>
    <w:p w14:paraId="27905466">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 (16)《给水排水工程构筑物结构设计规范》（GB 50069-2002）；</w:t>
      </w:r>
    </w:p>
    <w:p w14:paraId="670283D3">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（17）《室外给水排水和燃气热力工程抗震设计规范》（GB 50032-2003）；</w:t>
      </w:r>
    </w:p>
    <w:p w14:paraId="66882D63">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（18）《建筑与市政工程抗震通用规范》（GB55002-2021）；</w:t>
      </w:r>
    </w:p>
    <w:p w14:paraId="114212D9">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（19）《钢筋混凝土及砖砌排水检查井》（20S515）；</w:t>
      </w:r>
    </w:p>
    <w:p w14:paraId="2ED9C72E">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 xml:space="preserve">（20）《混凝土排水管道基础及接口》（23S516）； </w:t>
      </w:r>
    </w:p>
    <w:p w14:paraId="73BAF9F6">
      <w:pPr>
        <w:spacing w:line="413" w:lineRule="exact"/>
        <w:ind w:left="266"/>
        <w:rPr>
          <w:rFonts w:hint="eastAsia" w:asciiTheme="minorEastAsia" w:hAnsiTheme="minorEastAsia" w:eastAsiaTheme="minorEastAsia" w:cstheme="minorEastAsia"/>
          <w:color w:val="auto"/>
          <w:spacing w:val="-7"/>
          <w:sz w:val="24"/>
          <w:szCs w:val="24"/>
          <w:lang w:eastAsia="zh-CN"/>
        </w:rPr>
      </w:pPr>
      <w:r>
        <w:rPr>
          <w:rFonts w:hint="eastAsia" w:asciiTheme="minorEastAsia" w:hAnsiTheme="minorEastAsia" w:eastAsiaTheme="minorEastAsia" w:cstheme="minorEastAsia"/>
          <w:color w:val="auto"/>
          <w:spacing w:val="-7"/>
          <w:sz w:val="24"/>
          <w:szCs w:val="24"/>
          <w:lang w:eastAsia="zh-CN"/>
        </w:rPr>
        <w:t>（21）《雨水口》（16S518）。</w:t>
      </w:r>
    </w:p>
    <w:p w14:paraId="671452CB">
      <w:pPr>
        <w:spacing w:line="413" w:lineRule="exact"/>
        <w:ind w:left="266"/>
        <w:rPr>
          <w:rFonts w:hint="eastAsia" w:asciiTheme="minorEastAsia" w:hAnsiTheme="minorEastAsia" w:eastAsiaTheme="minorEastAsia" w:cstheme="minorEastAsia"/>
          <w:b/>
          <w:bCs/>
          <w:color w:val="auto"/>
          <w:spacing w:val="-7"/>
          <w:sz w:val="24"/>
          <w:szCs w:val="24"/>
          <w:lang w:eastAsia="zh-CN"/>
        </w:rPr>
      </w:pPr>
      <w:r>
        <w:rPr>
          <w:rFonts w:hint="eastAsia" w:asciiTheme="minorEastAsia" w:hAnsiTheme="minorEastAsia" w:eastAsiaTheme="minorEastAsia" w:cstheme="minorEastAsia"/>
          <w:b/>
          <w:bCs/>
          <w:color w:val="auto"/>
          <w:spacing w:val="-7"/>
          <w:sz w:val="24"/>
          <w:szCs w:val="24"/>
          <w:lang w:eastAsia="zh-CN"/>
        </w:rPr>
        <w:t>本工程设计执行国家、行业及地方现行最新的标准、规范、规程及强制性条文，若上述标准、规范、规程有更新或修订，以最新版本为准。</w:t>
      </w:r>
    </w:p>
    <w:p w14:paraId="11B91C7A">
      <w:pPr>
        <w:spacing w:line="220" w:lineRule="auto"/>
        <w:ind w:left="8"/>
        <w:rPr>
          <w:rFonts w:hint="eastAsia" w:asciiTheme="minorEastAsia" w:hAnsiTheme="minorEastAsia" w:eastAsiaTheme="minorEastAsia" w:cstheme="minorEastAsia"/>
          <w:b/>
          <w:bCs/>
          <w:color w:val="auto"/>
          <w:spacing w:val="-2"/>
          <w:sz w:val="24"/>
          <w:szCs w:val="24"/>
          <w:lang w:eastAsia="zh-CN"/>
        </w:rPr>
      </w:pPr>
    </w:p>
    <w:p w14:paraId="058628ED">
      <w:pPr>
        <w:spacing w:line="220" w:lineRule="auto"/>
        <w:ind w:left="8"/>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pacing w:val="-2"/>
          <w:sz w:val="24"/>
          <w:szCs w:val="24"/>
          <w:lang w:eastAsia="zh-CN"/>
        </w:rPr>
        <w:t>三、商务要求：</w:t>
      </w:r>
    </w:p>
    <w:p w14:paraId="06DCACD8">
      <w:pPr>
        <w:spacing w:before="179" w:line="360" w:lineRule="auto"/>
        <w:ind w:left="506"/>
        <w:rPr>
          <w:rFonts w:eastAsiaTheme="minorEastAsia"/>
          <w:color w:val="auto"/>
          <w:sz w:val="24"/>
          <w:lang w:eastAsia="zh-CN"/>
        </w:rPr>
      </w:pPr>
      <w:r>
        <w:rPr>
          <w:rFonts w:hint="eastAsia" w:asciiTheme="minorEastAsia" w:hAnsiTheme="minorEastAsia" w:eastAsiaTheme="minorEastAsia" w:cstheme="minorEastAsia"/>
          <w:b/>
          <w:bCs/>
          <w:color w:val="auto"/>
          <w:spacing w:val="-2"/>
          <w:sz w:val="24"/>
          <w:szCs w:val="24"/>
          <w:lang w:eastAsia="zh-CN"/>
        </w:rPr>
        <w:t>1、服务期限：</w:t>
      </w:r>
      <w:r>
        <w:rPr>
          <w:rFonts w:hint="eastAsia" w:eastAsiaTheme="minorEastAsia"/>
          <w:color w:val="auto"/>
          <w:sz w:val="24"/>
          <w:lang w:eastAsia="zh-CN"/>
        </w:rPr>
        <w:t>合同签订</w:t>
      </w:r>
      <w:r>
        <w:rPr>
          <w:rFonts w:hint="eastAsia" w:eastAsiaTheme="minorEastAsia"/>
          <w:color w:val="auto"/>
          <w:sz w:val="24"/>
          <w:highlight w:val="none"/>
          <w:lang w:eastAsia="zh-CN"/>
        </w:rPr>
        <w:t>之日起</w:t>
      </w:r>
      <w:r>
        <w:rPr>
          <w:rFonts w:hint="eastAsia" w:eastAsiaTheme="minorEastAsia"/>
          <w:color w:val="auto"/>
          <w:sz w:val="24"/>
          <w:highlight w:val="none"/>
          <w:lang w:val="en-US" w:eastAsia="zh-CN"/>
        </w:rPr>
        <w:t>3</w:t>
      </w:r>
      <w:r>
        <w:rPr>
          <w:rFonts w:hint="eastAsia" w:eastAsiaTheme="minorEastAsia"/>
          <w:color w:val="auto"/>
          <w:sz w:val="24"/>
          <w:highlight w:val="none"/>
          <w:lang w:eastAsia="zh-CN"/>
        </w:rPr>
        <w:t>5天内完成。</w:t>
      </w:r>
    </w:p>
    <w:p w14:paraId="5ADF9C68">
      <w:pPr>
        <w:spacing w:before="179" w:line="360" w:lineRule="auto"/>
        <w:ind w:left="506"/>
        <w:rPr>
          <w:rFonts w:hint="eastAsia" w:asciiTheme="minorEastAsia" w:hAnsiTheme="minorEastAsia" w:eastAsiaTheme="minorEastAsia" w:cstheme="minorEastAsia"/>
          <w:color w:val="auto"/>
          <w:spacing w:val="-1"/>
          <w:sz w:val="24"/>
          <w:szCs w:val="24"/>
          <w:highlight w:val="none"/>
          <w:lang w:eastAsia="zh-CN"/>
        </w:rPr>
      </w:pPr>
      <w:r>
        <w:rPr>
          <w:rFonts w:hint="eastAsia" w:asciiTheme="minorEastAsia" w:hAnsiTheme="minorEastAsia" w:eastAsiaTheme="minorEastAsia" w:cstheme="minorEastAsia"/>
          <w:b/>
          <w:bCs/>
          <w:color w:val="auto"/>
          <w:spacing w:val="-2"/>
          <w:sz w:val="24"/>
          <w:szCs w:val="24"/>
          <w:highlight w:val="none"/>
          <w:lang w:eastAsia="zh-CN"/>
        </w:rPr>
        <w:t>2、结算及付款方式：</w:t>
      </w:r>
      <w:r>
        <w:rPr>
          <w:rFonts w:hint="eastAsia" w:asciiTheme="minorEastAsia" w:hAnsiTheme="minorEastAsia" w:eastAsiaTheme="minorEastAsia" w:cstheme="minorEastAsia"/>
          <w:color w:val="auto"/>
          <w:spacing w:val="-2"/>
          <w:sz w:val="24"/>
          <w:szCs w:val="24"/>
          <w:highlight w:val="none"/>
          <w:lang w:eastAsia="zh-CN"/>
        </w:rPr>
        <w:t>施工图设计文件审查合格后，支付至合同价的80%；项目竣工验收合格后，支付剩余款项，结清至合同价的100%。【所有款项均无利息。】</w:t>
      </w:r>
    </w:p>
    <w:p w14:paraId="4F8015A0">
      <w:pPr>
        <w:spacing w:line="359" w:lineRule="auto"/>
        <w:ind w:left="13" w:right="73" w:firstLine="486"/>
        <w:rPr>
          <w:rFonts w:hint="eastAsia" w:asciiTheme="minorEastAsia" w:hAnsiTheme="minorEastAsia" w:eastAsiaTheme="minorEastAsia" w:cstheme="minorEastAsia"/>
          <w:color w:val="auto"/>
          <w:spacing w:val="-1"/>
          <w:sz w:val="24"/>
          <w:szCs w:val="24"/>
          <w:highlight w:val="none"/>
          <w:lang w:eastAsia="zh-CN"/>
        </w:rPr>
      </w:pPr>
      <w:r>
        <w:rPr>
          <w:rFonts w:hint="eastAsia" w:asciiTheme="minorEastAsia" w:hAnsiTheme="minorEastAsia" w:eastAsiaTheme="minorEastAsia" w:cstheme="minorEastAsia"/>
          <w:b/>
          <w:bCs/>
          <w:color w:val="auto"/>
          <w:spacing w:val="-1"/>
          <w:sz w:val="24"/>
          <w:szCs w:val="24"/>
          <w:highlight w:val="none"/>
          <w:lang w:eastAsia="zh-CN"/>
        </w:rPr>
        <w:t>3、服务地点：</w:t>
      </w:r>
      <w:r>
        <w:rPr>
          <w:rFonts w:hint="eastAsia" w:asciiTheme="minorEastAsia" w:hAnsiTheme="minorEastAsia" w:eastAsiaTheme="minorEastAsia" w:cstheme="minorEastAsia"/>
          <w:color w:val="auto"/>
          <w:spacing w:val="-1"/>
          <w:sz w:val="24"/>
          <w:szCs w:val="24"/>
          <w:highlight w:val="none"/>
          <w:lang w:eastAsia="zh-CN"/>
        </w:rPr>
        <w:t>采购人指定地点。</w:t>
      </w:r>
    </w:p>
    <w:p w14:paraId="7FCA7EC7">
      <w:pPr>
        <w:spacing w:before="2" w:line="360" w:lineRule="auto"/>
        <w:ind w:left="7" w:right="73" w:firstLine="485"/>
        <w:rPr>
          <w:color w:val="auto"/>
          <w:spacing w:val="-1"/>
          <w:sz w:val="24"/>
          <w:highlight w:val="none"/>
          <w:lang w:eastAsia="zh-CN"/>
        </w:rPr>
      </w:pPr>
      <w:r>
        <w:rPr>
          <w:rFonts w:hint="eastAsia"/>
          <w:color w:val="auto"/>
          <w:spacing w:val="-1"/>
          <w:sz w:val="24"/>
          <w:highlight w:val="none"/>
          <w:lang w:val="en-US" w:eastAsia="zh-CN"/>
        </w:rPr>
        <w:t>4、</w:t>
      </w:r>
      <w:r>
        <w:rPr>
          <w:color w:val="auto"/>
          <w:spacing w:val="-1"/>
          <w:sz w:val="24"/>
          <w:highlight w:val="none"/>
          <w:lang w:eastAsia="zh-CN"/>
        </w:rPr>
        <w:t>成交供应商应向采购人提供全方位、及时而有效的技术支持和服务。</w:t>
      </w:r>
    </w:p>
    <w:p w14:paraId="0A165BD4">
      <w:pPr>
        <w:spacing w:before="2" w:line="360" w:lineRule="auto"/>
        <w:ind w:left="7" w:right="73" w:firstLine="485"/>
        <w:rPr>
          <w:rFonts w:hint="default"/>
          <w:color w:val="auto"/>
          <w:spacing w:val="-1"/>
          <w:sz w:val="24"/>
          <w:highlight w:val="none"/>
          <w:lang w:val="en-US" w:eastAsia="zh-CN"/>
        </w:rPr>
      </w:pPr>
      <w:r>
        <w:rPr>
          <w:rFonts w:hint="eastAsia"/>
          <w:color w:val="auto"/>
          <w:spacing w:val="-1"/>
          <w:sz w:val="24"/>
          <w:highlight w:val="none"/>
          <w:lang w:val="en-US" w:eastAsia="zh-CN"/>
        </w:rPr>
        <w:t>5、成交供应商须为本项目配备1名对应专业设计师，根据项目进度及现场实际情况提供驻场服务，负责施工阶段的设计配合与技术支持工作。</w:t>
      </w:r>
    </w:p>
    <w:p w14:paraId="166E8877">
      <w:pPr>
        <w:spacing w:before="2" w:line="360" w:lineRule="auto"/>
        <w:ind w:left="7" w:right="73" w:firstLine="485"/>
        <w:rPr>
          <w:spacing w:val="-1"/>
          <w:sz w:val="24"/>
          <w:lang w:eastAsia="zh-CN"/>
        </w:rPr>
      </w:pPr>
      <w:r>
        <w:rPr>
          <w:rFonts w:hint="eastAsia"/>
          <w:spacing w:val="-1"/>
          <w:sz w:val="24"/>
          <w:lang w:val="en-US" w:eastAsia="zh-CN"/>
        </w:rPr>
        <w:t>6</w:t>
      </w:r>
      <w:r>
        <w:rPr>
          <w:rFonts w:hint="eastAsia"/>
          <w:spacing w:val="-1"/>
          <w:sz w:val="24"/>
          <w:lang w:eastAsia="zh-CN"/>
        </w:rPr>
        <w:t>、设计单位应按时提交设计工作成果，因采购人变更方案、设计变更、图纸会审</w:t>
      </w:r>
    </w:p>
    <w:p w14:paraId="2975ED90">
      <w:pPr>
        <w:spacing w:before="2" w:line="360" w:lineRule="auto"/>
        <w:ind w:left="7" w:right="73" w:firstLine="485"/>
        <w:rPr>
          <w:spacing w:val="-1"/>
          <w:sz w:val="24"/>
          <w:lang w:eastAsia="zh-CN"/>
        </w:rPr>
      </w:pPr>
      <w:r>
        <w:rPr>
          <w:rFonts w:hint="eastAsia"/>
          <w:spacing w:val="-1"/>
          <w:sz w:val="24"/>
          <w:lang w:eastAsia="zh-CN"/>
        </w:rPr>
        <w:t>及技术交底、现场复核检查等情况需在12小时内派人员到场解决，并按采购人要求的相应时间完成（除重大变更外，90小时内必须提交书面成果）。</w:t>
      </w:r>
    </w:p>
    <w:p w14:paraId="2C2766DC">
      <w:pPr>
        <w:spacing w:before="183" w:line="312" w:lineRule="auto"/>
        <w:ind w:left="8" w:right="73" w:firstLine="485"/>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val="en-US" w:eastAsia="zh-CN"/>
        </w:rPr>
        <w:t>7</w:t>
      </w:r>
      <w:r>
        <w:rPr>
          <w:rFonts w:hint="eastAsia" w:asciiTheme="minorEastAsia" w:hAnsiTheme="minorEastAsia" w:eastAsiaTheme="minorEastAsia" w:cstheme="minorEastAsia"/>
          <w:b/>
          <w:bCs/>
          <w:sz w:val="24"/>
          <w:szCs w:val="24"/>
          <w:lang w:eastAsia="zh-CN"/>
        </w:rPr>
        <w:t>、履约验收：</w:t>
      </w:r>
      <w:r>
        <w:rPr>
          <w:rFonts w:hint="eastAsia" w:asciiTheme="minorEastAsia" w:hAnsiTheme="minorEastAsia" w:eastAsiaTheme="minorEastAsia" w:cstheme="minorEastAsia"/>
          <w:sz w:val="24"/>
          <w:szCs w:val="24"/>
          <w:lang w:eastAsia="zh-CN"/>
        </w:rPr>
        <w:t>供应商完成成果报告后，采</w:t>
      </w:r>
      <w:r>
        <w:rPr>
          <w:rFonts w:hint="eastAsia" w:asciiTheme="minorEastAsia" w:hAnsiTheme="minorEastAsia" w:eastAsiaTheme="minorEastAsia" w:cstheme="minorEastAsia"/>
          <w:spacing w:val="-1"/>
          <w:sz w:val="24"/>
          <w:szCs w:val="24"/>
          <w:lang w:eastAsia="zh-CN"/>
        </w:rPr>
        <w:t>购人组织对成果文件验收。供应商应严</w:t>
      </w:r>
      <w:r>
        <w:rPr>
          <w:rFonts w:hint="eastAsia" w:asciiTheme="minorEastAsia" w:hAnsiTheme="minorEastAsia" w:eastAsiaTheme="minorEastAsia" w:cstheme="minorEastAsia"/>
          <w:sz w:val="24"/>
          <w:szCs w:val="24"/>
          <w:lang w:eastAsia="zh-CN"/>
        </w:rPr>
        <w:t>格按采购人指定地点、时间、标准完成服务项目，并保证所</w:t>
      </w:r>
      <w:r>
        <w:rPr>
          <w:rFonts w:hint="eastAsia" w:asciiTheme="minorEastAsia" w:hAnsiTheme="minorEastAsia" w:eastAsiaTheme="minorEastAsia" w:cstheme="minorEastAsia"/>
          <w:spacing w:val="-1"/>
          <w:sz w:val="24"/>
          <w:szCs w:val="24"/>
          <w:lang w:eastAsia="zh-CN"/>
        </w:rPr>
        <w:t>有的服务质量达到国家规</w:t>
      </w:r>
      <w:r>
        <w:rPr>
          <w:rFonts w:hint="eastAsia" w:asciiTheme="minorEastAsia" w:hAnsiTheme="minorEastAsia" w:eastAsiaTheme="minorEastAsia" w:cstheme="minorEastAsia"/>
          <w:spacing w:val="-2"/>
          <w:sz w:val="24"/>
          <w:szCs w:val="24"/>
          <w:lang w:eastAsia="zh-CN"/>
        </w:rPr>
        <w:t>定的标准。</w:t>
      </w:r>
    </w:p>
    <w:p w14:paraId="7EA1CC93">
      <w:pPr>
        <w:spacing w:before="182" w:line="219" w:lineRule="auto"/>
        <w:ind w:left="29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pacing w:val="-3"/>
          <w:sz w:val="24"/>
          <w:szCs w:val="24"/>
          <w:lang w:eastAsia="zh-CN"/>
        </w:rPr>
        <w:t>(1)在规定时间保质保量完成采购人交给的任务。</w:t>
      </w:r>
    </w:p>
    <w:p w14:paraId="20322E9F">
      <w:pPr>
        <w:spacing w:before="181" w:line="219" w:lineRule="auto"/>
        <w:ind w:left="29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pacing w:val="-1"/>
          <w:sz w:val="24"/>
          <w:szCs w:val="24"/>
          <w:lang w:eastAsia="zh-CN"/>
        </w:rPr>
        <w:t>(2)严格遵守采购人的所有的规定、制度</w:t>
      </w:r>
      <w:r>
        <w:rPr>
          <w:rFonts w:hint="eastAsia" w:asciiTheme="minorEastAsia" w:hAnsiTheme="minorEastAsia" w:eastAsiaTheme="minorEastAsia" w:cstheme="minorEastAsia"/>
          <w:spacing w:val="-2"/>
          <w:sz w:val="24"/>
          <w:szCs w:val="24"/>
          <w:lang w:eastAsia="zh-CN"/>
        </w:rPr>
        <w:t>，不给采购人造成经济和信誉的损失。</w:t>
      </w:r>
    </w:p>
    <w:p w14:paraId="4033501F">
      <w:pPr>
        <w:spacing w:before="148" w:line="324" w:lineRule="auto"/>
        <w:ind w:right="73" w:firstLine="236" w:firstLineChars="100"/>
        <w:rPr>
          <w:rFonts w:hint="eastAsia" w:asciiTheme="minorEastAsia" w:hAnsiTheme="minorEastAsia" w:eastAsiaTheme="minorEastAsia" w:cstheme="minorEastAsia"/>
          <w:spacing w:val="-3"/>
          <w:sz w:val="24"/>
          <w:szCs w:val="24"/>
          <w:lang w:eastAsia="zh-CN"/>
        </w:rPr>
      </w:pPr>
      <w:r>
        <w:rPr>
          <w:rFonts w:hint="eastAsia" w:asciiTheme="minorEastAsia" w:hAnsiTheme="minorEastAsia" w:eastAsiaTheme="minorEastAsia" w:cstheme="minorEastAsia"/>
          <w:spacing w:val="-2"/>
          <w:sz w:val="24"/>
          <w:szCs w:val="24"/>
          <w:lang w:eastAsia="zh-CN"/>
        </w:rPr>
        <w:t>(3)项目的执行能够达到采购人所要求的</w:t>
      </w:r>
      <w:r>
        <w:rPr>
          <w:rFonts w:hint="eastAsia" w:asciiTheme="minorEastAsia" w:hAnsiTheme="minorEastAsia" w:eastAsiaTheme="minorEastAsia" w:cstheme="minorEastAsia"/>
          <w:spacing w:val="-3"/>
          <w:sz w:val="24"/>
          <w:szCs w:val="24"/>
          <w:lang w:eastAsia="zh-CN"/>
        </w:rPr>
        <w:t>预期目标。</w:t>
      </w:r>
    </w:p>
    <w:p w14:paraId="0B957E3F">
      <w:pPr>
        <w:spacing w:before="148" w:line="324" w:lineRule="auto"/>
        <w:ind w:left="8" w:right="73" w:firstLine="48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val="en-US" w:eastAsia="zh-CN"/>
        </w:rPr>
        <w:t>8、</w:t>
      </w:r>
      <w:r>
        <w:rPr>
          <w:rFonts w:hint="eastAsia" w:asciiTheme="minorEastAsia" w:hAnsiTheme="minorEastAsia" w:eastAsiaTheme="minorEastAsia" w:cstheme="minorEastAsia"/>
          <w:b/>
          <w:bCs/>
          <w:sz w:val="24"/>
          <w:szCs w:val="24"/>
          <w:lang w:eastAsia="zh-CN"/>
        </w:rPr>
        <w:t>报价</w:t>
      </w:r>
      <w:r>
        <w:rPr>
          <w:rFonts w:hint="eastAsia" w:asciiTheme="minorEastAsia" w:hAnsiTheme="minorEastAsia" w:eastAsiaTheme="minorEastAsia" w:cstheme="minorEastAsia"/>
          <w:sz w:val="24"/>
          <w:szCs w:val="24"/>
          <w:lang w:eastAsia="zh-CN"/>
        </w:rPr>
        <w:t>：报价中必须包含完成本项目的所有外业、内业发生</w:t>
      </w:r>
      <w:r>
        <w:rPr>
          <w:rFonts w:hint="eastAsia" w:asciiTheme="minorEastAsia" w:hAnsiTheme="minorEastAsia" w:eastAsiaTheme="minorEastAsia" w:cstheme="minorEastAsia"/>
          <w:spacing w:val="-1"/>
          <w:sz w:val="24"/>
          <w:szCs w:val="24"/>
          <w:lang w:eastAsia="zh-CN"/>
        </w:rPr>
        <w:t>的人工费、设备使用费、材</w:t>
      </w:r>
      <w:r>
        <w:rPr>
          <w:rFonts w:hint="eastAsia" w:asciiTheme="minorEastAsia" w:hAnsiTheme="minorEastAsia" w:eastAsiaTheme="minorEastAsia" w:cstheme="minorEastAsia"/>
          <w:sz w:val="24"/>
          <w:szCs w:val="24"/>
          <w:lang w:eastAsia="zh-CN"/>
        </w:rPr>
        <w:t>料费、交通费、文档和图档的打印、装订及寄送费用、成果</w:t>
      </w:r>
      <w:r>
        <w:rPr>
          <w:rFonts w:hint="eastAsia" w:asciiTheme="minorEastAsia" w:hAnsiTheme="minorEastAsia" w:eastAsiaTheme="minorEastAsia" w:cstheme="minorEastAsia"/>
          <w:spacing w:val="-1"/>
          <w:sz w:val="24"/>
          <w:szCs w:val="24"/>
          <w:lang w:eastAsia="zh-CN"/>
        </w:rPr>
        <w:t>编制（前期相关论证及相</w:t>
      </w:r>
      <w:r>
        <w:rPr>
          <w:rFonts w:hint="eastAsia" w:asciiTheme="minorEastAsia" w:hAnsiTheme="minorEastAsia" w:eastAsiaTheme="minorEastAsia" w:cstheme="minorEastAsia"/>
          <w:sz w:val="24"/>
          <w:szCs w:val="24"/>
          <w:lang w:eastAsia="zh-CN"/>
        </w:rPr>
        <w:t>关成果评审费） 、全额含税发票、合同实施过程中的应预见</w:t>
      </w:r>
      <w:r>
        <w:rPr>
          <w:rFonts w:hint="eastAsia" w:asciiTheme="minorEastAsia" w:hAnsiTheme="minorEastAsia" w:eastAsiaTheme="minorEastAsia" w:cstheme="minorEastAsia"/>
          <w:spacing w:val="-1"/>
          <w:sz w:val="24"/>
          <w:szCs w:val="24"/>
          <w:lang w:eastAsia="zh-CN"/>
        </w:rPr>
        <w:t>和不可预见费用等完成合同规定责任和义务、达到合同目的的一切费用及企业利润。</w:t>
      </w:r>
    </w:p>
    <w:p w14:paraId="0118E738">
      <w:pPr>
        <w:spacing w:before="184" w:line="331" w:lineRule="auto"/>
        <w:ind w:left="10" w:right="112" w:firstLine="479"/>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pacing w:val="-1"/>
          <w:sz w:val="24"/>
          <w:szCs w:val="24"/>
          <w:lang w:val="en-US" w:eastAsia="zh-CN"/>
        </w:rPr>
        <w:t>9、</w:t>
      </w:r>
      <w:r>
        <w:rPr>
          <w:rFonts w:hint="eastAsia" w:asciiTheme="minorEastAsia" w:hAnsiTheme="minorEastAsia" w:eastAsiaTheme="minorEastAsia" w:cstheme="minorEastAsia"/>
          <w:b/>
          <w:bCs/>
          <w:spacing w:val="-1"/>
          <w:sz w:val="24"/>
          <w:szCs w:val="24"/>
          <w:lang w:eastAsia="zh-CN"/>
        </w:rPr>
        <w:t>保密要求：</w:t>
      </w:r>
      <w:r>
        <w:rPr>
          <w:rFonts w:hint="eastAsia" w:asciiTheme="minorEastAsia" w:hAnsiTheme="minorEastAsia" w:eastAsiaTheme="minorEastAsia" w:cstheme="minorEastAsia"/>
          <w:spacing w:val="-1"/>
          <w:sz w:val="24"/>
          <w:szCs w:val="24"/>
          <w:lang w:eastAsia="zh-CN"/>
        </w:rPr>
        <w:t>成交供应商在项目实施过程中</w:t>
      </w:r>
      <w:r>
        <w:rPr>
          <w:rFonts w:hint="eastAsia" w:asciiTheme="minorEastAsia" w:hAnsiTheme="minorEastAsia" w:eastAsiaTheme="minorEastAsia" w:cstheme="minorEastAsia"/>
          <w:spacing w:val="-2"/>
          <w:sz w:val="24"/>
          <w:szCs w:val="24"/>
          <w:lang w:eastAsia="zh-CN"/>
        </w:rPr>
        <w:t>，对采购人所提供的所有相关资料、</w:t>
      </w:r>
      <w:r>
        <w:rPr>
          <w:rFonts w:hint="eastAsia" w:asciiTheme="minorEastAsia" w:hAnsiTheme="minorEastAsia" w:eastAsiaTheme="minorEastAsia" w:cstheme="minorEastAsia"/>
          <w:sz w:val="24"/>
          <w:szCs w:val="24"/>
          <w:lang w:eastAsia="zh-CN"/>
        </w:rPr>
        <w:t>数据，未经采购人书面同意不得向任何第三人泄露，且</w:t>
      </w:r>
      <w:r>
        <w:rPr>
          <w:rFonts w:hint="eastAsia" w:asciiTheme="minorEastAsia" w:hAnsiTheme="minorEastAsia" w:eastAsiaTheme="minorEastAsia" w:cstheme="minorEastAsia"/>
          <w:spacing w:val="-1"/>
          <w:sz w:val="24"/>
          <w:szCs w:val="24"/>
          <w:lang w:eastAsia="zh-CN"/>
        </w:rPr>
        <w:t>保密责任不因合同的终止或解</w:t>
      </w:r>
      <w:r>
        <w:rPr>
          <w:rFonts w:hint="eastAsia" w:asciiTheme="minorEastAsia" w:hAnsiTheme="minorEastAsia" w:eastAsiaTheme="minorEastAsia" w:cstheme="minorEastAsia"/>
          <w:sz w:val="24"/>
          <w:szCs w:val="24"/>
          <w:lang w:eastAsia="zh-CN"/>
        </w:rPr>
        <w:t>除而失效。如采购人提出要求，成交供应商须无条件与</w:t>
      </w:r>
      <w:r>
        <w:rPr>
          <w:rFonts w:hint="eastAsia" w:asciiTheme="minorEastAsia" w:hAnsiTheme="minorEastAsia" w:eastAsiaTheme="minorEastAsia" w:cstheme="minorEastAsia"/>
          <w:spacing w:val="-1"/>
          <w:sz w:val="24"/>
          <w:szCs w:val="24"/>
          <w:lang w:eastAsia="zh-CN"/>
        </w:rPr>
        <w:t>采购人签定保密协议。项目完</w:t>
      </w:r>
      <w:r>
        <w:rPr>
          <w:rFonts w:hint="eastAsia" w:asciiTheme="minorEastAsia" w:hAnsiTheme="minorEastAsia" w:eastAsiaTheme="minorEastAsia" w:cstheme="minorEastAsia"/>
          <w:sz w:val="24"/>
          <w:szCs w:val="24"/>
          <w:lang w:eastAsia="zh-CN"/>
        </w:rPr>
        <w:t>成后，成交供应商须把采购人提供的所有资料、数据完</w:t>
      </w:r>
      <w:r>
        <w:rPr>
          <w:rFonts w:hint="eastAsia" w:asciiTheme="minorEastAsia" w:hAnsiTheme="minorEastAsia" w:eastAsiaTheme="minorEastAsia" w:cstheme="minorEastAsia"/>
          <w:spacing w:val="-1"/>
          <w:sz w:val="24"/>
          <w:szCs w:val="24"/>
          <w:lang w:eastAsia="zh-CN"/>
        </w:rPr>
        <w:t>整归还采购人，并不得留存任</w:t>
      </w:r>
      <w:r>
        <w:rPr>
          <w:rFonts w:hint="eastAsia" w:asciiTheme="minorEastAsia" w:hAnsiTheme="minorEastAsia" w:eastAsiaTheme="minorEastAsia" w:cstheme="minorEastAsia"/>
          <w:spacing w:val="-3"/>
          <w:sz w:val="24"/>
          <w:szCs w:val="24"/>
          <w:lang w:eastAsia="zh-CN"/>
        </w:rPr>
        <w:t>何复制品。</w:t>
      </w:r>
    </w:p>
    <w:p w14:paraId="336B08E4">
      <w:pPr>
        <w:spacing w:before="177" w:line="313" w:lineRule="auto"/>
        <w:ind w:left="10" w:right="193" w:firstLine="495"/>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pacing w:val="-1"/>
          <w:sz w:val="24"/>
          <w:szCs w:val="24"/>
          <w:lang w:val="en-US" w:eastAsia="zh-CN"/>
        </w:rPr>
        <w:t>10、</w:t>
      </w:r>
      <w:r>
        <w:rPr>
          <w:rFonts w:hint="eastAsia" w:asciiTheme="minorEastAsia" w:hAnsiTheme="minorEastAsia" w:eastAsiaTheme="minorEastAsia" w:cstheme="minorEastAsia"/>
          <w:b/>
          <w:bCs/>
          <w:spacing w:val="-1"/>
          <w:sz w:val="24"/>
          <w:szCs w:val="24"/>
          <w:lang w:eastAsia="zh-CN"/>
        </w:rPr>
        <w:t>风险承担：</w:t>
      </w:r>
      <w:r>
        <w:rPr>
          <w:rFonts w:hint="eastAsia" w:asciiTheme="minorEastAsia" w:hAnsiTheme="minorEastAsia" w:eastAsiaTheme="minorEastAsia" w:cstheme="minorEastAsia"/>
          <w:spacing w:val="-1"/>
          <w:sz w:val="24"/>
          <w:szCs w:val="24"/>
          <w:lang w:eastAsia="zh-CN"/>
        </w:rPr>
        <w:t>成交供应商应保证采购人在使用所采购的服务任何一部分时，免受第三方提</w:t>
      </w:r>
      <w:r>
        <w:rPr>
          <w:rFonts w:hint="eastAsia" w:asciiTheme="minorEastAsia" w:hAnsiTheme="minorEastAsia" w:eastAsiaTheme="minorEastAsia" w:cstheme="minorEastAsia"/>
          <w:sz w:val="24"/>
          <w:szCs w:val="24"/>
          <w:lang w:eastAsia="zh-CN"/>
        </w:rPr>
        <w:t>出的侵犯其专利权、商标权或工业设计权等的起诉。如</w:t>
      </w:r>
      <w:r>
        <w:rPr>
          <w:rFonts w:hint="eastAsia" w:asciiTheme="minorEastAsia" w:hAnsiTheme="minorEastAsia" w:eastAsiaTheme="minorEastAsia" w:cstheme="minorEastAsia"/>
          <w:spacing w:val="-1"/>
          <w:sz w:val="24"/>
          <w:szCs w:val="24"/>
          <w:lang w:eastAsia="zh-CN"/>
        </w:rPr>
        <w:t>果任何第三方提出侵权指控，成交供应商须与第三方交涉并承担可能发生的一切法律责任和费用。</w:t>
      </w:r>
    </w:p>
    <w:p w14:paraId="2C40D97D">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b/>
          <w:bCs/>
          <w:spacing w:val="-1"/>
          <w:sz w:val="24"/>
          <w:szCs w:val="24"/>
          <w:lang w:eastAsia="zh-CN"/>
        </w:rPr>
        <w:t>1</w:t>
      </w:r>
      <w:r>
        <w:rPr>
          <w:rFonts w:hint="eastAsia" w:asciiTheme="minorEastAsia" w:hAnsiTheme="minorEastAsia" w:eastAsiaTheme="minorEastAsia" w:cstheme="minorEastAsia"/>
          <w:b/>
          <w:bCs/>
          <w:spacing w:val="-1"/>
          <w:sz w:val="24"/>
          <w:szCs w:val="24"/>
          <w:lang w:val="en-US" w:eastAsia="zh-CN"/>
        </w:rPr>
        <w:t>1</w:t>
      </w:r>
      <w:r>
        <w:rPr>
          <w:rFonts w:hint="eastAsia" w:asciiTheme="minorEastAsia" w:hAnsiTheme="minorEastAsia" w:eastAsiaTheme="minorEastAsia" w:cstheme="minorEastAsia"/>
          <w:b/>
          <w:bCs/>
          <w:spacing w:val="-1"/>
          <w:sz w:val="24"/>
          <w:szCs w:val="24"/>
          <w:lang w:eastAsia="zh-CN"/>
        </w:rPr>
        <w:t>、现场勘查</w:t>
      </w:r>
      <w:r>
        <w:rPr>
          <w:rFonts w:hint="eastAsia" w:asciiTheme="minorEastAsia" w:hAnsiTheme="minorEastAsia" w:eastAsiaTheme="minorEastAsia" w:cstheme="minorEastAsia"/>
          <w:spacing w:val="-1"/>
          <w:sz w:val="24"/>
          <w:szCs w:val="24"/>
          <w:lang w:eastAsia="zh-CN"/>
        </w:rPr>
        <w:t>：采购人不组织现场考察踏勘。供应商自行安排时间进行实地考察，以获得由</w:t>
      </w:r>
      <w:r>
        <w:rPr>
          <w:rFonts w:hint="eastAsia" w:asciiTheme="minorEastAsia" w:hAnsiTheme="minorEastAsia" w:eastAsiaTheme="minorEastAsia" w:cstheme="minorEastAsia"/>
          <w:sz w:val="24"/>
          <w:szCs w:val="24"/>
          <w:lang w:eastAsia="zh-CN"/>
        </w:rPr>
        <w:t>响应供应商自己负责的有关编制投标文件和签署合同的</w:t>
      </w:r>
      <w:r>
        <w:rPr>
          <w:rFonts w:hint="eastAsia" w:asciiTheme="minorEastAsia" w:hAnsiTheme="minorEastAsia" w:eastAsiaTheme="minorEastAsia" w:cstheme="minorEastAsia"/>
          <w:spacing w:val="-1"/>
          <w:sz w:val="24"/>
          <w:szCs w:val="24"/>
          <w:lang w:eastAsia="zh-CN"/>
        </w:rPr>
        <w:t>所有信息，一旦成交这种考察</w:t>
      </w:r>
      <w:r>
        <w:rPr>
          <w:rFonts w:hint="eastAsia" w:asciiTheme="minorEastAsia" w:hAnsiTheme="minorEastAsia" w:eastAsiaTheme="minorEastAsia" w:cstheme="minorEastAsia"/>
          <w:sz w:val="24"/>
          <w:szCs w:val="24"/>
          <w:lang w:eastAsia="zh-CN"/>
        </w:rPr>
        <w:t>即被认为其结果已在投标文件中的充分反映。考察现场</w:t>
      </w:r>
      <w:r>
        <w:rPr>
          <w:rFonts w:hint="eastAsia" w:asciiTheme="minorEastAsia" w:hAnsiTheme="minorEastAsia" w:eastAsiaTheme="minorEastAsia" w:cstheme="minorEastAsia"/>
          <w:spacing w:val="-1"/>
          <w:sz w:val="24"/>
          <w:szCs w:val="24"/>
          <w:lang w:eastAsia="zh-CN"/>
        </w:rPr>
        <w:t>的费用由投标人自行承担，供应商自行负责在踏勘现场中所发生的人员伤亡和财产损失；如涉及井道整改等费用发生，由成交供应商自行承担。</w:t>
      </w:r>
    </w:p>
    <w:p w14:paraId="4EE45A67">
      <w:pPr>
        <w:spacing w:before="180" w:line="324" w:lineRule="auto"/>
        <w:ind w:left="10" w:right="193" w:firstLine="495"/>
        <w:rPr>
          <w:rFonts w:hint="eastAsia" w:asciiTheme="minorEastAsia" w:hAnsiTheme="minorEastAsia" w:eastAsiaTheme="minorEastAsia" w:cstheme="minorEastAsia"/>
          <w:b/>
          <w:bCs/>
          <w:spacing w:val="-1"/>
          <w:sz w:val="24"/>
          <w:szCs w:val="24"/>
          <w:lang w:eastAsia="zh-CN"/>
        </w:rPr>
      </w:pPr>
      <w:r>
        <w:rPr>
          <w:rFonts w:hint="eastAsia" w:asciiTheme="minorEastAsia" w:hAnsiTheme="minorEastAsia" w:eastAsiaTheme="minorEastAsia" w:cstheme="minorEastAsia"/>
          <w:b/>
          <w:bCs/>
          <w:spacing w:val="-1"/>
          <w:sz w:val="24"/>
          <w:szCs w:val="24"/>
          <w:lang w:eastAsia="zh-CN"/>
        </w:rPr>
        <w:t>1</w:t>
      </w:r>
      <w:r>
        <w:rPr>
          <w:rFonts w:hint="eastAsia" w:asciiTheme="minorEastAsia" w:hAnsiTheme="minorEastAsia" w:eastAsiaTheme="minorEastAsia" w:cstheme="minorEastAsia"/>
          <w:b/>
          <w:bCs/>
          <w:spacing w:val="-1"/>
          <w:sz w:val="24"/>
          <w:szCs w:val="24"/>
          <w:lang w:val="en-US" w:eastAsia="zh-CN"/>
        </w:rPr>
        <w:t>2</w:t>
      </w:r>
      <w:r>
        <w:rPr>
          <w:rFonts w:hint="eastAsia" w:asciiTheme="minorEastAsia" w:hAnsiTheme="minorEastAsia" w:eastAsiaTheme="minorEastAsia" w:cstheme="minorEastAsia"/>
          <w:b/>
          <w:bCs/>
          <w:spacing w:val="-1"/>
          <w:sz w:val="24"/>
          <w:szCs w:val="24"/>
          <w:lang w:eastAsia="zh-CN"/>
        </w:rPr>
        <w:t>、违约责任：</w:t>
      </w:r>
    </w:p>
    <w:p w14:paraId="296CF647">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(1)成交供应商不得将合同义务转交他人履行，违者，对方可解除合同及索赔损失。</w:t>
      </w:r>
    </w:p>
    <w:p w14:paraId="5430BD49">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(2)成交供应商逾期的，采购人有权解除合同，索赔损失。</w:t>
      </w:r>
    </w:p>
    <w:p w14:paraId="6CDA7BE6">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(3)成交供应商所交付的成果不符合合同规定的，采购人有权拒收，成交供应商应及时予以修正，并承担相应费用和逾期交货责任。</w:t>
      </w:r>
    </w:p>
    <w:p w14:paraId="14D0135B">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(4)因成交供应商所提供成果出现问题而引起纠纷，发生的费用由主张不成立的一方承担 。</w:t>
      </w:r>
    </w:p>
    <w:p w14:paraId="0D8333A6">
      <w:pPr>
        <w:spacing w:before="180" w:line="324" w:lineRule="auto"/>
        <w:ind w:left="10" w:right="193" w:firstLine="495"/>
        <w:rPr>
          <w:rFonts w:hint="eastAsia" w:asciiTheme="minorEastAsia" w:hAnsiTheme="minorEastAsia" w:eastAsiaTheme="minorEastAsia" w:cstheme="minorEastAsia"/>
          <w:b/>
          <w:bCs/>
          <w:spacing w:val="-1"/>
          <w:sz w:val="24"/>
          <w:szCs w:val="24"/>
          <w:lang w:eastAsia="zh-CN"/>
        </w:rPr>
      </w:pPr>
      <w:r>
        <w:rPr>
          <w:rFonts w:hint="eastAsia" w:asciiTheme="minorEastAsia" w:hAnsiTheme="minorEastAsia" w:eastAsiaTheme="minorEastAsia" w:cstheme="minorEastAsia"/>
          <w:b/>
          <w:bCs/>
          <w:spacing w:val="-1"/>
          <w:sz w:val="24"/>
          <w:szCs w:val="24"/>
          <w:lang w:eastAsia="zh-CN"/>
        </w:rPr>
        <w:t>1</w:t>
      </w:r>
      <w:r>
        <w:rPr>
          <w:rFonts w:hint="eastAsia" w:asciiTheme="minorEastAsia" w:hAnsiTheme="minorEastAsia" w:eastAsiaTheme="minorEastAsia" w:cstheme="minorEastAsia"/>
          <w:b/>
          <w:bCs/>
          <w:spacing w:val="-1"/>
          <w:sz w:val="24"/>
          <w:szCs w:val="24"/>
          <w:lang w:val="en-US" w:eastAsia="zh-CN"/>
        </w:rPr>
        <w:t>3</w:t>
      </w:r>
      <w:r>
        <w:rPr>
          <w:rFonts w:hint="eastAsia" w:asciiTheme="minorEastAsia" w:hAnsiTheme="minorEastAsia" w:eastAsiaTheme="minorEastAsia" w:cstheme="minorEastAsia"/>
          <w:b/>
          <w:bCs/>
          <w:spacing w:val="-1"/>
          <w:sz w:val="24"/>
          <w:szCs w:val="24"/>
          <w:lang w:eastAsia="zh-CN"/>
        </w:rPr>
        <w:t>、其他：</w:t>
      </w:r>
    </w:p>
    <w:p w14:paraId="7D611382">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（1）进度满足采购人要求，按照相关文件要求完成工作内容，确保成果质量，通过技术审查。</w:t>
      </w:r>
    </w:p>
    <w:p w14:paraId="103668E0">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（2）成交供应商在项目实施或服务过程中发生的人员、质量事故，或因成交供应商管理不善等原因造成的人员伤亡等责任事故均由成交供应商负责，采购人不承担任何法律及经济责任。</w:t>
      </w:r>
    </w:p>
    <w:p w14:paraId="12621C97">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（3）成交供应商不得转包、分包，也不得挂靠公司。如提供虚假资料的，一经发现立即解除合同并报采购监管部门。</w:t>
      </w:r>
    </w:p>
    <w:p w14:paraId="58EF7DB5">
      <w:pPr>
        <w:spacing w:before="180" w:line="324" w:lineRule="auto"/>
        <w:ind w:left="10" w:right="193" w:firstLine="495"/>
        <w:rPr>
          <w:rFonts w:hint="eastAsia" w:asciiTheme="minorEastAsia" w:hAnsiTheme="minorEastAsia" w:eastAsiaTheme="minorEastAsia" w:cstheme="minorEastAsia"/>
          <w:spacing w:val="-1"/>
          <w:sz w:val="24"/>
          <w:szCs w:val="24"/>
          <w:lang w:eastAsia="zh-CN"/>
        </w:rPr>
      </w:pPr>
      <w:r>
        <w:rPr>
          <w:rFonts w:hint="eastAsia" w:asciiTheme="minorEastAsia" w:hAnsiTheme="minorEastAsia" w:eastAsiaTheme="minorEastAsia" w:cstheme="minorEastAsia"/>
          <w:spacing w:val="-1"/>
          <w:sz w:val="24"/>
          <w:szCs w:val="24"/>
          <w:lang w:eastAsia="zh-CN"/>
        </w:rPr>
        <w:t>（4）未尽事宜，以签订合同为准。</w:t>
      </w:r>
    </w:p>
    <w:p w14:paraId="76B67313">
      <w:pPr>
        <w:pStyle w:val="3"/>
        <w:spacing w:line="420" w:lineRule="exact"/>
        <w:ind w:firstLine="482" w:firstLineChars="200"/>
        <w:jc w:val="both"/>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注：以上采购需求及商务要求为实质性要求，采购人不接受任何形式的负偏离。</w:t>
      </w:r>
    </w:p>
    <w:p w14:paraId="3A84329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CB55BC"/>
    <w:multiLevelType w:val="singleLevel"/>
    <w:tmpl w:val="BDCB55BC"/>
    <w:lvl w:ilvl="0" w:tentative="0">
      <w:start w:val="2"/>
      <w:numFmt w:val="decimal"/>
      <w:suff w:val="nothing"/>
      <w:lvlText w:val="（%1）"/>
      <w:lvlJc w:val="left"/>
    </w:lvl>
  </w:abstractNum>
  <w:abstractNum w:abstractNumId="1">
    <w:nsid w:val="D945670E"/>
    <w:multiLevelType w:val="singleLevel"/>
    <w:tmpl w:val="D945670E"/>
    <w:lvl w:ilvl="0" w:tentative="0">
      <w:start w:val="1"/>
      <w:numFmt w:val="decimal"/>
      <w:suff w:val="nothing"/>
      <w:lvlText w:val="%1、"/>
      <w:lvlJc w:val="left"/>
    </w:lvl>
  </w:abstractNum>
  <w:abstractNum w:abstractNumId="2">
    <w:nsid w:val="6E028136"/>
    <w:multiLevelType w:val="singleLevel"/>
    <w:tmpl w:val="6E028136"/>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4A62B5"/>
    <w:rsid w:val="274A62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style>
  <w:style w:type="paragraph" w:styleId="3">
    <w:name w:val="Body Text First Indent"/>
    <w:basedOn w:val="2"/>
    <w:qFormat/>
    <w:uiPriority w:val="0"/>
    <w:pPr>
      <w:ind w:firstLine="420" w:firstLineChars="100"/>
    </w:p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宋体" w:hAnsi="宋体" w:eastAsia="宋体" w:cs="宋体"/>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2026-05-14T09:45:00Z</dcterms:created>
  <dc:creator>Administrator</dc:creator>
  <cp:lastModifiedBy>Administrator</cp:lastModifiedBy>
  <dcterms:modified xsi:type="dcterms:W3CDTF">2026-05-14T09:46:10Z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5F48BB4E57CA48A3A3F79B3AB86A43F9_11</vt:lpwstr>
  </property>
  <property fmtid="{D5CDD505-2E9C-101B-9397-08002B2CF9AE}" pid="4" name="KSOTemplateDocerSaveRecord">
    <vt:lpwstr>eyJoZGlkIjoiZjlmNThhMDBhMzAwYTdiYWQ3MzZmOWYxNzBhMWQ2YTQiLCJ1c2VySWQiOiI3MDc1ODI4NDUifQ==</vt:lpwstr>
  </property>
</Properties>
</file>