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B33E45">
      <w:pPr>
        <w:pageBreakBefore w:val="0"/>
        <w:widowControl w:val="0"/>
        <w:wordWrap/>
        <w:overflowPunct/>
        <w:topLinePunct w:val="0"/>
        <w:bidi w:val="0"/>
        <w:spacing w:before="47" w:line="219" w:lineRule="auto"/>
        <w:ind w:left="3805"/>
        <w:outlineLvl w:val="1"/>
        <w:rPr>
          <w:rFonts w:ascii="宋体" w:hAnsi="宋体" w:eastAsia="宋体" w:cs="宋体"/>
          <w:color w:val="auto"/>
          <w:sz w:val="30"/>
          <w:szCs w:val="30"/>
          <w:highlight w:val="none"/>
        </w:rPr>
      </w:pPr>
      <w:r>
        <w:rPr>
          <w:rFonts w:ascii="宋体" w:hAnsi="宋体" w:eastAsia="宋体" w:cs="宋体"/>
          <w:color w:val="auto"/>
          <w:spacing w:val="-2"/>
          <w:sz w:val="30"/>
          <w:szCs w:val="30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</w:t>
      </w:r>
      <w:r>
        <w:rPr>
          <w:rFonts w:hint="eastAsia" w:ascii="宋体" w:hAnsi="宋体" w:eastAsia="宋体" w:cs="宋体"/>
          <w:color w:val="auto"/>
          <w:spacing w:val="-2"/>
          <w:sz w:val="30"/>
          <w:szCs w:val="30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要</w:t>
      </w:r>
      <w:r>
        <w:rPr>
          <w:rFonts w:ascii="宋体" w:hAnsi="宋体" w:eastAsia="宋体" w:cs="宋体"/>
          <w:color w:val="auto"/>
          <w:spacing w:val="-2"/>
          <w:sz w:val="30"/>
          <w:szCs w:val="30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求</w:t>
      </w:r>
    </w:p>
    <w:p w14:paraId="61AAB8B0">
      <w:pPr>
        <w:pageBreakBefore w:val="0"/>
        <w:widowControl w:val="0"/>
        <w:wordWrap/>
        <w:overflowPunct/>
        <w:topLinePunct w:val="0"/>
        <w:bidi w:val="0"/>
        <w:spacing w:line="258" w:lineRule="auto"/>
        <w:rPr>
          <w:color w:val="auto"/>
          <w:highlight w:val="none"/>
        </w:rPr>
      </w:pPr>
    </w:p>
    <w:p w14:paraId="0F0C75E2">
      <w:pPr>
        <w:pageBreakBefore w:val="0"/>
        <w:widowControl w:val="0"/>
        <w:numPr>
          <w:ilvl w:val="0"/>
          <w:numId w:val="1"/>
        </w:numPr>
        <w:wordWrap/>
        <w:overflowPunct/>
        <w:topLinePunct w:val="0"/>
        <w:bidi w:val="0"/>
        <w:spacing w:line="240" w:lineRule="auto"/>
        <w:rPr>
          <w:rFonts w:hint="eastAsia" w:ascii="宋体" w:hAnsi="宋体" w:eastAsia="宋体" w:cs="宋体"/>
          <w:b/>
          <w:bCs/>
          <w:color w:val="auto"/>
          <w:spacing w:val="-5"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b/>
          <w:bCs/>
          <w:color w:val="auto"/>
          <w:spacing w:val="-5"/>
          <w:sz w:val="28"/>
          <w:szCs w:val="28"/>
          <w:highlight w:val="none"/>
          <w:lang w:val="en-US" w:eastAsia="zh-CN"/>
        </w:rPr>
        <w:t>服务</w:t>
      </w:r>
      <w:r>
        <w:rPr>
          <w:rFonts w:hint="eastAsia" w:ascii="宋体" w:hAnsi="宋体" w:eastAsia="宋体" w:cs="宋体"/>
          <w:b/>
          <w:bCs/>
          <w:color w:val="auto"/>
          <w:spacing w:val="-5"/>
          <w:sz w:val="28"/>
          <w:szCs w:val="28"/>
          <w:highlight w:val="none"/>
        </w:rPr>
        <w:t>需求</w:t>
      </w:r>
    </w:p>
    <w:p w14:paraId="6CBEC64E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0" w:afterAutospacing="0" w:line="240" w:lineRule="auto"/>
        <w:ind w:left="0" w:leftChars="0" w:right="0" w:rightChars="0"/>
        <w:jc w:val="both"/>
        <w:outlineLvl w:val="1"/>
        <w:rPr>
          <w:rFonts w:hint="eastAsia" w:ascii="宋体" w:hAnsi="宋体" w:eastAsia="宋体" w:cs="宋体"/>
          <w:b/>
          <w:bCs/>
          <w:i w:val="0"/>
          <w:strike w:val="0"/>
          <w:color w:val="auto"/>
          <w:kern w:val="0"/>
          <w:sz w:val="28"/>
          <w:szCs w:val="24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strike w:val="0"/>
          <w:snapToGrid w:val="0"/>
          <w:color w:val="auto"/>
          <w:kern w:val="0"/>
          <w:sz w:val="28"/>
          <w:szCs w:val="24"/>
          <w:lang w:val="en-US" w:eastAsia="zh-CN" w:bidi="ar"/>
        </w:rPr>
        <w:t>（1）</w:t>
      </w:r>
      <w:r>
        <w:rPr>
          <w:rFonts w:hint="eastAsia" w:ascii="宋体" w:hAnsi="宋体" w:eastAsia="宋体" w:cs="宋体"/>
          <w:b/>
          <w:bCs/>
          <w:i w:val="0"/>
          <w:strike w:val="0"/>
          <w:color w:val="auto"/>
          <w:kern w:val="0"/>
          <w:sz w:val="28"/>
          <w:szCs w:val="24"/>
          <w:u w:val="none"/>
          <w:lang w:val="en-US" w:eastAsia="zh-CN" w:bidi="ar"/>
        </w:rPr>
        <w:t>项目概况</w:t>
      </w:r>
    </w:p>
    <w:p w14:paraId="2DC4F6C6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0" w:afterAutospacing="0" w:line="240" w:lineRule="auto"/>
        <w:ind w:right="0" w:rightChars="0" w:firstLine="281" w:firstLineChars="100"/>
        <w:jc w:val="both"/>
        <w:outlineLvl w:val="1"/>
        <w:rPr>
          <w:rFonts w:hint="eastAsia" w:ascii="宋体" w:hAnsi="宋体" w:eastAsia="宋体" w:cs="宋体"/>
          <w:b/>
          <w:bCs/>
          <w:i w:val="0"/>
          <w:strike w:val="0"/>
          <w:color w:val="auto"/>
          <w:kern w:val="0"/>
          <w:sz w:val="28"/>
          <w:szCs w:val="24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strike w:val="0"/>
          <w:color w:val="auto"/>
          <w:kern w:val="0"/>
          <w:sz w:val="28"/>
          <w:szCs w:val="24"/>
          <w:u w:val="none"/>
          <w:lang w:val="en-US" w:eastAsia="zh-CN" w:bidi="ar"/>
        </w:rPr>
        <w:t>服务范围</w:t>
      </w:r>
    </w:p>
    <w:p w14:paraId="3A1B521E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120" w:afterAutospacing="0" w:line="240" w:lineRule="auto"/>
        <w:ind w:right="0" w:rightChars="0" w:firstLine="480" w:firstLineChars="200"/>
        <w:jc w:val="both"/>
        <w:rPr>
          <w:rFonts w:eastAsia="宋体"/>
          <w:b w:val="0"/>
          <w:i w:val="0"/>
          <w:strike w:val="0"/>
          <w:color w:val="auto"/>
          <w:sz w:val="24"/>
          <w:szCs w:val="24"/>
          <w:u w:val="none"/>
        </w:rPr>
      </w:pPr>
      <w:r>
        <w:rPr>
          <w:rFonts w:eastAsia="宋体"/>
          <w:b w:val="0"/>
          <w:i w:val="0"/>
          <w:strike w:val="0"/>
          <w:color w:val="auto"/>
          <w:sz w:val="24"/>
          <w:szCs w:val="24"/>
          <w:u w:val="none"/>
        </w:rPr>
        <w:t>定江河：新自来水厂至江头华辉实业有限公司后河段</w:t>
      </w:r>
      <w:r>
        <w:rPr>
          <w:rFonts w:hint="eastAsia" w:eastAsia="宋体"/>
          <w:b w:val="0"/>
          <w:i w:val="0"/>
          <w:strike w:val="0"/>
          <w:color w:val="auto"/>
          <w:sz w:val="24"/>
          <w:szCs w:val="24"/>
          <w:u w:val="none"/>
          <w:lang w:eastAsia="zh-CN"/>
        </w:rPr>
        <w:t>，</w:t>
      </w:r>
      <w:r>
        <w:rPr>
          <w:rFonts w:hint="eastAsia" w:eastAsia="宋体"/>
          <w:b w:val="0"/>
          <w:i w:val="0"/>
          <w:strike w:val="0"/>
          <w:color w:val="auto"/>
          <w:sz w:val="24"/>
          <w:szCs w:val="24"/>
          <w:u w:val="none"/>
          <w:lang w:val="en-US" w:eastAsia="zh-CN"/>
        </w:rPr>
        <w:t>长度23.7 km。</w:t>
      </w:r>
    </w:p>
    <w:p w14:paraId="0487CFB4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120" w:afterAutospacing="0" w:line="240" w:lineRule="auto"/>
        <w:ind w:right="0" w:rightChars="0" w:firstLine="480" w:firstLineChars="200"/>
        <w:jc w:val="both"/>
        <w:rPr>
          <w:rFonts w:hint="eastAsia" w:eastAsia="宋体"/>
          <w:b w:val="0"/>
          <w:i w:val="0"/>
          <w:strike w:val="0"/>
          <w:color w:val="auto"/>
          <w:sz w:val="24"/>
          <w:szCs w:val="24"/>
          <w:u w:val="none"/>
          <w:lang w:val="en-US" w:eastAsia="zh-CN"/>
        </w:rPr>
      </w:pP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石桥水：温泉寨上桥至两江口汇合处</w:t>
      </w:r>
      <w:r>
        <w:rPr>
          <w:rFonts w:eastAsia="宋体"/>
          <w:b w:val="0"/>
          <w:i w:val="0"/>
          <w:strike w:val="0"/>
          <w:color w:val="auto"/>
          <w:sz w:val="24"/>
          <w:szCs w:val="24"/>
          <w:u w:val="none"/>
        </w:rPr>
        <w:t>河段</w:t>
      </w:r>
      <w:r>
        <w:rPr>
          <w:rFonts w:hint="eastAsia" w:eastAsia="宋体"/>
          <w:b w:val="0"/>
          <w:i w:val="0"/>
          <w:strike w:val="0"/>
          <w:color w:val="auto"/>
          <w:sz w:val="24"/>
          <w:szCs w:val="24"/>
          <w:u w:val="none"/>
          <w:lang w:eastAsia="zh-CN"/>
        </w:rPr>
        <w:t>，</w:t>
      </w:r>
      <w:r>
        <w:rPr>
          <w:rFonts w:hint="eastAsia" w:eastAsia="宋体"/>
          <w:b w:val="0"/>
          <w:i w:val="0"/>
          <w:strike w:val="0"/>
          <w:color w:val="auto"/>
          <w:sz w:val="24"/>
          <w:szCs w:val="24"/>
          <w:u w:val="none"/>
          <w:lang w:val="en-US" w:eastAsia="zh-CN"/>
        </w:rPr>
        <w:t>长度3.17 km。</w:t>
      </w:r>
    </w:p>
    <w:p w14:paraId="519F0812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120" w:afterAutospacing="0" w:line="240" w:lineRule="auto"/>
        <w:ind w:right="0" w:rightChars="0" w:firstLine="281" w:firstLineChars="100"/>
        <w:jc w:val="both"/>
        <w:rPr>
          <w:rFonts w:hint="eastAsia" w:ascii="宋体" w:hAnsi="宋体" w:eastAsia="宋体" w:cs="宋体"/>
          <w:b/>
          <w:bCs/>
          <w:i w:val="0"/>
          <w:strike w:val="0"/>
          <w:color w:val="auto"/>
          <w:kern w:val="0"/>
          <w:sz w:val="28"/>
          <w:szCs w:val="24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strike w:val="0"/>
          <w:color w:val="auto"/>
          <w:kern w:val="0"/>
          <w:sz w:val="28"/>
          <w:szCs w:val="24"/>
          <w:u w:val="none"/>
          <w:lang w:val="en-US" w:eastAsia="zh-CN" w:bidi="ar"/>
        </w:rPr>
        <w:t>工作内容</w:t>
      </w:r>
    </w:p>
    <w:p w14:paraId="3873D575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120" w:afterAutospacing="0" w:line="240" w:lineRule="auto"/>
        <w:ind w:right="0" w:rightChars="0" w:firstLine="480" w:firstLineChars="200"/>
        <w:jc w:val="both"/>
        <w:rPr>
          <w:rFonts w:eastAsia="宋体"/>
          <w:b w:val="0"/>
          <w:i w:val="0"/>
          <w:strike w:val="0"/>
          <w:color w:val="auto"/>
          <w:sz w:val="24"/>
          <w:szCs w:val="24"/>
          <w:u w:val="none"/>
          <w:lang w:val="en-US" w:eastAsia="zh-CN"/>
        </w:rPr>
      </w:pPr>
      <w:r>
        <w:rPr>
          <w:rFonts w:hint="eastAsia" w:eastAsia="宋体"/>
          <w:b w:val="0"/>
          <w:i w:val="0"/>
          <w:strike w:val="0"/>
          <w:color w:val="auto"/>
          <w:sz w:val="24"/>
          <w:szCs w:val="24"/>
          <w:u w:val="none"/>
        </w:rPr>
        <w:t>定江河、石桥水城区段26.87km河道水面保洁，定江河定江河堤和石桥水骆家河堤两岸河堤</w:t>
      </w:r>
      <w:r>
        <w:rPr>
          <w:rFonts w:hint="eastAsia" w:eastAsia="宋体"/>
          <w:b w:val="0"/>
          <w:i w:val="0"/>
          <w:strike w:val="0"/>
          <w:color w:val="auto"/>
          <w:sz w:val="24"/>
          <w:szCs w:val="24"/>
          <w:u w:val="none"/>
          <w:lang w:val="en-US" w:eastAsia="zh-CN"/>
        </w:rPr>
        <w:t>管理范围</w:t>
      </w:r>
      <w:r>
        <w:rPr>
          <w:rFonts w:hint="eastAsia" w:eastAsia="宋体"/>
          <w:b w:val="0"/>
          <w:i w:val="0"/>
          <w:strike w:val="0"/>
          <w:color w:val="auto"/>
          <w:sz w:val="24"/>
          <w:szCs w:val="24"/>
          <w:u w:val="none"/>
        </w:rPr>
        <w:t>保洁、除杂，7座景观抬水工程运行管理。</w:t>
      </w:r>
    </w:p>
    <w:p w14:paraId="6ADFF5C3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0" w:afterAutospacing="0" w:line="240" w:lineRule="auto"/>
        <w:ind w:left="-360" w:leftChars="0" w:right="0" w:rightChars="0" w:firstLine="562" w:firstLineChars="200"/>
        <w:jc w:val="both"/>
        <w:outlineLvl w:val="1"/>
        <w:rPr>
          <w:rFonts w:hint="eastAsia" w:ascii="宋体" w:hAnsi="宋体" w:eastAsia="宋体" w:cs="宋体"/>
          <w:b/>
          <w:bCs/>
          <w:i w:val="0"/>
          <w:strike w:val="0"/>
          <w:color w:val="auto"/>
          <w:kern w:val="0"/>
          <w:sz w:val="28"/>
          <w:szCs w:val="24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strike w:val="0"/>
          <w:color w:val="auto"/>
          <w:kern w:val="0"/>
          <w:sz w:val="28"/>
          <w:szCs w:val="24"/>
          <w:u w:val="none"/>
          <w:lang w:val="en-US" w:eastAsia="zh-CN" w:bidi="ar"/>
        </w:rPr>
        <w:t>团队人员要求</w:t>
      </w:r>
    </w:p>
    <w:p w14:paraId="760E2834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Autospacing="0" w:line="240" w:lineRule="auto"/>
        <w:ind w:right="0" w:rightChars="0" w:firstLine="480" w:firstLineChars="200"/>
        <w:jc w:val="both"/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人员配置</w:t>
      </w:r>
      <w:r>
        <w:rPr>
          <w:rFonts w:hint="eastAsia" w:eastAsia="宋体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：</w:t>
      </w: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 xml:space="preserve"> 10人以上</w:t>
      </w:r>
      <w:r>
        <w:rPr>
          <w:rFonts w:hint="eastAsia" w:eastAsia="宋体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。其中：</w:t>
      </w: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项目负责人：1人</w:t>
      </w:r>
      <w:r>
        <w:rPr>
          <w:rFonts w:hint="eastAsia" w:eastAsia="宋体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，</w:t>
      </w: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河道保洁员：</w:t>
      </w:r>
      <w:r>
        <w:rPr>
          <w:rFonts w:hint="eastAsia" w:eastAsia="宋体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不少于7</w:t>
      </w: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人</w:t>
      </w:r>
      <w:r>
        <w:rPr>
          <w:rFonts w:hint="eastAsia" w:eastAsia="宋体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，</w:t>
      </w: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设施运行管理员：</w:t>
      </w:r>
      <w:r>
        <w:rPr>
          <w:rFonts w:hint="eastAsia" w:eastAsia="宋体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不少于</w:t>
      </w: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2人</w:t>
      </w:r>
      <w:r>
        <w:rPr>
          <w:rFonts w:hint="eastAsia" w:eastAsia="宋体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。</w:t>
      </w:r>
    </w:p>
    <w:p w14:paraId="12A9DB28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Autospacing="0" w:line="240" w:lineRule="auto"/>
        <w:ind w:left="0" w:leftChars="0" w:right="0" w:rightChars="0" w:firstLine="480" w:firstLineChars="200"/>
        <w:jc w:val="both"/>
        <w:rPr>
          <w:rFonts w:hint="eastAsia" w:ascii="宋体" w:hAnsi="宋体" w:eastAsia="宋体" w:cs="宋体"/>
          <w:b/>
          <w:bCs/>
          <w:i w:val="0"/>
          <w:strike w:val="0"/>
          <w:color w:val="auto"/>
          <w:kern w:val="0"/>
          <w:sz w:val="28"/>
          <w:szCs w:val="24"/>
          <w:u w:val="none"/>
          <w:lang w:val="en-US" w:eastAsia="zh-CN" w:bidi="ar"/>
        </w:rPr>
      </w:pP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所有人员定员定岗、相对固定，人员变动须报县</w:t>
      </w:r>
      <w:r>
        <w:rPr>
          <w:rFonts w:hint="eastAsia" w:eastAsia="宋体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农业农村水利</w:t>
      </w: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局同意后方可调整。</w:t>
      </w:r>
    </w:p>
    <w:p w14:paraId="778A673B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0" w:afterAutospacing="0" w:line="240" w:lineRule="auto"/>
        <w:ind w:left="-360" w:leftChars="0" w:right="0" w:rightChars="0" w:firstLine="562" w:firstLineChars="200"/>
        <w:jc w:val="both"/>
        <w:outlineLvl w:val="1"/>
        <w:rPr>
          <w:rFonts w:hint="eastAsia" w:ascii="宋体" w:hAnsi="宋体" w:eastAsia="宋体" w:cs="宋体"/>
          <w:b/>
          <w:bCs/>
          <w:i w:val="0"/>
          <w:strike w:val="0"/>
          <w:color w:val="auto"/>
          <w:kern w:val="0"/>
          <w:sz w:val="28"/>
          <w:szCs w:val="24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strike w:val="0"/>
          <w:color w:val="auto"/>
          <w:kern w:val="0"/>
          <w:sz w:val="28"/>
          <w:szCs w:val="24"/>
          <w:u w:val="none"/>
          <w:lang w:val="en-US" w:eastAsia="zh-CN" w:bidi="ar"/>
        </w:rPr>
        <w:t>机械设备配置要求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3"/>
        <w:gridCol w:w="4438"/>
        <w:gridCol w:w="1577"/>
        <w:gridCol w:w="1155"/>
      </w:tblGrid>
      <w:tr w14:paraId="6EFF96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1243" w:type="dxa"/>
            <w:vAlign w:val="center"/>
          </w:tcPr>
          <w:p w14:paraId="332885F6">
            <w:pPr>
              <w:widowControl w:val="0"/>
              <w:bidi w:val="0"/>
              <w:spacing w:line="240" w:lineRule="auto"/>
              <w:jc w:val="center"/>
              <w:rPr>
                <w:rFonts w:hint="default" w:ascii="宋体" w:hAnsi="宋体" w:eastAsia="宋体" w:cs="宋体"/>
                <w:b/>
                <w:bCs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8"/>
                <w:szCs w:val="28"/>
                <w:lang w:val="en-US" w:eastAsia="zh-CN"/>
              </w:rPr>
              <w:t>序号</w:t>
            </w:r>
          </w:p>
        </w:tc>
        <w:tc>
          <w:tcPr>
            <w:tcW w:w="4438" w:type="dxa"/>
            <w:vAlign w:val="center"/>
          </w:tcPr>
          <w:p w14:paraId="7CD7D520">
            <w:pPr>
              <w:widowControl w:val="0"/>
              <w:bidi w:val="0"/>
              <w:spacing w:line="240" w:lineRule="auto"/>
              <w:jc w:val="center"/>
              <w:rPr>
                <w:rFonts w:hint="default" w:ascii="宋体" w:hAnsi="宋体" w:eastAsia="宋体" w:cs="宋体"/>
                <w:b/>
                <w:bCs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8"/>
                <w:szCs w:val="28"/>
                <w:lang w:val="en-US" w:eastAsia="zh-CN"/>
              </w:rPr>
              <w:t>设备名称</w:t>
            </w:r>
          </w:p>
        </w:tc>
        <w:tc>
          <w:tcPr>
            <w:tcW w:w="1577" w:type="dxa"/>
            <w:vAlign w:val="center"/>
          </w:tcPr>
          <w:p w14:paraId="32A46A1B">
            <w:pPr>
              <w:widowControl w:val="0"/>
              <w:bidi w:val="0"/>
              <w:spacing w:line="240" w:lineRule="auto"/>
              <w:jc w:val="center"/>
              <w:rPr>
                <w:rFonts w:hint="default" w:ascii="宋体" w:hAnsi="宋体" w:eastAsia="宋体" w:cs="宋体"/>
                <w:b/>
                <w:bCs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8"/>
                <w:szCs w:val="28"/>
                <w:lang w:val="en-US" w:eastAsia="zh-CN"/>
              </w:rPr>
              <w:t>单位</w:t>
            </w:r>
          </w:p>
        </w:tc>
        <w:tc>
          <w:tcPr>
            <w:tcW w:w="1155" w:type="dxa"/>
            <w:vAlign w:val="center"/>
          </w:tcPr>
          <w:p w14:paraId="4028C4C8">
            <w:pPr>
              <w:widowControl w:val="0"/>
              <w:bidi w:val="0"/>
              <w:spacing w:line="240" w:lineRule="auto"/>
              <w:jc w:val="center"/>
              <w:rPr>
                <w:rFonts w:hint="default" w:ascii="宋体" w:hAnsi="宋体" w:eastAsia="宋体" w:cs="宋体"/>
                <w:b/>
                <w:bCs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8"/>
                <w:szCs w:val="28"/>
                <w:lang w:val="en-US" w:eastAsia="zh-CN"/>
              </w:rPr>
              <w:t>数量</w:t>
            </w:r>
          </w:p>
        </w:tc>
      </w:tr>
      <w:tr w14:paraId="477128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3" w:type="dxa"/>
            <w:vAlign w:val="center"/>
          </w:tcPr>
          <w:p w14:paraId="318397E9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240" w:lineRule="auto"/>
              <w:ind w:right="0" w:rightChars="0"/>
              <w:jc w:val="center"/>
              <w:outlineLvl w:val="1"/>
              <w:rPr>
                <w:rFonts w:hint="default" w:ascii="宋体" w:hAnsi="宋体" w:eastAsia="宋体" w:cs="宋体"/>
                <w:b w:val="0"/>
                <w:bCs w:val="0"/>
                <w:i w:val="0"/>
                <w:strike w:val="0"/>
                <w:color w:val="auto"/>
                <w:kern w:val="0"/>
                <w:sz w:val="28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strike w:val="0"/>
                <w:color w:val="auto"/>
                <w:kern w:val="0"/>
                <w:sz w:val="28"/>
                <w:szCs w:val="24"/>
                <w:u w:val="none"/>
                <w:vertAlign w:val="baseline"/>
                <w:lang w:val="en-US" w:eastAsia="zh-CN" w:bidi="ar"/>
              </w:rPr>
              <w:t>1</w:t>
            </w:r>
          </w:p>
        </w:tc>
        <w:tc>
          <w:tcPr>
            <w:tcW w:w="4438" w:type="dxa"/>
            <w:vAlign w:val="center"/>
          </w:tcPr>
          <w:p w14:paraId="22914031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240" w:lineRule="auto"/>
              <w:ind w:right="0" w:rightChars="0"/>
              <w:jc w:val="center"/>
              <w:outlineLvl w:val="1"/>
              <w:rPr>
                <w:rFonts w:hint="default" w:ascii="宋体" w:hAnsi="宋体" w:eastAsia="宋体" w:cs="宋体"/>
                <w:b w:val="0"/>
                <w:bCs w:val="0"/>
                <w:i w:val="0"/>
                <w:strike w:val="0"/>
                <w:color w:val="auto"/>
                <w:kern w:val="0"/>
                <w:sz w:val="28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strike w:val="0"/>
                <w:color w:val="auto"/>
                <w:kern w:val="0"/>
                <w:sz w:val="28"/>
                <w:szCs w:val="24"/>
                <w:u w:val="none"/>
                <w:vertAlign w:val="baseline"/>
                <w:lang w:val="en-US" w:eastAsia="zh-CN" w:bidi="ar"/>
              </w:rPr>
              <w:t>打捞船</w:t>
            </w:r>
          </w:p>
        </w:tc>
        <w:tc>
          <w:tcPr>
            <w:tcW w:w="1577" w:type="dxa"/>
            <w:vAlign w:val="center"/>
          </w:tcPr>
          <w:p w14:paraId="7E1AB54F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240" w:lineRule="auto"/>
              <w:ind w:right="0" w:rightChars="0"/>
              <w:jc w:val="center"/>
              <w:outlineLvl w:val="1"/>
              <w:rPr>
                <w:rFonts w:hint="default" w:ascii="宋体" w:hAnsi="宋体" w:eastAsia="宋体" w:cs="宋体"/>
                <w:b w:val="0"/>
                <w:bCs w:val="0"/>
                <w:i w:val="0"/>
                <w:strike w:val="0"/>
                <w:color w:val="auto"/>
                <w:kern w:val="0"/>
                <w:sz w:val="28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strike w:val="0"/>
                <w:color w:val="auto"/>
                <w:kern w:val="0"/>
                <w:sz w:val="28"/>
                <w:szCs w:val="24"/>
                <w:u w:val="none"/>
                <w:vertAlign w:val="baseline"/>
                <w:lang w:val="en-US" w:eastAsia="zh-CN" w:bidi="ar"/>
              </w:rPr>
              <w:t>艘</w:t>
            </w:r>
          </w:p>
        </w:tc>
        <w:tc>
          <w:tcPr>
            <w:tcW w:w="1155" w:type="dxa"/>
            <w:vAlign w:val="center"/>
          </w:tcPr>
          <w:p w14:paraId="156D6B18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240" w:lineRule="auto"/>
              <w:ind w:right="0" w:rightChars="0"/>
              <w:jc w:val="center"/>
              <w:outlineLvl w:val="1"/>
              <w:rPr>
                <w:rFonts w:hint="default" w:ascii="宋体" w:hAnsi="宋体" w:eastAsia="宋体" w:cs="宋体"/>
                <w:b w:val="0"/>
                <w:bCs w:val="0"/>
                <w:i w:val="0"/>
                <w:strike w:val="0"/>
                <w:color w:val="auto"/>
                <w:kern w:val="0"/>
                <w:sz w:val="28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strike w:val="0"/>
                <w:color w:val="auto"/>
                <w:kern w:val="0"/>
                <w:sz w:val="28"/>
                <w:szCs w:val="24"/>
                <w:u w:val="none"/>
                <w:vertAlign w:val="baseline"/>
                <w:lang w:val="en-US" w:eastAsia="zh-CN" w:bidi="ar"/>
              </w:rPr>
              <w:t>2</w:t>
            </w:r>
          </w:p>
        </w:tc>
      </w:tr>
      <w:tr w14:paraId="3B6ABF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3" w:type="dxa"/>
            <w:vAlign w:val="center"/>
          </w:tcPr>
          <w:p w14:paraId="69B968A8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240" w:lineRule="auto"/>
              <w:ind w:right="0" w:rightChars="0"/>
              <w:jc w:val="center"/>
              <w:outlineLvl w:val="1"/>
              <w:rPr>
                <w:rFonts w:hint="default" w:ascii="宋体" w:hAnsi="宋体" w:eastAsia="宋体" w:cs="宋体"/>
                <w:b w:val="0"/>
                <w:bCs w:val="0"/>
                <w:i w:val="0"/>
                <w:strike w:val="0"/>
                <w:color w:val="auto"/>
                <w:kern w:val="0"/>
                <w:sz w:val="28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strike w:val="0"/>
                <w:color w:val="auto"/>
                <w:kern w:val="0"/>
                <w:sz w:val="28"/>
                <w:szCs w:val="24"/>
                <w:u w:val="none"/>
                <w:vertAlign w:val="baseline"/>
                <w:lang w:val="en-US" w:eastAsia="zh-CN" w:bidi="ar"/>
              </w:rPr>
              <w:t>2</w:t>
            </w:r>
          </w:p>
        </w:tc>
        <w:tc>
          <w:tcPr>
            <w:tcW w:w="4438" w:type="dxa"/>
            <w:vAlign w:val="center"/>
          </w:tcPr>
          <w:p w14:paraId="038E3E05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240" w:lineRule="auto"/>
              <w:ind w:right="0" w:rightChars="0"/>
              <w:jc w:val="center"/>
              <w:outlineLvl w:val="1"/>
              <w:rPr>
                <w:rFonts w:hint="default" w:ascii="宋体" w:hAnsi="宋体" w:eastAsia="宋体" w:cs="宋体"/>
                <w:b w:val="0"/>
                <w:bCs w:val="0"/>
                <w:i w:val="0"/>
                <w:strike w:val="0"/>
                <w:color w:val="auto"/>
                <w:kern w:val="0"/>
                <w:sz w:val="28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strike w:val="0"/>
                <w:color w:val="auto"/>
                <w:kern w:val="0"/>
                <w:sz w:val="28"/>
                <w:szCs w:val="24"/>
                <w:u w:val="none"/>
                <w:vertAlign w:val="baseline"/>
                <w:lang w:val="en-US" w:eastAsia="zh-CN" w:bidi="ar"/>
              </w:rPr>
              <w:t>割草机</w:t>
            </w:r>
          </w:p>
        </w:tc>
        <w:tc>
          <w:tcPr>
            <w:tcW w:w="1577" w:type="dxa"/>
            <w:vAlign w:val="center"/>
          </w:tcPr>
          <w:p w14:paraId="12B97E4A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240" w:lineRule="auto"/>
              <w:ind w:right="0" w:rightChars="0"/>
              <w:jc w:val="center"/>
              <w:outlineLvl w:val="1"/>
              <w:rPr>
                <w:rFonts w:hint="default" w:ascii="宋体" w:hAnsi="宋体" w:eastAsia="宋体" w:cs="宋体"/>
                <w:b w:val="0"/>
                <w:bCs w:val="0"/>
                <w:i w:val="0"/>
                <w:strike w:val="0"/>
                <w:color w:val="auto"/>
                <w:kern w:val="0"/>
                <w:sz w:val="28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strike w:val="0"/>
                <w:color w:val="auto"/>
                <w:kern w:val="0"/>
                <w:sz w:val="28"/>
                <w:szCs w:val="24"/>
                <w:u w:val="none"/>
                <w:vertAlign w:val="baseline"/>
                <w:lang w:val="en-US" w:eastAsia="zh-CN" w:bidi="ar"/>
              </w:rPr>
              <w:t>台</w:t>
            </w:r>
          </w:p>
        </w:tc>
        <w:tc>
          <w:tcPr>
            <w:tcW w:w="1155" w:type="dxa"/>
            <w:vAlign w:val="center"/>
          </w:tcPr>
          <w:p w14:paraId="118FF96E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240" w:lineRule="auto"/>
              <w:ind w:right="0" w:rightChars="0"/>
              <w:jc w:val="center"/>
              <w:outlineLvl w:val="1"/>
              <w:rPr>
                <w:rFonts w:hint="default" w:ascii="宋体" w:hAnsi="宋体" w:eastAsia="宋体" w:cs="宋体"/>
                <w:b w:val="0"/>
                <w:bCs w:val="0"/>
                <w:i w:val="0"/>
                <w:strike w:val="0"/>
                <w:color w:val="auto"/>
                <w:kern w:val="0"/>
                <w:sz w:val="28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strike w:val="0"/>
                <w:color w:val="auto"/>
                <w:kern w:val="0"/>
                <w:sz w:val="28"/>
                <w:szCs w:val="24"/>
                <w:u w:val="none"/>
                <w:vertAlign w:val="baseline"/>
                <w:lang w:val="en-US" w:eastAsia="zh-CN" w:bidi="ar"/>
              </w:rPr>
              <w:t>6</w:t>
            </w:r>
          </w:p>
        </w:tc>
      </w:tr>
      <w:tr w14:paraId="3987BE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3" w:type="dxa"/>
            <w:vAlign w:val="center"/>
          </w:tcPr>
          <w:p w14:paraId="757E5662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240" w:lineRule="auto"/>
              <w:ind w:right="0" w:rightChars="0"/>
              <w:jc w:val="center"/>
              <w:outlineLvl w:val="1"/>
              <w:rPr>
                <w:rFonts w:hint="default" w:ascii="宋体" w:hAnsi="宋体" w:eastAsia="宋体" w:cs="宋体"/>
                <w:b w:val="0"/>
                <w:bCs w:val="0"/>
                <w:i w:val="0"/>
                <w:strike w:val="0"/>
                <w:color w:val="auto"/>
                <w:kern w:val="0"/>
                <w:sz w:val="28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strike w:val="0"/>
                <w:color w:val="auto"/>
                <w:kern w:val="0"/>
                <w:sz w:val="28"/>
                <w:szCs w:val="24"/>
                <w:u w:val="none"/>
                <w:vertAlign w:val="baseline"/>
                <w:lang w:val="en-US" w:eastAsia="zh-CN" w:bidi="ar"/>
              </w:rPr>
              <w:t>3</w:t>
            </w:r>
          </w:p>
        </w:tc>
        <w:tc>
          <w:tcPr>
            <w:tcW w:w="4438" w:type="dxa"/>
            <w:vAlign w:val="center"/>
          </w:tcPr>
          <w:p w14:paraId="7911AF2D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240" w:lineRule="auto"/>
              <w:ind w:right="0" w:rightChars="0"/>
              <w:jc w:val="center"/>
              <w:outlineLvl w:val="1"/>
              <w:rPr>
                <w:rFonts w:hint="default" w:ascii="宋体" w:hAnsi="宋体" w:eastAsia="宋体" w:cs="宋体"/>
                <w:b w:val="0"/>
                <w:bCs w:val="0"/>
                <w:i w:val="0"/>
                <w:strike w:val="0"/>
                <w:color w:val="auto"/>
                <w:kern w:val="0"/>
                <w:sz w:val="28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strike w:val="0"/>
                <w:color w:val="auto"/>
                <w:kern w:val="0"/>
                <w:sz w:val="28"/>
                <w:szCs w:val="24"/>
                <w:u w:val="none"/>
                <w:vertAlign w:val="baseline"/>
                <w:lang w:val="en-US" w:eastAsia="zh-CN" w:bidi="ar"/>
              </w:rPr>
              <w:t>油锯</w:t>
            </w:r>
          </w:p>
        </w:tc>
        <w:tc>
          <w:tcPr>
            <w:tcW w:w="1577" w:type="dxa"/>
            <w:vAlign w:val="center"/>
          </w:tcPr>
          <w:p w14:paraId="4281ED2F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240" w:lineRule="auto"/>
              <w:ind w:right="0" w:rightChars="0"/>
              <w:jc w:val="center"/>
              <w:outlineLvl w:val="1"/>
              <w:rPr>
                <w:rFonts w:hint="eastAsia" w:ascii="宋体" w:hAnsi="宋体" w:eastAsia="宋体" w:cs="宋体"/>
                <w:b w:val="0"/>
                <w:bCs w:val="0"/>
                <w:i w:val="0"/>
                <w:strike w:val="0"/>
                <w:color w:val="auto"/>
                <w:kern w:val="0"/>
                <w:sz w:val="28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strike w:val="0"/>
                <w:color w:val="auto"/>
                <w:kern w:val="0"/>
                <w:sz w:val="28"/>
                <w:szCs w:val="24"/>
                <w:u w:val="none"/>
                <w:vertAlign w:val="baseline"/>
                <w:lang w:val="en-US" w:eastAsia="zh-CN" w:bidi="ar"/>
              </w:rPr>
              <w:t>台</w:t>
            </w:r>
          </w:p>
        </w:tc>
        <w:tc>
          <w:tcPr>
            <w:tcW w:w="1155" w:type="dxa"/>
            <w:vAlign w:val="center"/>
          </w:tcPr>
          <w:p w14:paraId="00A8338C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240" w:lineRule="auto"/>
              <w:ind w:right="0" w:rightChars="0"/>
              <w:jc w:val="center"/>
              <w:outlineLvl w:val="1"/>
              <w:rPr>
                <w:rFonts w:hint="default" w:ascii="宋体" w:hAnsi="宋体" w:eastAsia="宋体" w:cs="宋体"/>
                <w:b w:val="0"/>
                <w:bCs w:val="0"/>
                <w:i w:val="0"/>
                <w:strike w:val="0"/>
                <w:color w:val="auto"/>
                <w:kern w:val="0"/>
                <w:sz w:val="28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strike w:val="0"/>
                <w:color w:val="auto"/>
                <w:kern w:val="0"/>
                <w:sz w:val="28"/>
                <w:szCs w:val="24"/>
                <w:u w:val="none"/>
                <w:vertAlign w:val="baseline"/>
                <w:lang w:val="en-US" w:eastAsia="zh-CN" w:bidi="ar"/>
              </w:rPr>
              <w:t>2</w:t>
            </w:r>
          </w:p>
        </w:tc>
      </w:tr>
      <w:tr w14:paraId="4753DB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3" w:type="dxa"/>
            <w:vAlign w:val="center"/>
          </w:tcPr>
          <w:p w14:paraId="769F2F43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240" w:lineRule="auto"/>
              <w:ind w:right="0" w:rightChars="0"/>
              <w:jc w:val="center"/>
              <w:outlineLvl w:val="1"/>
              <w:rPr>
                <w:rFonts w:hint="default" w:ascii="宋体" w:hAnsi="宋体" w:eastAsia="宋体" w:cs="宋体"/>
                <w:b w:val="0"/>
                <w:bCs w:val="0"/>
                <w:i w:val="0"/>
                <w:strike w:val="0"/>
                <w:color w:val="auto"/>
                <w:kern w:val="0"/>
                <w:sz w:val="28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strike w:val="0"/>
                <w:color w:val="auto"/>
                <w:kern w:val="0"/>
                <w:sz w:val="28"/>
                <w:szCs w:val="24"/>
                <w:u w:val="none"/>
                <w:vertAlign w:val="baseline"/>
                <w:lang w:val="en-US" w:eastAsia="zh-CN" w:bidi="ar"/>
              </w:rPr>
              <w:t>4</w:t>
            </w:r>
          </w:p>
        </w:tc>
        <w:tc>
          <w:tcPr>
            <w:tcW w:w="4438" w:type="dxa"/>
            <w:vAlign w:val="center"/>
          </w:tcPr>
          <w:p w14:paraId="3343DC65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240" w:lineRule="auto"/>
              <w:ind w:right="0" w:rightChars="0"/>
              <w:jc w:val="center"/>
              <w:outlineLvl w:val="1"/>
              <w:rPr>
                <w:rFonts w:hint="default" w:ascii="宋体" w:hAnsi="宋体" w:eastAsia="宋体" w:cs="宋体"/>
                <w:b w:val="0"/>
                <w:bCs w:val="0"/>
                <w:i w:val="0"/>
                <w:strike w:val="0"/>
                <w:color w:val="auto"/>
                <w:kern w:val="0"/>
                <w:sz w:val="28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strike w:val="0"/>
                <w:color w:val="auto"/>
                <w:kern w:val="0"/>
                <w:sz w:val="28"/>
                <w:szCs w:val="24"/>
                <w:u w:val="none"/>
                <w:vertAlign w:val="baseline"/>
                <w:lang w:val="en-US" w:eastAsia="zh-CN" w:bidi="ar"/>
              </w:rPr>
              <w:t>打药机</w:t>
            </w:r>
          </w:p>
        </w:tc>
        <w:tc>
          <w:tcPr>
            <w:tcW w:w="1577" w:type="dxa"/>
            <w:vAlign w:val="center"/>
          </w:tcPr>
          <w:p w14:paraId="07C0C6E3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240" w:lineRule="auto"/>
              <w:ind w:right="0" w:rightChars="0"/>
              <w:jc w:val="center"/>
              <w:outlineLvl w:val="1"/>
              <w:rPr>
                <w:rFonts w:hint="eastAsia" w:ascii="宋体" w:hAnsi="宋体" w:eastAsia="宋体" w:cs="宋体"/>
                <w:b w:val="0"/>
                <w:bCs w:val="0"/>
                <w:i w:val="0"/>
                <w:strike w:val="0"/>
                <w:color w:val="auto"/>
                <w:kern w:val="0"/>
                <w:sz w:val="28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strike w:val="0"/>
                <w:color w:val="auto"/>
                <w:kern w:val="0"/>
                <w:sz w:val="28"/>
                <w:szCs w:val="24"/>
                <w:u w:val="none"/>
                <w:vertAlign w:val="baseline"/>
                <w:lang w:val="en-US" w:eastAsia="zh-CN" w:bidi="ar"/>
              </w:rPr>
              <w:t>台</w:t>
            </w:r>
          </w:p>
        </w:tc>
        <w:tc>
          <w:tcPr>
            <w:tcW w:w="1155" w:type="dxa"/>
            <w:vAlign w:val="center"/>
          </w:tcPr>
          <w:p w14:paraId="0142EA21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0" w:after="0" w:afterAutospacing="0" w:line="240" w:lineRule="auto"/>
              <w:ind w:right="0" w:rightChars="0"/>
              <w:jc w:val="center"/>
              <w:outlineLvl w:val="1"/>
              <w:rPr>
                <w:rFonts w:hint="default" w:ascii="宋体" w:hAnsi="宋体" w:eastAsia="宋体" w:cs="宋体"/>
                <w:b w:val="0"/>
                <w:bCs w:val="0"/>
                <w:i w:val="0"/>
                <w:strike w:val="0"/>
                <w:color w:val="auto"/>
                <w:kern w:val="0"/>
                <w:sz w:val="28"/>
                <w:szCs w:val="24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strike w:val="0"/>
                <w:color w:val="auto"/>
                <w:kern w:val="0"/>
                <w:sz w:val="28"/>
                <w:szCs w:val="24"/>
                <w:u w:val="none"/>
                <w:vertAlign w:val="baseline"/>
                <w:lang w:val="en-US" w:eastAsia="zh-CN" w:bidi="ar"/>
              </w:rPr>
              <w:t>1</w:t>
            </w:r>
          </w:p>
        </w:tc>
      </w:tr>
    </w:tbl>
    <w:p w14:paraId="2DFAE7D8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0" w:afterAutospacing="0" w:line="240" w:lineRule="auto"/>
        <w:ind w:left="-360" w:leftChars="0" w:right="0" w:rightChars="0" w:firstLine="562" w:firstLineChars="200"/>
        <w:jc w:val="both"/>
        <w:outlineLvl w:val="1"/>
        <w:rPr>
          <w:rFonts w:hint="eastAsia" w:ascii="宋体" w:hAnsi="宋体" w:eastAsia="宋体" w:cs="宋体"/>
          <w:b/>
          <w:bCs/>
          <w:i w:val="0"/>
          <w:strike w:val="0"/>
          <w:color w:val="auto"/>
          <w:kern w:val="0"/>
          <w:sz w:val="28"/>
          <w:szCs w:val="24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strike w:val="0"/>
          <w:color w:val="auto"/>
          <w:kern w:val="0"/>
          <w:sz w:val="28"/>
          <w:szCs w:val="24"/>
          <w:u w:val="none"/>
          <w:lang w:val="en-US" w:eastAsia="zh-CN" w:bidi="ar"/>
        </w:rPr>
        <w:t>刚性执行要求</w:t>
      </w:r>
    </w:p>
    <w:p w14:paraId="6189532A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0" w:afterAutospacing="0" w:line="240" w:lineRule="auto"/>
        <w:ind w:right="0" w:rightChars="0" w:firstLine="240" w:firstLineChars="100"/>
        <w:jc w:val="both"/>
        <w:outlineLvl w:val="1"/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响应</w:t>
      </w:r>
      <w:r>
        <w:rPr>
          <w:rFonts w:hint="eastAsia" w:eastAsia="宋体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时限及要求</w:t>
      </w:r>
    </w:p>
    <w:p w14:paraId="0E60DD6A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120" w:afterAutospacing="0" w:line="240" w:lineRule="auto"/>
        <w:ind w:leftChars="-200" w:right="0" w:rightChars="0"/>
        <w:jc w:val="both"/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hint="eastAsia" w:eastAsia="宋体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（1）</w:t>
      </w: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暴雨、洪水过后：3日内完成大件垃圾、树木、动物尸体全面清理。</w:t>
      </w:r>
    </w:p>
    <w:p w14:paraId="196C8D53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120" w:afterAutospacing="0" w:line="240" w:lineRule="auto"/>
        <w:ind w:leftChars="-200" w:right="0" w:rightChars="0"/>
        <w:jc w:val="both"/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hint="eastAsia" w:eastAsia="宋体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（2）</w:t>
      </w: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群众举报、媒体曝光、巡查问题：24小时内整改完毕。</w:t>
      </w:r>
    </w:p>
    <w:p w14:paraId="24849BB5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120" w:afterAutospacing="0" w:line="240" w:lineRule="auto"/>
        <w:ind w:leftChars="-200" w:right="0" w:rightChars="0"/>
        <w:jc w:val="both"/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hint="eastAsia" w:eastAsia="宋体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（3）举行</w:t>
      </w: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重大活动</w:t>
      </w:r>
      <w:r>
        <w:rPr>
          <w:rFonts w:hint="eastAsia" w:eastAsia="宋体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时</w:t>
      </w: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：无条件加密巡查保洁，全河段覆盖保障。</w:t>
      </w:r>
    </w:p>
    <w:p w14:paraId="2ADD9EF5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120" w:afterAutospacing="0" w:line="240" w:lineRule="auto"/>
        <w:ind w:leftChars="-200" w:right="0" w:rightChars="0"/>
        <w:jc w:val="both"/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hint="eastAsia" w:eastAsia="宋体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（4）</w:t>
      </w: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应急响应：</w:t>
      </w:r>
      <w:r>
        <w:rPr>
          <w:rFonts w:hint="eastAsia" w:eastAsia="宋体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24小时待命，接到指令后</w:t>
      </w: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10分钟内响应、20分钟内到达现场并处置完毕。</w:t>
      </w:r>
    </w:p>
    <w:p w14:paraId="3E295EC6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120" w:afterAutospacing="0" w:line="240" w:lineRule="auto"/>
        <w:ind w:leftChars="-200" w:right="0" w:rightChars="0" w:firstLine="480" w:firstLineChars="200"/>
        <w:jc w:val="both"/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hint="eastAsia" w:eastAsia="宋体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累计</w:t>
      </w: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3次</w:t>
      </w:r>
      <w:r>
        <w:rPr>
          <w:rFonts w:hint="eastAsia" w:eastAsia="宋体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月度</w:t>
      </w: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考核不合格</w:t>
      </w:r>
      <w:r>
        <w:rPr>
          <w:rFonts w:hint="eastAsia" w:eastAsia="宋体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（考核得分低于90分均属于不合格）</w:t>
      </w: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，</w:t>
      </w:r>
      <w:r>
        <w:rPr>
          <w:rFonts w:hint="eastAsia" w:eastAsia="宋体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采购人有权要求</w:t>
      </w: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立即终止合同</w:t>
      </w:r>
      <w:r>
        <w:rPr>
          <w:rFonts w:hint="eastAsia" w:eastAsia="宋体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，成交供应商应</w:t>
      </w: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无条件退场</w:t>
      </w:r>
      <w:r>
        <w:rPr>
          <w:rFonts w:hint="eastAsia" w:eastAsia="宋体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，</w:t>
      </w:r>
      <w:r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不得</w:t>
      </w:r>
      <w:r>
        <w:rPr>
          <w:rFonts w:hint="eastAsia" w:eastAsia="宋体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要求</w:t>
      </w:r>
      <w:r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任何补偿</w:t>
      </w: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。</w:t>
      </w:r>
    </w:p>
    <w:p w14:paraId="5DC17015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120" w:afterAutospacing="0" w:line="240" w:lineRule="auto"/>
        <w:ind w:left="61" w:leftChars="29" w:right="0" w:rightChars="0" w:firstLine="0" w:firstLineChars="0"/>
        <w:jc w:val="both"/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所有作业人员、操作人员必须统一购买意外伤害保险。</w:t>
      </w:r>
    </w:p>
    <w:p w14:paraId="3E0B7861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120" w:afterAutospacing="0" w:line="240" w:lineRule="auto"/>
        <w:ind w:left="61" w:leftChars="29" w:right="0" w:rightChars="0" w:firstLine="0" w:firstLineChars="0"/>
        <w:jc w:val="both"/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景观抬水工程运行管理操作人员需熟练掌握设备的操作方法和流程。</w:t>
      </w:r>
    </w:p>
    <w:p w14:paraId="0B3DCA2F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0" w:afterAutospacing="0" w:line="240" w:lineRule="auto"/>
        <w:ind w:right="0" w:rightChars="0"/>
        <w:jc w:val="both"/>
        <w:outlineLvl w:val="1"/>
        <w:rPr>
          <w:rFonts w:hint="eastAsia" w:ascii="宋体" w:hAnsi="宋体" w:eastAsia="宋体" w:cs="宋体"/>
          <w:b/>
          <w:bCs/>
          <w:i w:val="0"/>
          <w:strike w:val="0"/>
          <w:color w:val="auto"/>
          <w:kern w:val="0"/>
          <w:sz w:val="28"/>
          <w:szCs w:val="24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strike w:val="0"/>
          <w:color w:val="auto"/>
          <w:kern w:val="0"/>
          <w:sz w:val="28"/>
          <w:szCs w:val="24"/>
          <w:u w:val="none"/>
          <w:lang w:val="en-US" w:eastAsia="zh-CN" w:bidi="ar"/>
        </w:rPr>
        <w:t>（2）日常作业标准</w:t>
      </w:r>
    </w:p>
    <w:p w14:paraId="07B85C8E">
      <w:pPr>
        <w:keepNext w:val="0"/>
        <w:keepLines w:val="0"/>
        <w:widowControl/>
        <w:suppressLineNumbers w:val="0"/>
        <w:spacing w:before="0" w:beforeAutospacing="0" w:after="0" w:afterAutospacing="0" w:line="240" w:lineRule="auto"/>
        <w:ind w:left="0" w:leftChars="0" w:right="0" w:rightChars="0" w:firstLine="281" w:firstLineChars="100"/>
        <w:jc w:val="both"/>
        <w:outlineLvl w:val="1"/>
        <w:rPr>
          <w:rFonts w:hint="eastAsia" w:ascii="宋体" w:hAnsi="宋体" w:eastAsia="宋体" w:cs="宋体"/>
          <w:b/>
          <w:bCs/>
          <w:i w:val="0"/>
          <w:strike w:val="0"/>
          <w:color w:val="auto"/>
          <w:kern w:val="0"/>
          <w:sz w:val="28"/>
          <w:szCs w:val="24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strike w:val="0"/>
          <w:color w:val="auto"/>
          <w:kern w:val="0"/>
          <w:sz w:val="28"/>
          <w:szCs w:val="24"/>
          <w:u w:val="none"/>
          <w:lang w:val="en-US" w:eastAsia="zh-CN" w:bidi="ar"/>
        </w:rPr>
        <w:t>1、水面保洁标准</w:t>
      </w:r>
    </w:p>
    <w:p w14:paraId="77331CDD">
      <w:pPr>
        <w:keepNext w:val="0"/>
        <w:keepLines w:val="0"/>
        <w:widowControl/>
        <w:suppressLineNumbers w:val="0"/>
        <w:spacing w:before="0" w:beforeAutospacing="0" w:after="0" w:afterAutospacing="0" w:line="240" w:lineRule="auto"/>
        <w:ind w:right="0" w:rightChars="0"/>
        <w:jc w:val="both"/>
        <w:outlineLvl w:val="1"/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每日巡查打捞，水面无漂浮物、无动物尸体、无大件垃圾、无</w:t>
      </w:r>
      <w:r>
        <w:rPr>
          <w:rFonts w:hint="eastAsia" w:eastAsia="宋体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漂浮</w:t>
      </w: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水生植物。</w:t>
      </w:r>
    </w:p>
    <w:p w14:paraId="589F6F7D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Autospacing="0" w:line="240" w:lineRule="auto"/>
        <w:ind w:left="0" w:leftChars="0" w:right="0" w:rightChars="0"/>
        <w:jc w:val="both"/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每50米内：零星漂浮物≤5处，成片漂浮物≤2㎡。</w:t>
      </w:r>
    </w:p>
    <w:p w14:paraId="7593E25F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120" w:afterAutospacing="0" w:line="240" w:lineRule="auto"/>
        <w:ind w:right="0" w:rightChars="0"/>
        <w:jc w:val="both"/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接到整改通知3小时内处理完毕。</w:t>
      </w:r>
    </w:p>
    <w:p w14:paraId="60E86C72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Autospacing="0" w:line="240" w:lineRule="auto"/>
        <w:ind w:left="0" w:leftChars="0" w:right="0" w:rightChars="0"/>
        <w:jc w:val="both"/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垃圾日捞日清，转运至指定垃圾中转站，船舱无积存垃圾。</w:t>
      </w:r>
    </w:p>
    <w:p w14:paraId="7D7AD415">
      <w:pPr>
        <w:keepNext w:val="0"/>
        <w:keepLines w:val="0"/>
        <w:widowControl/>
        <w:suppressLineNumbers w:val="0"/>
        <w:spacing w:before="0" w:beforeAutospacing="0" w:after="0" w:afterAutospacing="0" w:line="240" w:lineRule="auto"/>
        <w:ind w:left="0" w:leftChars="0" w:right="0" w:rightChars="0" w:firstLine="281" w:firstLineChars="100"/>
        <w:jc w:val="both"/>
        <w:outlineLvl w:val="1"/>
        <w:rPr>
          <w:rFonts w:hint="eastAsia" w:ascii="宋体" w:hAnsi="宋体" w:eastAsia="宋体" w:cs="宋体"/>
          <w:b/>
          <w:bCs/>
          <w:i w:val="0"/>
          <w:strike w:val="0"/>
          <w:color w:val="auto"/>
          <w:kern w:val="0"/>
          <w:sz w:val="28"/>
          <w:szCs w:val="24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strike w:val="0"/>
          <w:color w:val="auto"/>
          <w:kern w:val="0"/>
          <w:sz w:val="28"/>
          <w:szCs w:val="24"/>
          <w:u w:val="none"/>
          <w:lang w:val="en-US" w:eastAsia="zh-CN" w:bidi="ar"/>
        </w:rPr>
        <w:t>2、堤岸与堤防管护标准</w:t>
      </w:r>
    </w:p>
    <w:p w14:paraId="0B64554E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Autospacing="0" w:line="240" w:lineRule="auto"/>
        <w:ind w:left="0" w:leftChars="0" w:right="0" w:rightChars="0"/>
        <w:jc w:val="both"/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栏杆内外堤面</w:t>
      </w:r>
      <w:r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高杆杂草</w:t>
      </w:r>
      <w:r>
        <w:rPr>
          <w:rFonts w:hint="eastAsia" w:eastAsia="宋体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不得</w:t>
      </w:r>
      <w:r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超过</w:t>
      </w:r>
      <w:r>
        <w:rPr>
          <w:rFonts w:hint="eastAsia" w:eastAsia="宋体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3</w:t>
      </w:r>
      <w:r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0cm</w:t>
      </w:r>
      <w:r>
        <w:rPr>
          <w:rFonts w:hint="eastAsia" w:eastAsia="宋体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，不得</w:t>
      </w:r>
      <w:r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存在灌木、杂树</w:t>
      </w:r>
      <w:r>
        <w:rPr>
          <w:rFonts w:hint="eastAsia" w:eastAsia="宋体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，</w:t>
      </w: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无垃圾杂物。</w:t>
      </w:r>
    </w:p>
    <w:p w14:paraId="4364CC7F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Autospacing="0" w:line="240" w:lineRule="auto"/>
        <w:ind w:left="0" w:leftChars="0" w:right="0" w:rightChars="0"/>
        <w:jc w:val="both"/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除杂：每年不少于4次（</w:t>
      </w:r>
      <w:r>
        <w:rPr>
          <w:rFonts w:hint="eastAsia" w:eastAsia="宋体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每季度最少</w:t>
      </w: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1次</w:t>
      </w:r>
      <w:r>
        <w:rPr>
          <w:rFonts w:hint="eastAsia" w:eastAsia="宋体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，除杂总面积约72万</w:t>
      </w: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㎡）。</w:t>
      </w:r>
    </w:p>
    <w:p w14:paraId="3FE4C00F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Autospacing="0" w:line="240" w:lineRule="auto"/>
        <w:ind w:left="0" w:leftChars="0" w:right="0" w:rightChars="0"/>
        <w:jc w:val="both"/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无违规种养、无乱搭乱建、无卫生死角。</w:t>
      </w:r>
    </w:p>
    <w:p w14:paraId="54D181BE">
      <w:pPr>
        <w:keepNext w:val="0"/>
        <w:keepLines w:val="0"/>
        <w:widowControl/>
        <w:suppressLineNumbers w:val="0"/>
        <w:spacing w:before="0" w:beforeAutospacing="0" w:after="0" w:afterAutospacing="0" w:line="240" w:lineRule="auto"/>
        <w:ind w:left="0" w:leftChars="0" w:right="0" w:rightChars="0" w:firstLine="281" w:firstLineChars="100"/>
        <w:jc w:val="both"/>
        <w:outlineLvl w:val="1"/>
        <w:rPr>
          <w:rFonts w:hint="eastAsia" w:ascii="宋体" w:hAnsi="宋体" w:eastAsia="宋体" w:cs="宋体"/>
          <w:b/>
          <w:bCs/>
          <w:i w:val="0"/>
          <w:strike w:val="0"/>
          <w:color w:val="auto"/>
          <w:kern w:val="0"/>
          <w:sz w:val="28"/>
          <w:szCs w:val="24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strike w:val="0"/>
          <w:color w:val="auto"/>
          <w:kern w:val="0"/>
          <w:sz w:val="28"/>
          <w:szCs w:val="24"/>
          <w:u w:val="none"/>
          <w:lang w:val="en-US" w:eastAsia="zh-CN" w:bidi="ar"/>
        </w:rPr>
        <w:t>3、安全作业标准</w:t>
      </w:r>
    </w:p>
    <w:p w14:paraId="0021F4E8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Autospacing="0" w:line="240" w:lineRule="auto"/>
        <w:ind w:left="0" w:leftChars="0" w:right="0" w:rightChars="0"/>
        <w:jc w:val="both"/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水上作业必须穿戴救生衣</w:t>
      </w:r>
      <w:r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、安全帽</w:t>
      </w: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等防护用品。</w:t>
      </w:r>
    </w:p>
    <w:p w14:paraId="7BAD7AF0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Autospacing="0" w:line="240" w:lineRule="auto"/>
        <w:ind w:left="0" w:leftChars="0" w:right="0" w:rightChars="0"/>
        <w:jc w:val="both"/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景观抬水工程运行管理操作实行2人同行，头晕</w:t>
      </w:r>
      <w:r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等</w:t>
      </w: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身体不适人员严禁上岗。</w:t>
      </w:r>
    </w:p>
    <w:p w14:paraId="10E12CC1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Autospacing="0" w:line="240" w:lineRule="auto"/>
        <w:ind w:left="0" w:leftChars="0" w:right="0" w:rightChars="0"/>
        <w:jc w:val="both"/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电路检修人员必须持证上岗。</w:t>
      </w:r>
    </w:p>
    <w:p w14:paraId="1648BA23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Autospacing="0" w:line="240" w:lineRule="auto"/>
        <w:ind w:left="0" w:leftChars="0" w:right="0" w:rightChars="0"/>
        <w:jc w:val="both"/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所有操作人员、作业人员统一购买意外伤害保险。</w:t>
      </w:r>
    </w:p>
    <w:p w14:paraId="479B0DA7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Autospacing="0" w:line="240" w:lineRule="auto"/>
        <w:ind w:left="0" w:leftChars="0" w:right="0" w:rightChars="0"/>
        <w:jc w:val="both"/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所有安全责任由</w:t>
      </w:r>
      <w:r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中标单位</w:t>
      </w: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全权承担</w:t>
      </w:r>
      <w:r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，并</w:t>
      </w: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定期开展安全培训。</w:t>
      </w:r>
    </w:p>
    <w:p w14:paraId="3B0ED241">
      <w:pPr>
        <w:keepNext w:val="0"/>
        <w:keepLines w:val="0"/>
        <w:widowControl/>
        <w:suppressLineNumbers w:val="0"/>
        <w:spacing w:before="0" w:beforeAutospacing="0" w:after="0" w:afterAutospacing="0" w:line="240" w:lineRule="auto"/>
        <w:ind w:left="0" w:leftChars="0" w:right="0" w:rightChars="0" w:firstLine="281" w:firstLineChars="100"/>
        <w:jc w:val="both"/>
        <w:outlineLvl w:val="1"/>
        <w:rPr>
          <w:rFonts w:hint="eastAsia" w:ascii="宋体" w:hAnsi="宋体" w:eastAsia="宋体" w:cs="宋体"/>
          <w:b/>
          <w:bCs/>
          <w:i w:val="0"/>
          <w:strike w:val="0"/>
          <w:color w:val="auto"/>
          <w:kern w:val="0"/>
          <w:sz w:val="28"/>
          <w:szCs w:val="24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strike w:val="0"/>
          <w:color w:val="auto"/>
          <w:kern w:val="0"/>
          <w:sz w:val="28"/>
          <w:szCs w:val="24"/>
          <w:u w:val="none"/>
          <w:lang w:val="en-US" w:eastAsia="zh-CN" w:bidi="ar"/>
        </w:rPr>
        <w:t>4、景观抬水工程运行管理</w:t>
      </w:r>
    </w:p>
    <w:p w14:paraId="2BA9113B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Autospacing="0" w:line="240" w:lineRule="auto"/>
        <w:ind w:left="0" w:leftChars="0" w:right="0" w:rightChars="0"/>
        <w:jc w:val="both"/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绝对服从</w:t>
      </w:r>
      <w:r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县农业农村水利局</w:t>
      </w: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统一调度</w:t>
      </w:r>
      <w:r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，</w:t>
      </w: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严禁</w:t>
      </w:r>
      <w:r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无指令</w:t>
      </w: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擅自开闸</w:t>
      </w:r>
      <w:r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放水。遇强降雨和应急事件期间，运行管理人员必须24小时待命，接到指令后</w:t>
      </w: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10分钟内响应、20分钟内到达现场并处置完毕。</w:t>
      </w:r>
    </w:p>
    <w:p w14:paraId="2D7841D2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Autospacing="0" w:line="240" w:lineRule="auto"/>
        <w:ind w:left="0" w:leftChars="0" w:right="0" w:rightChars="0"/>
        <w:jc w:val="both"/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景观抬水工程运行管理操作人员需熟练掌握设备的操作方法和流程，经培训合格后方可上岗。</w:t>
      </w:r>
      <w:r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严格按照操作规程进行闸门启闭机操作，并按照规定格式作好运行记录</w:t>
      </w: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。</w:t>
      </w:r>
    </w:p>
    <w:p w14:paraId="1DF16245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Autospacing="0" w:line="240" w:lineRule="auto"/>
        <w:ind w:left="0" w:leftChars="0" w:right="0" w:rightChars="0"/>
        <w:jc w:val="both"/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定期</w:t>
      </w:r>
      <w:r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对设施设备进行</w:t>
      </w: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保养、清洁、润滑、除锈、补漆</w:t>
      </w:r>
      <w:r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，</w:t>
      </w: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每日对机电设备、坝体、电路进行巡检。</w:t>
      </w:r>
    </w:p>
    <w:p w14:paraId="0058FC49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Autospacing="0" w:line="240" w:lineRule="auto"/>
        <w:ind w:left="0" w:leftChars="0" w:right="0" w:rightChars="0"/>
        <w:jc w:val="both"/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运行记录、维保记录完整规范。</w:t>
      </w:r>
    </w:p>
    <w:p w14:paraId="3A0347F0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0" w:afterAutospacing="0" w:line="240" w:lineRule="auto"/>
        <w:ind w:right="0" w:rightChars="0"/>
        <w:jc w:val="both"/>
        <w:outlineLvl w:val="1"/>
        <w:rPr>
          <w:rFonts w:hint="eastAsia" w:ascii="宋体" w:hAnsi="宋体" w:eastAsia="宋体" w:cs="宋体"/>
          <w:b/>
          <w:bCs/>
          <w:i w:val="0"/>
          <w:strike w:val="0"/>
          <w:color w:val="auto"/>
          <w:kern w:val="0"/>
          <w:sz w:val="28"/>
          <w:szCs w:val="24"/>
          <w:u w:val="none"/>
          <w:lang w:val="en-US" w:eastAsia="zh-CN" w:bidi="ar"/>
        </w:rPr>
      </w:pPr>
    </w:p>
    <w:p w14:paraId="3A3A0567">
      <w:pPr>
        <w:bidi w:val="0"/>
        <w:jc w:val="center"/>
        <w:rPr>
          <w:rFonts w:hint="eastAsia"/>
          <w:b/>
          <w:bCs/>
          <w:sz w:val="32"/>
          <w:szCs w:val="32"/>
          <w:lang w:val="en-US" w:eastAsia="zh-CN"/>
        </w:rPr>
      </w:pPr>
    </w:p>
    <w:p w14:paraId="08D49AAF">
      <w:pPr>
        <w:bidi w:val="0"/>
        <w:jc w:val="center"/>
        <w:rPr>
          <w:rFonts w:hint="eastAsia"/>
          <w:b/>
          <w:bCs/>
          <w:sz w:val="32"/>
          <w:szCs w:val="32"/>
          <w:lang w:val="en-US" w:eastAsia="zh-CN"/>
        </w:rPr>
      </w:pPr>
    </w:p>
    <w:p w14:paraId="759D240C">
      <w:pPr>
        <w:bidi w:val="0"/>
        <w:jc w:val="center"/>
        <w:rPr>
          <w:rFonts w:hint="eastAsia"/>
          <w:b/>
          <w:bCs/>
          <w:sz w:val="32"/>
          <w:szCs w:val="32"/>
          <w:lang w:val="en-US" w:eastAsia="zh-CN"/>
        </w:rPr>
      </w:pPr>
    </w:p>
    <w:p w14:paraId="6345D632">
      <w:pPr>
        <w:bidi w:val="0"/>
        <w:jc w:val="center"/>
        <w:rPr>
          <w:rFonts w:hint="eastAsia"/>
          <w:b/>
          <w:bCs/>
          <w:sz w:val="32"/>
          <w:szCs w:val="32"/>
          <w:lang w:val="en-US" w:eastAsia="zh-CN"/>
        </w:rPr>
      </w:pPr>
    </w:p>
    <w:p w14:paraId="1796D8F5">
      <w:pPr>
        <w:bidi w:val="0"/>
        <w:jc w:val="center"/>
        <w:rPr>
          <w:rFonts w:hint="eastAsia"/>
          <w:b/>
          <w:bCs/>
          <w:sz w:val="32"/>
          <w:szCs w:val="32"/>
          <w:lang w:val="en-US" w:eastAsia="zh-CN"/>
        </w:rPr>
      </w:pPr>
    </w:p>
    <w:p w14:paraId="48017805">
      <w:pPr>
        <w:bidi w:val="0"/>
        <w:jc w:val="center"/>
        <w:rPr>
          <w:rFonts w:hint="eastAsia"/>
          <w:b/>
          <w:bCs/>
          <w:sz w:val="32"/>
          <w:szCs w:val="32"/>
          <w:lang w:val="en-US" w:eastAsia="zh-CN"/>
        </w:rPr>
      </w:pPr>
    </w:p>
    <w:p w14:paraId="782DECE1">
      <w:pPr>
        <w:bidi w:val="0"/>
        <w:jc w:val="center"/>
        <w:rPr>
          <w:rFonts w:hint="eastAsia"/>
          <w:b/>
          <w:bCs/>
          <w:sz w:val="32"/>
          <w:szCs w:val="32"/>
          <w:lang w:val="en-US" w:eastAsia="zh-CN"/>
        </w:rPr>
      </w:pPr>
    </w:p>
    <w:p w14:paraId="217483CC">
      <w:pPr>
        <w:bidi w:val="0"/>
        <w:jc w:val="center"/>
        <w:rPr>
          <w:rFonts w:hint="eastAsia"/>
          <w:b/>
          <w:bCs/>
          <w:sz w:val="32"/>
          <w:szCs w:val="32"/>
          <w:lang w:val="en-US" w:eastAsia="zh-CN"/>
        </w:rPr>
      </w:pPr>
    </w:p>
    <w:p w14:paraId="62EC1E6B">
      <w:pPr>
        <w:bidi w:val="0"/>
        <w:jc w:val="center"/>
        <w:rPr>
          <w:rFonts w:hint="eastAsia"/>
          <w:b/>
          <w:bCs/>
          <w:sz w:val="32"/>
          <w:szCs w:val="32"/>
          <w:lang w:val="en-US" w:eastAsia="zh-CN"/>
        </w:rPr>
      </w:pPr>
    </w:p>
    <w:p w14:paraId="5352702D">
      <w:pPr>
        <w:bidi w:val="0"/>
        <w:jc w:val="center"/>
        <w:rPr>
          <w:rFonts w:hint="eastAsia"/>
          <w:b/>
          <w:bCs/>
          <w:sz w:val="32"/>
          <w:szCs w:val="32"/>
          <w:lang w:val="en-US" w:eastAsia="zh-CN"/>
        </w:rPr>
      </w:pPr>
    </w:p>
    <w:p w14:paraId="573C2139">
      <w:pPr>
        <w:bidi w:val="0"/>
        <w:jc w:val="center"/>
        <w:rPr>
          <w:rFonts w:hint="eastAsia"/>
          <w:b/>
          <w:bCs/>
          <w:sz w:val="32"/>
          <w:szCs w:val="32"/>
          <w:lang w:val="en-US" w:eastAsia="zh-CN"/>
        </w:rPr>
      </w:pPr>
    </w:p>
    <w:p w14:paraId="02AB7C09">
      <w:pPr>
        <w:bidi w:val="0"/>
        <w:jc w:val="center"/>
        <w:rPr>
          <w:rFonts w:hint="eastAsia"/>
          <w:b/>
          <w:bCs/>
          <w:sz w:val="32"/>
          <w:szCs w:val="32"/>
          <w:lang w:val="en-US" w:eastAsia="zh-CN"/>
        </w:rPr>
      </w:pPr>
    </w:p>
    <w:p w14:paraId="1AFAC338">
      <w:pPr>
        <w:bidi w:val="0"/>
        <w:jc w:val="center"/>
        <w:rPr>
          <w:rFonts w:hint="eastAsia"/>
          <w:b/>
          <w:bCs/>
          <w:sz w:val="32"/>
          <w:szCs w:val="32"/>
          <w:lang w:val="en-US" w:eastAsia="zh-CN"/>
        </w:rPr>
      </w:pPr>
    </w:p>
    <w:p w14:paraId="08915416">
      <w:pPr>
        <w:bidi w:val="0"/>
        <w:jc w:val="center"/>
        <w:rPr>
          <w:rFonts w:hint="eastAsia"/>
          <w:b/>
          <w:bCs/>
          <w:sz w:val="32"/>
          <w:szCs w:val="32"/>
          <w:lang w:val="en-US" w:eastAsia="zh-CN"/>
        </w:rPr>
      </w:pPr>
    </w:p>
    <w:p w14:paraId="4123DE96">
      <w:pPr>
        <w:bidi w:val="0"/>
        <w:jc w:val="center"/>
        <w:rPr>
          <w:rFonts w:hint="eastAsia"/>
          <w:b/>
          <w:bCs/>
          <w:sz w:val="32"/>
          <w:szCs w:val="32"/>
          <w:lang w:val="en-US" w:eastAsia="zh-CN"/>
        </w:rPr>
      </w:pPr>
    </w:p>
    <w:p w14:paraId="30588B3B">
      <w:pPr>
        <w:bidi w:val="0"/>
        <w:jc w:val="center"/>
        <w:rPr>
          <w:rFonts w:hint="eastAsia"/>
          <w:b/>
          <w:bCs/>
          <w:sz w:val="32"/>
          <w:szCs w:val="32"/>
          <w:lang w:val="en-US" w:eastAsia="zh-CN"/>
        </w:rPr>
      </w:pPr>
    </w:p>
    <w:p w14:paraId="323395EC">
      <w:pPr>
        <w:bidi w:val="0"/>
        <w:jc w:val="center"/>
        <w:rPr>
          <w:rFonts w:hint="eastAsia"/>
          <w:b/>
          <w:bCs/>
          <w:sz w:val="32"/>
          <w:szCs w:val="32"/>
          <w:lang w:val="en-US" w:eastAsia="zh-CN"/>
        </w:rPr>
      </w:pPr>
    </w:p>
    <w:p w14:paraId="6D63D59C">
      <w:pPr>
        <w:bidi w:val="0"/>
        <w:jc w:val="center"/>
        <w:rPr>
          <w:rFonts w:hint="eastAsia"/>
          <w:b/>
          <w:bCs/>
          <w:sz w:val="32"/>
          <w:szCs w:val="32"/>
          <w:lang w:val="en-US" w:eastAsia="zh-CN"/>
        </w:rPr>
      </w:pPr>
    </w:p>
    <w:p w14:paraId="646C4FF5">
      <w:pPr>
        <w:bidi w:val="0"/>
        <w:jc w:val="center"/>
        <w:rPr>
          <w:rFonts w:hint="eastAsia"/>
          <w:b/>
          <w:bCs/>
          <w:sz w:val="32"/>
          <w:szCs w:val="32"/>
          <w:lang w:val="en-US" w:eastAsia="zh-CN"/>
        </w:rPr>
      </w:pPr>
    </w:p>
    <w:p w14:paraId="6A80BB12">
      <w:pPr>
        <w:bidi w:val="0"/>
        <w:jc w:val="center"/>
        <w:rPr>
          <w:rFonts w:hint="eastAsia"/>
          <w:b/>
          <w:bCs/>
          <w:sz w:val="32"/>
          <w:szCs w:val="32"/>
          <w:lang w:val="en-US" w:eastAsia="zh-CN"/>
        </w:rPr>
      </w:pPr>
    </w:p>
    <w:p w14:paraId="56111A27">
      <w:pPr>
        <w:bidi w:val="0"/>
        <w:jc w:val="center"/>
        <w:rPr>
          <w:rFonts w:hint="eastAsia"/>
          <w:b/>
          <w:bCs/>
          <w:sz w:val="32"/>
          <w:szCs w:val="32"/>
          <w:lang w:val="en-US" w:eastAsia="zh-CN"/>
        </w:rPr>
      </w:pPr>
    </w:p>
    <w:p w14:paraId="01AE5F7E">
      <w:pPr>
        <w:bidi w:val="0"/>
        <w:jc w:val="center"/>
        <w:rPr>
          <w:rFonts w:hint="eastAsia"/>
          <w:b/>
          <w:bCs/>
          <w:sz w:val="32"/>
          <w:szCs w:val="32"/>
          <w:lang w:val="en-US" w:eastAsia="zh-CN"/>
        </w:rPr>
      </w:pPr>
    </w:p>
    <w:p w14:paraId="07631A09">
      <w:pPr>
        <w:numPr>
          <w:ilvl w:val="0"/>
          <w:numId w:val="0"/>
        </w:numPr>
        <w:bidi w:val="0"/>
        <w:ind w:left="0" w:leftChars="0" w:firstLine="0" w:firstLineChars="0"/>
        <w:jc w:val="center"/>
        <w:rPr>
          <w:rFonts w:hint="eastAsia" w:ascii="宋体" w:hAnsi="宋体" w:eastAsia="宋体" w:cs="宋体"/>
          <w:b/>
          <w:bCs/>
          <w:i w:val="0"/>
          <w:strike w:val="0"/>
          <w:color w:val="auto"/>
          <w:kern w:val="0"/>
          <w:sz w:val="28"/>
          <w:szCs w:val="24"/>
          <w:u w:val="none"/>
          <w:lang w:val="en-US" w:eastAsia="zh-CN" w:bidi="ar"/>
        </w:rPr>
      </w:pPr>
    </w:p>
    <w:p w14:paraId="3B23074B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0" w:afterAutospacing="0" w:line="240" w:lineRule="auto"/>
        <w:ind w:right="0" w:rightChars="0"/>
        <w:jc w:val="both"/>
        <w:outlineLvl w:val="1"/>
        <w:rPr>
          <w:rFonts w:hint="eastAsia" w:ascii="宋体" w:hAnsi="宋体" w:eastAsia="宋体" w:cs="宋体"/>
          <w:b/>
          <w:bCs/>
          <w:i w:val="0"/>
          <w:strike w:val="0"/>
          <w:color w:val="auto"/>
          <w:kern w:val="0"/>
          <w:sz w:val="28"/>
          <w:szCs w:val="24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strike w:val="0"/>
          <w:color w:val="auto"/>
          <w:kern w:val="0"/>
          <w:sz w:val="28"/>
          <w:szCs w:val="24"/>
          <w:u w:val="none"/>
          <w:lang w:val="en-US" w:eastAsia="zh-CN" w:bidi="ar"/>
        </w:rPr>
        <w:t>（3）考核保障</w:t>
      </w:r>
    </w:p>
    <w:p w14:paraId="63B9D877">
      <w:pPr>
        <w:numPr>
          <w:ilvl w:val="0"/>
          <w:numId w:val="0"/>
        </w:numPr>
        <w:bidi w:val="0"/>
        <w:ind w:left="0" w:leftChars="0" w:firstLine="0" w:firstLineChars="0"/>
        <w:jc w:val="center"/>
        <w:rPr>
          <w:b/>
          <w:bCs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3.1铜鼓县定江河、石桥水河道管护与景观抬水工程运行管理</w:t>
      </w:r>
      <w:r>
        <w:rPr>
          <w:b/>
          <w:bCs/>
          <w:sz w:val="28"/>
          <w:szCs w:val="28"/>
          <w:lang w:val="en-US" w:eastAsia="zh-CN"/>
        </w:rPr>
        <w:t>考核评分表</w:t>
      </w:r>
    </w:p>
    <w:p w14:paraId="726F88A2">
      <w:pPr>
        <w:ind w:firstLine="6000" w:firstLineChars="2500"/>
        <w:rPr>
          <w:rFonts w:hint="default"/>
          <w:lang w:val="en-US" w:eastAsia="zh-CN"/>
        </w:rPr>
      </w:pPr>
      <w:r>
        <w:rPr>
          <w:rFonts w:hint="eastAsia" w:eastAsia="宋体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时间：  年   月</w:t>
      </w:r>
    </w:p>
    <w:tbl>
      <w:tblPr>
        <w:tblStyle w:val="4"/>
        <w:tblW w:w="8614" w:type="dxa"/>
        <w:jc w:val="center"/>
        <w:tblCellSpacing w:w="1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6"/>
        <w:gridCol w:w="3030"/>
        <w:gridCol w:w="631"/>
        <w:gridCol w:w="3030"/>
        <w:gridCol w:w="631"/>
        <w:gridCol w:w="646"/>
      </w:tblGrid>
      <w:tr w14:paraId="7A059F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tblHeader/>
          <w:tblCellSpacing w:w="15" w:type="dxa"/>
          <w:jc w:val="center"/>
        </w:trPr>
        <w:tc>
          <w:tcPr>
            <w:tcW w:w="601" w:type="dxa"/>
            <w:shd w:val="clear" w:color="auto" w:fill="auto"/>
            <w:vAlign w:val="center"/>
          </w:tcPr>
          <w:p w14:paraId="5276131A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"/>
              </w:rPr>
              <w:t>序号</w:t>
            </w:r>
          </w:p>
        </w:tc>
        <w:tc>
          <w:tcPr>
            <w:tcW w:w="3000" w:type="dxa"/>
            <w:shd w:val="clear" w:color="auto" w:fill="auto"/>
            <w:vAlign w:val="center"/>
          </w:tcPr>
          <w:p w14:paraId="6FFD68A8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"/>
              </w:rPr>
              <w:t>评分标准</w:t>
            </w:r>
          </w:p>
        </w:tc>
        <w:tc>
          <w:tcPr>
            <w:tcW w:w="601" w:type="dxa"/>
            <w:shd w:val="clear" w:color="auto" w:fill="auto"/>
            <w:vAlign w:val="center"/>
          </w:tcPr>
          <w:p w14:paraId="33C8087B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"/>
              </w:rPr>
              <w:t>分值</w:t>
            </w:r>
          </w:p>
        </w:tc>
        <w:tc>
          <w:tcPr>
            <w:tcW w:w="3000" w:type="dxa"/>
            <w:shd w:val="clear" w:color="auto" w:fill="auto"/>
            <w:vAlign w:val="center"/>
          </w:tcPr>
          <w:p w14:paraId="7665AB5C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"/>
              </w:rPr>
              <w:t>扣分标准</w:t>
            </w:r>
          </w:p>
        </w:tc>
        <w:tc>
          <w:tcPr>
            <w:tcW w:w="601" w:type="dxa"/>
            <w:shd w:val="clear" w:color="auto" w:fill="auto"/>
            <w:vAlign w:val="center"/>
          </w:tcPr>
          <w:p w14:paraId="2EA4970C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"/>
              </w:rPr>
              <w:t>得分</w:t>
            </w:r>
          </w:p>
        </w:tc>
        <w:tc>
          <w:tcPr>
            <w:tcW w:w="601" w:type="dxa"/>
            <w:shd w:val="clear" w:color="auto" w:fill="auto"/>
            <w:vAlign w:val="center"/>
          </w:tcPr>
          <w:p w14:paraId="12D9CD68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"/>
              </w:rPr>
              <w:t>备注</w:t>
            </w:r>
          </w:p>
        </w:tc>
      </w:tr>
      <w:tr w14:paraId="1BE25D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tblCellSpacing w:w="15" w:type="dxa"/>
          <w:jc w:val="center"/>
        </w:trPr>
        <w:tc>
          <w:tcPr>
            <w:tcW w:w="601" w:type="dxa"/>
            <w:shd w:val="clear" w:color="auto" w:fill="auto"/>
            <w:vAlign w:val="center"/>
          </w:tcPr>
          <w:p w14:paraId="2701FF82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3000" w:type="dxa"/>
            <w:shd w:val="clear" w:color="auto" w:fill="auto"/>
            <w:vAlign w:val="center"/>
          </w:tcPr>
          <w:p w14:paraId="32B933E2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有打捞制度和计划，有保洁时间安排表</w:t>
            </w:r>
          </w:p>
        </w:tc>
        <w:tc>
          <w:tcPr>
            <w:tcW w:w="601" w:type="dxa"/>
            <w:shd w:val="clear" w:color="auto" w:fill="auto"/>
            <w:vAlign w:val="center"/>
          </w:tcPr>
          <w:p w14:paraId="393246AA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</w:t>
            </w:r>
          </w:p>
        </w:tc>
        <w:tc>
          <w:tcPr>
            <w:tcW w:w="3000" w:type="dxa"/>
            <w:shd w:val="clear" w:color="auto" w:fill="auto"/>
            <w:vAlign w:val="center"/>
          </w:tcPr>
          <w:p w14:paraId="2007316F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无制度计划扣 3 分；保洁时间不足扣 2 分</w:t>
            </w:r>
          </w:p>
        </w:tc>
        <w:tc>
          <w:tcPr>
            <w:tcW w:w="601" w:type="dxa"/>
            <w:shd w:val="clear" w:color="auto" w:fill="auto"/>
            <w:vAlign w:val="center"/>
          </w:tcPr>
          <w:p w14:paraId="34DD8F8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eastAsia="宋体"/>
                <w:color w:val="000000"/>
                <w:sz w:val="24"/>
                <w:szCs w:val="24"/>
              </w:rPr>
            </w:pPr>
          </w:p>
        </w:tc>
        <w:tc>
          <w:tcPr>
            <w:tcW w:w="601" w:type="dxa"/>
            <w:shd w:val="clear" w:color="auto" w:fill="auto"/>
            <w:vAlign w:val="center"/>
          </w:tcPr>
          <w:p w14:paraId="2295C06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eastAsia="宋体"/>
                <w:color w:val="000000"/>
                <w:sz w:val="24"/>
                <w:szCs w:val="24"/>
              </w:rPr>
            </w:pPr>
          </w:p>
        </w:tc>
      </w:tr>
      <w:tr w14:paraId="5FFA53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tblCellSpacing w:w="15" w:type="dxa"/>
          <w:jc w:val="center"/>
        </w:trPr>
        <w:tc>
          <w:tcPr>
            <w:tcW w:w="601" w:type="dxa"/>
            <w:shd w:val="clear" w:color="auto" w:fill="auto"/>
            <w:vAlign w:val="center"/>
          </w:tcPr>
          <w:p w14:paraId="074E05ED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  <w:tc>
          <w:tcPr>
            <w:tcW w:w="3000" w:type="dxa"/>
            <w:shd w:val="clear" w:color="auto" w:fill="auto"/>
            <w:vAlign w:val="center"/>
          </w:tcPr>
          <w:p w14:paraId="6D5E4CA8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定员定岗，规范文明作业</w:t>
            </w:r>
          </w:p>
        </w:tc>
        <w:tc>
          <w:tcPr>
            <w:tcW w:w="601" w:type="dxa"/>
            <w:shd w:val="clear" w:color="auto" w:fill="auto"/>
            <w:vAlign w:val="center"/>
          </w:tcPr>
          <w:p w14:paraId="0AC006C3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15</w:t>
            </w:r>
          </w:p>
        </w:tc>
        <w:tc>
          <w:tcPr>
            <w:tcW w:w="3000" w:type="dxa"/>
            <w:shd w:val="clear" w:color="auto" w:fill="auto"/>
            <w:vAlign w:val="center"/>
          </w:tcPr>
          <w:p w14:paraId="2F756684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未定员定岗，每缺岗 1 人扣 3 分</w:t>
            </w:r>
          </w:p>
        </w:tc>
        <w:tc>
          <w:tcPr>
            <w:tcW w:w="601" w:type="dxa"/>
            <w:shd w:val="clear" w:color="auto" w:fill="auto"/>
            <w:vAlign w:val="center"/>
          </w:tcPr>
          <w:p w14:paraId="62730BD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eastAsia="宋体"/>
                <w:color w:val="000000"/>
                <w:sz w:val="24"/>
                <w:szCs w:val="24"/>
              </w:rPr>
            </w:pPr>
          </w:p>
        </w:tc>
        <w:tc>
          <w:tcPr>
            <w:tcW w:w="601" w:type="dxa"/>
            <w:shd w:val="clear" w:color="auto" w:fill="auto"/>
            <w:vAlign w:val="center"/>
          </w:tcPr>
          <w:p w14:paraId="3EAB64D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eastAsia="宋体"/>
                <w:color w:val="000000"/>
                <w:sz w:val="24"/>
                <w:szCs w:val="24"/>
              </w:rPr>
            </w:pPr>
          </w:p>
        </w:tc>
      </w:tr>
      <w:tr w14:paraId="7DA334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tblCellSpacing w:w="15" w:type="dxa"/>
          <w:jc w:val="center"/>
        </w:trPr>
        <w:tc>
          <w:tcPr>
            <w:tcW w:w="601" w:type="dxa"/>
            <w:shd w:val="clear" w:color="auto" w:fill="auto"/>
            <w:vAlign w:val="center"/>
          </w:tcPr>
          <w:p w14:paraId="48E0B762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  <w:tc>
          <w:tcPr>
            <w:tcW w:w="3000" w:type="dxa"/>
            <w:shd w:val="clear" w:color="auto" w:fill="auto"/>
            <w:vAlign w:val="center"/>
          </w:tcPr>
          <w:p w14:paraId="7A8F7DD5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上岗穿工作服，水深＞1.5 米穿救生衣</w:t>
            </w:r>
          </w:p>
        </w:tc>
        <w:tc>
          <w:tcPr>
            <w:tcW w:w="601" w:type="dxa"/>
            <w:shd w:val="clear" w:color="auto" w:fill="auto"/>
            <w:vAlign w:val="center"/>
          </w:tcPr>
          <w:p w14:paraId="4062C389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10</w:t>
            </w:r>
          </w:p>
        </w:tc>
        <w:tc>
          <w:tcPr>
            <w:tcW w:w="3000" w:type="dxa"/>
            <w:shd w:val="clear" w:color="auto" w:fill="auto"/>
            <w:vAlign w:val="center"/>
          </w:tcPr>
          <w:p w14:paraId="20325381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未按要求穿着，一次扣 5 分</w:t>
            </w:r>
          </w:p>
        </w:tc>
        <w:tc>
          <w:tcPr>
            <w:tcW w:w="601" w:type="dxa"/>
            <w:shd w:val="clear" w:color="auto" w:fill="auto"/>
            <w:vAlign w:val="center"/>
          </w:tcPr>
          <w:p w14:paraId="5EB827C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eastAsia="宋体"/>
                <w:color w:val="000000"/>
                <w:sz w:val="24"/>
                <w:szCs w:val="24"/>
              </w:rPr>
            </w:pPr>
          </w:p>
        </w:tc>
        <w:tc>
          <w:tcPr>
            <w:tcW w:w="601" w:type="dxa"/>
            <w:shd w:val="clear" w:color="auto" w:fill="auto"/>
            <w:vAlign w:val="center"/>
          </w:tcPr>
          <w:p w14:paraId="15574C9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eastAsia="宋体"/>
                <w:color w:val="000000"/>
                <w:sz w:val="24"/>
                <w:szCs w:val="24"/>
              </w:rPr>
            </w:pPr>
          </w:p>
        </w:tc>
      </w:tr>
      <w:tr w14:paraId="7C3EB7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tblCellSpacing w:w="15" w:type="dxa"/>
          <w:jc w:val="center"/>
        </w:trPr>
        <w:tc>
          <w:tcPr>
            <w:tcW w:w="601" w:type="dxa"/>
            <w:shd w:val="clear" w:color="auto" w:fill="auto"/>
            <w:vAlign w:val="center"/>
          </w:tcPr>
          <w:p w14:paraId="799A7A2B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</w:t>
            </w:r>
          </w:p>
        </w:tc>
        <w:tc>
          <w:tcPr>
            <w:tcW w:w="3000" w:type="dxa"/>
            <w:shd w:val="clear" w:color="auto" w:fill="auto"/>
            <w:vAlign w:val="center"/>
          </w:tcPr>
          <w:p w14:paraId="2DB1109A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按要求打捞河道</w:t>
            </w:r>
          </w:p>
        </w:tc>
        <w:tc>
          <w:tcPr>
            <w:tcW w:w="601" w:type="dxa"/>
            <w:shd w:val="clear" w:color="auto" w:fill="auto"/>
            <w:vAlign w:val="center"/>
          </w:tcPr>
          <w:p w14:paraId="32CB9F40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6</w:t>
            </w:r>
          </w:p>
        </w:tc>
        <w:tc>
          <w:tcPr>
            <w:tcW w:w="3000" w:type="dxa"/>
            <w:shd w:val="clear" w:color="auto" w:fill="auto"/>
            <w:vAlign w:val="center"/>
          </w:tcPr>
          <w:p w14:paraId="4FC20E93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发现一次未打捞，每条河道扣 3 分</w:t>
            </w:r>
          </w:p>
        </w:tc>
        <w:tc>
          <w:tcPr>
            <w:tcW w:w="601" w:type="dxa"/>
            <w:shd w:val="clear" w:color="auto" w:fill="auto"/>
            <w:vAlign w:val="center"/>
          </w:tcPr>
          <w:p w14:paraId="0D8DEA3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eastAsia="宋体"/>
                <w:color w:val="000000"/>
                <w:sz w:val="24"/>
                <w:szCs w:val="24"/>
              </w:rPr>
            </w:pPr>
          </w:p>
        </w:tc>
        <w:tc>
          <w:tcPr>
            <w:tcW w:w="601" w:type="dxa"/>
            <w:shd w:val="clear" w:color="auto" w:fill="auto"/>
            <w:vAlign w:val="center"/>
          </w:tcPr>
          <w:p w14:paraId="76B6780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eastAsia="宋体"/>
                <w:color w:val="000000"/>
                <w:sz w:val="24"/>
                <w:szCs w:val="24"/>
              </w:rPr>
            </w:pPr>
          </w:p>
        </w:tc>
      </w:tr>
      <w:tr w14:paraId="6CE2E8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tblCellSpacing w:w="15" w:type="dxa"/>
          <w:jc w:val="center"/>
        </w:trPr>
        <w:tc>
          <w:tcPr>
            <w:tcW w:w="601" w:type="dxa"/>
            <w:shd w:val="clear" w:color="auto" w:fill="auto"/>
            <w:vAlign w:val="center"/>
          </w:tcPr>
          <w:p w14:paraId="4B3C6BBD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</w:t>
            </w:r>
          </w:p>
        </w:tc>
        <w:tc>
          <w:tcPr>
            <w:tcW w:w="3000" w:type="dxa"/>
            <w:shd w:val="clear" w:color="auto" w:fill="auto"/>
            <w:vAlign w:val="center"/>
          </w:tcPr>
          <w:p w14:paraId="042EF7A8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按规定进行保洁巡查</w:t>
            </w:r>
          </w:p>
        </w:tc>
        <w:tc>
          <w:tcPr>
            <w:tcW w:w="601" w:type="dxa"/>
            <w:shd w:val="clear" w:color="auto" w:fill="auto"/>
            <w:vAlign w:val="center"/>
          </w:tcPr>
          <w:p w14:paraId="3005F802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</w:t>
            </w:r>
          </w:p>
        </w:tc>
        <w:tc>
          <w:tcPr>
            <w:tcW w:w="3000" w:type="dxa"/>
            <w:shd w:val="clear" w:color="auto" w:fill="auto"/>
            <w:vAlign w:val="center"/>
          </w:tcPr>
          <w:p w14:paraId="00407556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未巡查，发现一次扣 1 分</w:t>
            </w:r>
          </w:p>
        </w:tc>
        <w:tc>
          <w:tcPr>
            <w:tcW w:w="601" w:type="dxa"/>
            <w:shd w:val="clear" w:color="auto" w:fill="auto"/>
            <w:vAlign w:val="center"/>
          </w:tcPr>
          <w:p w14:paraId="48A242A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eastAsia="宋体"/>
                <w:color w:val="000000"/>
                <w:sz w:val="24"/>
                <w:szCs w:val="24"/>
              </w:rPr>
            </w:pPr>
          </w:p>
        </w:tc>
        <w:tc>
          <w:tcPr>
            <w:tcW w:w="601" w:type="dxa"/>
            <w:shd w:val="clear" w:color="auto" w:fill="auto"/>
            <w:vAlign w:val="center"/>
          </w:tcPr>
          <w:p w14:paraId="4062CE0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eastAsia="宋体"/>
                <w:color w:val="000000"/>
                <w:sz w:val="24"/>
                <w:szCs w:val="24"/>
              </w:rPr>
            </w:pPr>
          </w:p>
        </w:tc>
      </w:tr>
      <w:tr w14:paraId="3B8D4F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tblCellSpacing w:w="15" w:type="dxa"/>
          <w:jc w:val="center"/>
        </w:trPr>
        <w:tc>
          <w:tcPr>
            <w:tcW w:w="601" w:type="dxa"/>
            <w:shd w:val="clear" w:color="auto" w:fill="auto"/>
            <w:vAlign w:val="center"/>
          </w:tcPr>
          <w:p w14:paraId="71A0F13A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6</w:t>
            </w:r>
          </w:p>
        </w:tc>
        <w:tc>
          <w:tcPr>
            <w:tcW w:w="3000" w:type="dxa"/>
            <w:shd w:val="clear" w:color="auto" w:fill="auto"/>
            <w:vAlign w:val="center"/>
          </w:tcPr>
          <w:p w14:paraId="39810306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每 50 米内零星漂浮物不超过 5 处</w:t>
            </w:r>
          </w:p>
        </w:tc>
        <w:tc>
          <w:tcPr>
            <w:tcW w:w="601" w:type="dxa"/>
            <w:shd w:val="clear" w:color="auto" w:fill="auto"/>
            <w:vAlign w:val="center"/>
          </w:tcPr>
          <w:p w14:paraId="53328DAB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6</w:t>
            </w:r>
          </w:p>
        </w:tc>
        <w:tc>
          <w:tcPr>
            <w:tcW w:w="3000" w:type="dxa"/>
            <w:shd w:val="clear" w:color="auto" w:fill="auto"/>
            <w:vAlign w:val="center"/>
          </w:tcPr>
          <w:p w14:paraId="12C886F3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超量且 3 小时未处理，每处扣 2 分</w:t>
            </w:r>
          </w:p>
        </w:tc>
        <w:tc>
          <w:tcPr>
            <w:tcW w:w="601" w:type="dxa"/>
            <w:shd w:val="clear" w:color="auto" w:fill="auto"/>
            <w:vAlign w:val="center"/>
          </w:tcPr>
          <w:p w14:paraId="4E779006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eastAsia="宋体"/>
                <w:color w:val="000000"/>
                <w:sz w:val="24"/>
                <w:szCs w:val="24"/>
              </w:rPr>
            </w:pPr>
          </w:p>
        </w:tc>
        <w:tc>
          <w:tcPr>
            <w:tcW w:w="601" w:type="dxa"/>
            <w:shd w:val="clear" w:color="auto" w:fill="auto"/>
            <w:vAlign w:val="center"/>
          </w:tcPr>
          <w:p w14:paraId="08B2220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eastAsia="宋体"/>
                <w:color w:val="000000"/>
                <w:sz w:val="24"/>
                <w:szCs w:val="24"/>
              </w:rPr>
            </w:pPr>
          </w:p>
        </w:tc>
      </w:tr>
      <w:tr w14:paraId="0F78A6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tblCellSpacing w:w="15" w:type="dxa"/>
          <w:jc w:val="center"/>
        </w:trPr>
        <w:tc>
          <w:tcPr>
            <w:tcW w:w="601" w:type="dxa"/>
            <w:shd w:val="clear" w:color="auto" w:fill="auto"/>
            <w:vAlign w:val="center"/>
          </w:tcPr>
          <w:p w14:paraId="730CCE46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7</w:t>
            </w:r>
          </w:p>
        </w:tc>
        <w:tc>
          <w:tcPr>
            <w:tcW w:w="3000" w:type="dxa"/>
            <w:shd w:val="clear" w:color="auto" w:fill="auto"/>
            <w:vAlign w:val="center"/>
          </w:tcPr>
          <w:p w14:paraId="5CC92999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每 50 米内成片漂浮物不超过 2㎡</w:t>
            </w:r>
          </w:p>
        </w:tc>
        <w:tc>
          <w:tcPr>
            <w:tcW w:w="601" w:type="dxa"/>
            <w:shd w:val="clear" w:color="auto" w:fill="auto"/>
            <w:vAlign w:val="center"/>
          </w:tcPr>
          <w:p w14:paraId="0CF3A2CE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10</w:t>
            </w:r>
          </w:p>
        </w:tc>
        <w:tc>
          <w:tcPr>
            <w:tcW w:w="3000" w:type="dxa"/>
            <w:shd w:val="clear" w:color="auto" w:fill="auto"/>
            <w:vAlign w:val="center"/>
          </w:tcPr>
          <w:p w14:paraId="425FABA4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超面积，每处扣 5 分</w:t>
            </w:r>
          </w:p>
        </w:tc>
        <w:tc>
          <w:tcPr>
            <w:tcW w:w="601" w:type="dxa"/>
            <w:shd w:val="clear" w:color="auto" w:fill="auto"/>
            <w:vAlign w:val="center"/>
          </w:tcPr>
          <w:p w14:paraId="0AC5EEB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eastAsia="宋体"/>
                <w:color w:val="000000"/>
                <w:sz w:val="24"/>
                <w:szCs w:val="24"/>
              </w:rPr>
            </w:pPr>
          </w:p>
        </w:tc>
        <w:tc>
          <w:tcPr>
            <w:tcW w:w="601" w:type="dxa"/>
            <w:shd w:val="clear" w:color="auto" w:fill="auto"/>
            <w:vAlign w:val="center"/>
          </w:tcPr>
          <w:p w14:paraId="51CD406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eastAsia="宋体"/>
                <w:color w:val="000000"/>
                <w:sz w:val="24"/>
                <w:szCs w:val="24"/>
              </w:rPr>
            </w:pPr>
          </w:p>
        </w:tc>
      </w:tr>
      <w:tr w14:paraId="050C96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tblCellSpacing w:w="15" w:type="dxa"/>
          <w:jc w:val="center"/>
        </w:trPr>
        <w:tc>
          <w:tcPr>
            <w:tcW w:w="601" w:type="dxa"/>
            <w:shd w:val="clear" w:color="auto" w:fill="auto"/>
            <w:vAlign w:val="center"/>
          </w:tcPr>
          <w:p w14:paraId="52F7D0C1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8</w:t>
            </w:r>
          </w:p>
        </w:tc>
        <w:tc>
          <w:tcPr>
            <w:tcW w:w="3000" w:type="dxa"/>
            <w:shd w:val="clear" w:color="auto" w:fill="auto"/>
            <w:vAlign w:val="center"/>
          </w:tcPr>
          <w:p w14:paraId="27592D67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无动物尸体、家具、大树枝等未打捞</w:t>
            </w:r>
          </w:p>
        </w:tc>
        <w:tc>
          <w:tcPr>
            <w:tcW w:w="601" w:type="dxa"/>
            <w:shd w:val="clear" w:color="auto" w:fill="auto"/>
            <w:vAlign w:val="center"/>
          </w:tcPr>
          <w:p w14:paraId="5BDE1E13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10</w:t>
            </w:r>
          </w:p>
        </w:tc>
        <w:tc>
          <w:tcPr>
            <w:tcW w:w="3000" w:type="dxa"/>
            <w:shd w:val="clear" w:color="auto" w:fill="auto"/>
            <w:vAlign w:val="center"/>
          </w:tcPr>
          <w:p w14:paraId="74318E55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未及时打捞，一处扣 5 分</w:t>
            </w:r>
          </w:p>
        </w:tc>
        <w:tc>
          <w:tcPr>
            <w:tcW w:w="601" w:type="dxa"/>
            <w:shd w:val="clear" w:color="auto" w:fill="auto"/>
            <w:vAlign w:val="center"/>
          </w:tcPr>
          <w:p w14:paraId="51D937E8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eastAsia="宋体"/>
                <w:color w:val="000000"/>
                <w:sz w:val="24"/>
                <w:szCs w:val="24"/>
              </w:rPr>
            </w:pPr>
          </w:p>
        </w:tc>
        <w:tc>
          <w:tcPr>
            <w:tcW w:w="601" w:type="dxa"/>
            <w:shd w:val="clear" w:color="auto" w:fill="auto"/>
            <w:vAlign w:val="center"/>
          </w:tcPr>
          <w:p w14:paraId="439A49E1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eastAsia="宋体"/>
                <w:color w:val="000000"/>
                <w:sz w:val="24"/>
                <w:szCs w:val="24"/>
              </w:rPr>
            </w:pPr>
          </w:p>
        </w:tc>
      </w:tr>
      <w:tr w14:paraId="26C62D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tblCellSpacing w:w="15" w:type="dxa"/>
          <w:jc w:val="center"/>
        </w:trPr>
        <w:tc>
          <w:tcPr>
            <w:tcW w:w="601" w:type="dxa"/>
            <w:shd w:val="clear" w:color="auto" w:fill="auto"/>
            <w:vAlign w:val="center"/>
          </w:tcPr>
          <w:p w14:paraId="169A8C48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9</w:t>
            </w:r>
          </w:p>
        </w:tc>
        <w:tc>
          <w:tcPr>
            <w:tcW w:w="3000" w:type="dxa"/>
            <w:shd w:val="clear" w:color="auto" w:fill="auto"/>
            <w:vAlign w:val="center"/>
          </w:tcPr>
          <w:p w14:paraId="63985AEB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垃圾及时上岸并送至指定中转站</w:t>
            </w:r>
          </w:p>
        </w:tc>
        <w:tc>
          <w:tcPr>
            <w:tcW w:w="601" w:type="dxa"/>
            <w:shd w:val="clear" w:color="auto" w:fill="auto"/>
            <w:vAlign w:val="center"/>
          </w:tcPr>
          <w:p w14:paraId="29ACEF0B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  <w:tc>
          <w:tcPr>
            <w:tcW w:w="3000" w:type="dxa"/>
            <w:shd w:val="clear" w:color="auto" w:fill="auto"/>
            <w:vAlign w:val="center"/>
          </w:tcPr>
          <w:p w14:paraId="0DA7C690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未及时 / 未送至，扣 2 分</w:t>
            </w:r>
          </w:p>
        </w:tc>
        <w:tc>
          <w:tcPr>
            <w:tcW w:w="601" w:type="dxa"/>
            <w:shd w:val="clear" w:color="auto" w:fill="auto"/>
            <w:vAlign w:val="center"/>
          </w:tcPr>
          <w:p w14:paraId="0D17F6A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eastAsia="宋体"/>
                <w:color w:val="000000"/>
                <w:sz w:val="24"/>
                <w:szCs w:val="24"/>
              </w:rPr>
            </w:pPr>
          </w:p>
        </w:tc>
        <w:tc>
          <w:tcPr>
            <w:tcW w:w="601" w:type="dxa"/>
            <w:shd w:val="clear" w:color="auto" w:fill="auto"/>
            <w:vAlign w:val="center"/>
          </w:tcPr>
          <w:p w14:paraId="739EDE0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eastAsia="宋体"/>
                <w:color w:val="000000"/>
                <w:sz w:val="24"/>
                <w:szCs w:val="24"/>
              </w:rPr>
            </w:pPr>
          </w:p>
        </w:tc>
      </w:tr>
      <w:tr w14:paraId="7A13A7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tblCellSpacing w:w="15" w:type="dxa"/>
          <w:jc w:val="center"/>
        </w:trPr>
        <w:tc>
          <w:tcPr>
            <w:tcW w:w="601" w:type="dxa"/>
            <w:shd w:val="clear" w:color="auto" w:fill="auto"/>
            <w:vAlign w:val="center"/>
          </w:tcPr>
          <w:p w14:paraId="4C765190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10</w:t>
            </w:r>
          </w:p>
        </w:tc>
        <w:tc>
          <w:tcPr>
            <w:tcW w:w="3000" w:type="dxa"/>
            <w:shd w:val="clear" w:color="auto" w:fill="auto"/>
            <w:vAlign w:val="center"/>
          </w:tcPr>
          <w:p w14:paraId="106065E9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栏杆内外堤面无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高杆</w:t>
            </w: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杂草</w:t>
            </w:r>
          </w:p>
        </w:tc>
        <w:tc>
          <w:tcPr>
            <w:tcW w:w="601" w:type="dxa"/>
            <w:shd w:val="clear" w:color="auto" w:fill="auto"/>
            <w:vAlign w:val="center"/>
          </w:tcPr>
          <w:p w14:paraId="08BCD926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6</w:t>
            </w:r>
          </w:p>
        </w:tc>
        <w:tc>
          <w:tcPr>
            <w:tcW w:w="3000" w:type="dxa"/>
            <w:shd w:val="clear" w:color="auto" w:fill="auto"/>
            <w:vAlign w:val="center"/>
          </w:tcPr>
          <w:p w14:paraId="7CF8208E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有高杆杂草超过30cm且面积超过2m2，或存在灌木、杂树</w:t>
            </w:r>
          </w:p>
          <w:p w14:paraId="49EB7A10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的，</w:t>
            </w: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每处扣 2 分</w:t>
            </w:r>
          </w:p>
        </w:tc>
        <w:tc>
          <w:tcPr>
            <w:tcW w:w="601" w:type="dxa"/>
            <w:shd w:val="clear" w:color="auto" w:fill="auto"/>
            <w:vAlign w:val="center"/>
          </w:tcPr>
          <w:p w14:paraId="79B26F5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eastAsia="宋体"/>
                <w:color w:val="000000"/>
                <w:sz w:val="24"/>
                <w:szCs w:val="24"/>
              </w:rPr>
            </w:pPr>
          </w:p>
        </w:tc>
        <w:tc>
          <w:tcPr>
            <w:tcW w:w="601" w:type="dxa"/>
            <w:shd w:val="clear" w:color="auto" w:fill="auto"/>
            <w:vAlign w:val="center"/>
          </w:tcPr>
          <w:p w14:paraId="6DF81F1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eastAsia="宋体"/>
                <w:color w:val="000000"/>
                <w:sz w:val="24"/>
                <w:szCs w:val="24"/>
              </w:rPr>
            </w:pPr>
          </w:p>
        </w:tc>
      </w:tr>
      <w:tr w14:paraId="5D7017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tblCellSpacing w:w="15" w:type="dxa"/>
          <w:jc w:val="center"/>
        </w:trPr>
        <w:tc>
          <w:tcPr>
            <w:tcW w:w="601" w:type="dxa"/>
            <w:shd w:val="clear" w:color="auto" w:fill="auto"/>
            <w:vAlign w:val="center"/>
          </w:tcPr>
          <w:p w14:paraId="1D9B12D9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11</w:t>
            </w:r>
          </w:p>
        </w:tc>
        <w:tc>
          <w:tcPr>
            <w:tcW w:w="3000" w:type="dxa"/>
            <w:shd w:val="clear" w:color="auto" w:fill="auto"/>
            <w:vAlign w:val="center"/>
          </w:tcPr>
          <w:p w14:paraId="6A70F080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船容整洁，日捞日清，船舱无积存垃圾</w:t>
            </w:r>
          </w:p>
        </w:tc>
        <w:tc>
          <w:tcPr>
            <w:tcW w:w="601" w:type="dxa"/>
            <w:shd w:val="clear" w:color="auto" w:fill="auto"/>
            <w:vAlign w:val="center"/>
          </w:tcPr>
          <w:p w14:paraId="2E0BB056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4</w:t>
            </w:r>
          </w:p>
        </w:tc>
        <w:tc>
          <w:tcPr>
            <w:tcW w:w="3000" w:type="dxa"/>
            <w:shd w:val="clear" w:color="auto" w:fill="auto"/>
            <w:vAlign w:val="center"/>
          </w:tcPr>
          <w:p w14:paraId="28E33035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未做到，每船扣 2 分</w:t>
            </w:r>
          </w:p>
        </w:tc>
        <w:tc>
          <w:tcPr>
            <w:tcW w:w="601" w:type="dxa"/>
            <w:shd w:val="clear" w:color="auto" w:fill="auto"/>
            <w:vAlign w:val="center"/>
          </w:tcPr>
          <w:p w14:paraId="1C1FF2C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eastAsia="宋体"/>
                <w:color w:val="000000"/>
                <w:sz w:val="24"/>
                <w:szCs w:val="24"/>
              </w:rPr>
            </w:pPr>
          </w:p>
        </w:tc>
        <w:tc>
          <w:tcPr>
            <w:tcW w:w="601" w:type="dxa"/>
            <w:shd w:val="clear" w:color="auto" w:fill="auto"/>
            <w:vAlign w:val="center"/>
          </w:tcPr>
          <w:p w14:paraId="64944FDC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eastAsia="宋体"/>
                <w:color w:val="000000"/>
                <w:sz w:val="24"/>
                <w:szCs w:val="24"/>
              </w:rPr>
            </w:pPr>
          </w:p>
        </w:tc>
      </w:tr>
      <w:tr w14:paraId="5CE89B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tblCellSpacing w:w="15" w:type="dxa"/>
          <w:jc w:val="center"/>
        </w:trPr>
        <w:tc>
          <w:tcPr>
            <w:tcW w:w="601" w:type="dxa"/>
            <w:shd w:val="clear" w:color="auto" w:fill="auto"/>
            <w:vAlign w:val="center"/>
          </w:tcPr>
          <w:p w14:paraId="11738629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12</w:t>
            </w:r>
          </w:p>
        </w:tc>
        <w:tc>
          <w:tcPr>
            <w:tcW w:w="3000" w:type="dxa"/>
            <w:shd w:val="clear" w:color="auto" w:fill="auto"/>
            <w:vAlign w:val="center"/>
          </w:tcPr>
          <w:p w14:paraId="2B5FE9BF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服从监管部门统一安排调度</w:t>
            </w:r>
          </w:p>
        </w:tc>
        <w:tc>
          <w:tcPr>
            <w:tcW w:w="601" w:type="dxa"/>
            <w:shd w:val="clear" w:color="auto" w:fill="auto"/>
            <w:vAlign w:val="center"/>
          </w:tcPr>
          <w:p w14:paraId="776A7501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</w:t>
            </w:r>
          </w:p>
        </w:tc>
        <w:tc>
          <w:tcPr>
            <w:tcW w:w="3000" w:type="dxa"/>
            <w:shd w:val="clear" w:color="auto" w:fill="auto"/>
            <w:vAlign w:val="center"/>
          </w:tcPr>
          <w:p w14:paraId="01894097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不服从，扣 5 分</w:t>
            </w:r>
          </w:p>
        </w:tc>
        <w:tc>
          <w:tcPr>
            <w:tcW w:w="601" w:type="dxa"/>
            <w:shd w:val="clear" w:color="auto" w:fill="auto"/>
            <w:vAlign w:val="center"/>
          </w:tcPr>
          <w:p w14:paraId="72256E04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eastAsia="宋体"/>
                <w:color w:val="000000"/>
                <w:sz w:val="24"/>
                <w:szCs w:val="24"/>
              </w:rPr>
            </w:pPr>
          </w:p>
        </w:tc>
        <w:tc>
          <w:tcPr>
            <w:tcW w:w="601" w:type="dxa"/>
            <w:shd w:val="clear" w:color="auto" w:fill="auto"/>
            <w:vAlign w:val="center"/>
          </w:tcPr>
          <w:p w14:paraId="572BA9BA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eastAsia="宋体"/>
                <w:color w:val="000000"/>
                <w:sz w:val="24"/>
                <w:szCs w:val="24"/>
              </w:rPr>
            </w:pPr>
          </w:p>
        </w:tc>
      </w:tr>
      <w:tr w14:paraId="5F6AB0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tblCellSpacing w:w="15" w:type="dxa"/>
          <w:jc w:val="center"/>
        </w:trPr>
        <w:tc>
          <w:tcPr>
            <w:tcW w:w="601" w:type="dxa"/>
            <w:shd w:val="clear" w:color="auto" w:fill="auto"/>
            <w:vAlign w:val="center"/>
          </w:tcPr>
          <w:p w14:paraId="6C687B30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13</w:t>
            </w:r>
          </w:p>
        </w:tc>
        <w:tc>
          <w:tcPr>
            <w:tcW w:w="3000" w:type="dxa"/>
            <w:shd w:val="clear" w:color="auto" w:fill="auto"/>
            <w:vAlign w:val="center"/>
          </w:tcPr>
          <w:p w14:paraId="2B969A8C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及时处理市民反映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、媒体曝光和</w:t>
            </w: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巡查发现问题</w:t>
            </w:r>
          </w:p>
        </w:tc>
        <w:tc>
          <w:tcPr>
            <w:tcW w:w="601" w:type="dxa"/>
            <w:shd w:val="clear" w:color="auto" w:fill="auto"/>
            <w:vAlign w:val="center"/>
          </w:tcPr>
          <w:p w14:paraId="20062D94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  <w:tc>
          <w:tcPr>
            <w:tcW w:w="3000" w:type="dxa"/>
            <w:shd w:val="clear" w:color="auto" w:fill="auto"/>
            <w:vAlign w:val="center"/>
          </w:tcPr>
          <w:p w14:paraId="2675C884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未及时处理，扣 2 分</w:t>
            </w:r>
          </w:p>
        </w:tc>
        <w:tc>
          <w:tcPr>
            <w:tcW w:w="601" w:type="dxa"/>
            <w:shd w:val="clear" w:color="auto" w:fill="auto"/>
            <w:vAlign w:val="center"/>
          </w:tcPr>
          <w:p w14:paraId="570199A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eastAsia="宋体"/>
                <w:color w:val="000000"/>
                <w:sz w:val="24"/>
                <w:szCs w:val="24"/>
              </w:rPr>
            </w:pPr>
          </w:p>
        </w:tc>
        <w:tc>
          <w:tcPr>
            <w:tcW w:w="601" w:type="dxa"/>
            <w:shd w:val="clear" w:color="auto" w:fill="auto"/>
            <w:vAlign w:val="center"/>
          </w:tcPr>
          <w:p w14:paraId="7E6FEC7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eastAsia="宋体"/>
                <w:color w:val="000000"/>
                <w:sz w:val="24"/>
                <w:szCs w:val="24"/>
              </w:rPr>
            </w:pPr>
          </w:p>
        </w:tc>
      </w:tr>
      <w:tr w14:paraId="5E2537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tblCellSpacing w:w="15" w:type="dxa"/>
          <w:jc w:val="center"/>
        </w:trPr>
        <w:tc>
          <w:tcPr>
            <w:tcW w:w="601" w:type="dxa"/>
            <w:shd w:val="clear" w:color="auto" w:fill="auto"/>
            <w:vAlign w:val="center"/>
          </w:tcPr>
          <w:p w14:paraId="603997DF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14</w:t>
            </w:r>
          </w:p>
        </w:tc>
        <w:tc>
          <w:tcPr>
            <w:tcW w:w="3000" w:type="dxa"/>
            <w:shd w:val="clear" w:color="auto" w:fill="auto"/>
            <w:vAlign w:val="center"/>
          </w:tcPr>
          <w:p w14:paraId="70DF5A82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服从抬水工程调度，不擅自开闸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放水</w:t>
            </w:r>
          </w:p>
        </w:tc>
        <w:tc>
          <w:tcPr>
            <w:tcW w:w="601" w:type="dxa"/>
            <w:shd w:val="clear" w:color="auto" w:fill="auto"/>
            <w:vAlign w:val="center"/>
          </w:tcPr>
          <w:p w14:paraId="41A49B0E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10</w:t>
            </w:r>
          </w:p>
        </w:tc>
        <w:tc>
          <w:tcPr>
            <w:tcW w:w="3000" w:type="dxa"/>
            <w:shd w:val="clear" w:color="auto" w:fill="auto"/>
            <w:vAlign w:val="center"/>
          </w:tcPr>
          <w:p w14:paraId="239889C5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不服从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调度</w:t>
            </w: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擅自开闸，一次扣 10 分</w:t>
            </w:r>
          </w:p>
        </w:tc>
        <w:tc>
          <w:tcPr>
            <w:tcW w:w="601" w:type="dxa"/>
            <w:shd w:val="clear" w:color="auto" w:fill="auto"/>
            <w:vAlign w:val="center"/>
          </w:tcPr>
          <w:p w14:paraId="376F71B0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eastAsia="宋体"/>
                <w:color w:val="000000"/>
                <w:sz w:val="24"/>
                <w:szCs w:val="24"/>
              </w:rPr>
            </w:pPr>
          </w:p>
        </w:tc>
        <w:tc>
          <w:tcPr>
            <w:tcW w:w="601" w:type="dxa"/>
            <w:shd w:val="clear" w:color="auto" w:fill="auto"/>
            <w:vAlign w:val="center"/>
          </w:tcPr>
          <w:p w14:paraId="5CC375F7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eastAsia="宋体"/>
                <w:color w:val="000000"/>
                <w:sz w:val="24"/>
                <w:szCs w:val="24"/>
              </w:rPr>
            </w:pPr>
          </w:p>
        </w:tc>
      </w:tr>
      <w:tr w14:paraId="2F5845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tblCellSpacing w:w="15" w:type="dxa"/>
          <w:jc w:val="center"/>
        </w:trPr>
        <w:tc>
          <w:tcPr>
            <w:tcW w:w="601" w:type="dxa"/>
            <w:shd w:val="clear" w:color="auto" w:fill="auto"/>
            <w:vAlign w:val="center"/>
          </w:tcPr>
          <w:p w14:paraId="3A4918D9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15</w:t>
            </w:r>
          </w:p>
        </w:tc>
        <w:tc>
          <w:tcPr>
            <w:tcW w:w="3000" w:type="dxa"/>
            <w:shd w:val="clear" w:color="auto" w:fill="auto"/>
            <w:vAlign w:val="center"/>
          </w:tcPr>
          <w:p w14:paraId="6F9E1DB6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及时保养维护工程设备设施</w:t>
            </w:r>
          </w:p>
        </w:tc>
        <w:tc>
          <w:tcPr>
            <w:tcW w:w="601" w:type="dxa"/>
            <w:shd w:val="clear" w:color="auto" w:fill="auto"/>
            <w:vAlign w:val="center"/>
          </w:tcPr>
          <w:p w14:paraId="55854AFB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5</w:t>
            </w:r>
          </w:p>
        </w:tc>
        <w:tc>
          <w:tcPr>
            <w:tcW w:w="3000" w:type="dxa"/>
            <w:shd w:val="clear" w:color="auto" w:fill="auto"/>
            <w:vAlign w:val="center"/>
          </w:tcPr>
          <w:p w14:paraId="679485B9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未及时维保，一次扣 5 分</w:t>
            </w:r>
          </w:p>
        </w:tc>
        <w:tc>
          <w:tcPr>
            <w:tcW w:w="601" w:type="dxa"/>
            <w:shd w:val="clear" w:color="auto" w:fill="auto"/>
            <w:vAlign w:val="center"/>
          </w:tcPr>
          <w:p w14:paraId="353F842D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eastAsia="宋体"/>
                <w:color w:val="000000"/>
                <w:sz w:val="24"/>
                <w:szCs w:val="24"/>
              </w:rPr>
            </w:pPr>
          </w:p>
        </w:tc>
        <w:tc>
          <w:tcPr>
            <w:tcW w:w="601" w:type="dxa"/>
            <w:shd w:val="clear" w:color="auto" w:fill="auto"/>
            <w:vAlign w:val="center"/>
          </w:tcPr>
          <w:p w14:paraId="77A2BA9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eastAsia="宋体"/>
                <w:color w:val="000000"/>
                <w:sz w:val="24"/>
                <w:szCs w:val="24"/>
              </w:rPr>
            </w:pPr>
          </w:p>
        </w:tc>
      </w:tr>
      <w:tr w14:paraId="322E7F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tblCellSpacing w:w="15" w:type="dxa"/>
          <w:jc w:val="center"/>
        </w:trPr>
        <w:tc>
          <w:tcPr>
            <w:tcW w:w="601" w:type="dxa"/>
            <w:shd w:val="clear" w:color="auto" w:fill="auto"/>
            <w:vAlign w:val="center"/>
          </w:tcPr>
          <w:p w14:paraId="2412767E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eastAsia="宋体"/>
                <w:b/>
                <w:color w:val="000000"/>
                <w:sz w:val="24"/>
                <w:szCs w:val="24"/>
              </w:rPr>
            </w:pPr>
          </w:p>
        </w:tc>
        <w:tc>
          <w:tcPr>
            <w:tcW w:w="3000" w:type="dxa"/>
            <w:shd w:val="clear" w:color="auto" w:fill="auto"/>
            <w:vAlign w:val="center"/>
          </w:tcPr>
          <w:p w14:paraId="28DEA7DB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b/>
                <w:color w:val="000000"/>
                <w:sz w:val="24"/>
                <w:szCs w:val="24"/>
              </w:rPr>
            </w:pPr>
            <w:r>
              <w:rPr>
                <w:rStyle w:val="7"/>
                <w:rFonts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"/>
              </w:rPr>
              <w:t>合计</w:t>
            </w:r>
          </w:p>
        </w:tc>
        <w:tc>
          <w:tcPr>
            <w:tcW w:w="601" w:type="dxa"/>
            <w:shd w:val="clear" w:color="auto" w:fill="auto"/>
            <w:vAlign w:val="center"/>
          </w:tcPr>
          <w:p w14:paraId="03CC29AC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b/>
                <w:color w:val="000000"/>
                <w:sz w:val="24"/>
                <w:szCs w:val="24"/>
              </w:rPr>
            </w:pPr>
            <w:r>
              <w:rPr>
                <w:rStyle w:val="7"/>
                <w:rFonts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"/>
              </w:rPr>
              <w:t>100</w:t>
            </w:r>
          </w:p>
        </w:tc>
        <w:tc>
          <w:tcPr>
            <w:tcW w:w="3000" w:type="dxa"/>
            <w:shd w:val="clear" w:color="auto" w:fill="auto"/>
            <w:vAlign w:val="center"/>
          </w:tcPr>
          <w:p w14:paraId="33AE904C"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240" w:lineRule="auto"/>
              <w:ind w:left="0" w:leftChars="0" w:right="0" w:rightChars="0" w:firstLine="0" w:firstLineChars="0"/>
              <w:jc w:val="center"/>
              <w:rPr>
                <w:rFonts w:ascii="宋体" w:eastAsia="宋体"/>
                <w:b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color w:val="000000"/>
                <w:kern w:val="0"/>
                <w:sz w:val="24"/>
                <w:szCs w:val="24"/>
                <w:lang w:val="en-US" w:eastAsia="zh-CN" w:bidi="ar"/>
              </w:rPr>
              <w:t>——</w:t>
            </w:r>
          </w:p>
        </w:tc>
        <w:tc>
          <w:tcPr>
            <w:tcW w:w="601" w:type="dxa"/>
            <w:shd w:val="clear" w:color="auto" w:fill="auto"/>
            <w:vAlign w:val="center"/>
          </w:tcPr>
          <w:p w14:paraId="4779062B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eastAsia="宋体"/>
                <w:b/>
                <w:color w:val="000000"/>
                <w:sz w:val="24"/>
                <w:szCs w:val="24"/>
              </w:rPr>
            </w:pPr>
          </w:p>
        </w:tc>
        <w:tc>
          <w:tcPr>
            <w:tcW w:w="601" w:type="dxa"/>
            <w:shd w:val="clear" w:color="auto" w:fill="auto"/>
            <w:vAlign w:val="center"/>
          </w:tcPr>
          <w:p w14:paraId="028A247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宋体" w:eastAsia="宋体"/>
                <w:b/>
                <w:color w:val="000000"/>
                <w:sz w:val="24"/>
                <w:szCs w:val="24"/>
              </w:rPr>
            </w:pPr>
          </w:p>
        </w:tc>
      </w:tr>
    </w:tbl>
    <w:p w14:paraId="4F98FEA1"/>
    <w:p w14:paraId="4C8B1081"/>
    <w:p w14:paraId="54590B05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120" w:afterAutospacing="0" w:line="360" w:lineRule="auto"/>
        <w:ind w:left="480" w:leftChars="0" w:right="0" w:rightChars="0" w:hanging="480" w:hangingChars="200"/>
        <w:jc w:val="both"/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</w:p>
    <w:p w14:paraId="41976496">
      <w:pPr>
        <w:bidi w:val="0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</w:p>
    <w:p w14:paraId="1BCA7E33">
      <w:pPr>
        <w:bidi w:val="0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</w:p>
    <w:p w14:paraId="78275C9B">
      <w:pPr>
        <w:bidi w:val="0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</w:p>
    <w:p w14:paraId="66958631">
      <w:pPr>
        <w:bidi w:val="0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</w:p>
    <w:p w14:paraId="44066119">
      <w:pPr>
        <w:bidi w:val="0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</w:p>
    <w:p w14:paraId="7201A071">
      <w:pPr>
        <w:bidi w:val="0"/>
        <w:rPr>
          <w:rFonts w:hint="default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3.2考核要求：</w:t>
      </w:r>
    </w:p>
    <w:p w14:paraId="30640E3E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Autospacing="0" w:line="240" w:lineRule="auto"/>
        <w:ind w:left="0" w:leftChars="0" w:right="0" w:rightChars="0"/>
        <w:jc w:val="both"/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（1）实行每日巡查、每周自查、每月考核制度，杜绝缺岗、未打捞、未维保、不服从调度等情况。</w:t>
      </w:r>
    </w:p>
    <w:p w14:paraId="4F56F18F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Autospacing="0" w:line="240" w:lineRule="auto"/>
        <w:ind w:left="0" w:leftChars="0" w:right="0" w:rightChars="0"/>
        <w:jc w:val="both"/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（2）采购人不定期对成交供应商工作进行抽查和暗访，抽查和暗访时不需要成交供应商的管理人员陪同。采购人在检查中发现的问题及时通知成交供应商，成交供应商及时整改。</w:t>
      </w:r>
    </w:p>
    <w:p w14:paraId="3E2B5822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Autospacing="0" w:line="240" w:lineRule="auto"/>
        <w:ind w:left="0" w:leftChars="0" w:right="0" w:rightChars="0"/>
        <w:jc w:val="both"/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（3）每月月度考核评分表需双方签字确认后，统一建档管理。考核评分90分为合格，低于90分，按每少1分扣发2000元。最终结算支付金额=合同金额-考核不合格月度扣分之和*2000元。</w:t>
      </w:r>
    </w:p>
    <w:p w14:paraId="0FC748BA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Autospacing="0" w:line="240" w:lineRule="auto"/>
        <w:ind w:left="0" w:leftChars="0" w:right="0" w:rightChars="0"/>
        <w:jc w:val="both"/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（4）累计3次月度考核不合格（考核得分低于90分均属于不合格），采购人有权要求立即终止合同，成交供应商应无条件退场，不得要求任何补偿。</w:t>
      </w:r>
    </w:p>
    <w:p w14:paraId="64AC75A5">
      <w:pPr>
        <w:bidi w:val="0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3.3评分办法</w:t>
      </w:r>
    </w:p>
    <w:p w14:paraId="3F6B353F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Autospacing="0" w:line="240" w:lineRule="auto"/>
        <w:ind w:left="0" w:leftChars="0" w:right="0" w:rightChars="0"/>
        <w:jc w:val="both"/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（1）采购人每月对检查考核评分表中的项目进行考核，根据每月的检查情况确定最终得分。</w:t>
      </w:r>
    </w:p>
    <w:p w14:paraId="58C81719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Autospacing="0" w:line="240" w:lineRule="auto"/>
        <w:ind w:left="0" w:leftChars="0" w:right="0" w:rightChars="0"/>
        <w:jc w:val="both"/>
        <w:rPr>
          <w:rFonts w:hint="eastAsia" w:ascii="宋体" w:hAnsi="宋体" w:eastAsia="宋体" w:cs="宋体"/>
          <w:b/>
          <w:bCs/>
          <w:sz w:val="28"/>
          <w:szCs w:val="28"/>
        </w:rPr>
      </w:pPr>
      <w:r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（2）若该月因成交供应商工作不力受到上级部门的通报批评（包含新闻媒体曝光），每次扣成交供应商当月考核5分。</w:t>
      </w:r>
    </w:p>
    <w:p w14:paraId="44C60C8B">
      <w:pPr>
        <w:bidi w:val="0"/>
        <w:jc w:val="center"/>
        <w:rPr>
          <w:rFonts w:hint="eastAsia" w:ascii="宋体" w:hAnsi="宋体" w:eastAsia="宋体" w:cs="宋体"/>
          <w:b/>
          <w:bCs/>
          <w:sz w:val="28"/>
          <w:szCs w:val="28"/>
          <w:lang w:eastAsia="zh-CN"/>
        </w:rPr>
      </w:pPr>
    </w:p>
    <w:p w14:paraId="5D72D75E">
      <w:pPr>
        <w:bidi w:val="0"/>
        <w:jc w:val="center"/>
        <w:rPr>
          <w:rFonts w:hint="eastAsia" w:ascii="宋体" w:hAnsi="宋体" w:eastAsia="宋体" w:cs="宋体"/>
          <w:b/>
          <w:bCs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eastAsia="zh-CN"/>
        </w:rPr>
        <w:t>（</w:t>
      </w: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二</w:t>
      </w:r>
      <w:r>
        <w:rPr>
          <w:rFonts w:hint="eastAsia" w:ascii="宋体" w:hAnsi="宋体" w:eastAsia="宋体" w:cs="宋体"/>
          <w:b/>
          <w:bCs/>
          <w:sz w:val="28"/>
          <w:szCs w:val="28"/>
          <w:lang w:eastAsia="zh-CN"/>
        </w:rPr>
        <w:t>）</w:t>
      </w:r>
      <w:r>
        <w:rPr>
          <w:rFonts w:hint="eastAsia" w:ascii="宋体" w:hAnsi="宋体" w:eastAsia="宋体" w:cs="宋体"/>
          <w:b/>
          <w:bCs/>
          <w:sz w:val="28"/>
          <w:szCs w:val="28"/>
        </w:rPr>
        <w:t>商务要求</w:t>
      </w:r>
    </w:p>
    <w:p w14:paraId="67194CAD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Autospacing="0" w:line="240" w:lineRule="auto"/>
        <w:ind w:left="0" w:leftChars="0" w:right="0" w:rightChars="0"/>
        <w:jc w:val="both"/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1、服务期限:自合同签订之日起一年。</w:t>
      </w:r>
    </w:p>
    <w:p w14:paraId="2CB255DA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Autospacing="0" w:line="240" w:lineRule="auto"/>
        <w:ind w:left="0" w:leftChars="0" w:right="0" w:rightChars="0"/>
        <w:jc w:val="both"/>
        <w:rPr>
          <w:rFonts w:hint="default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2、服务地点:采购人指定地点。</w:t>
      </w:r>
    </w:p>
    <w:p w14:paraId="3A64F686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Autospacing="0" w:line="240" w:lineRule="auto"/>
        <w:ind w:left="0" w:leftChars="0" w:right="0" w:rightChars="0"/>
        <w:jc w:val="both"/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3、验收：本项目实行月度服务质量考核评分，每季度按每月考核评分结果为支付依据。</w:t>
      </w:r>
    </w:p>
    <w:p w14:paraId="17F01C6A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Autospacing="0" w:line="240" w:lineRule="auto"/>
        <w:ind w:left="0" w:leftChars="0" w:right="0" w:rightChars="0"/>
        <w:jc w:val="both"/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月度服务质量考核评分：合同履行期间，对环境管护、水面保洁服务及景观抬水工程运行管理实行全过程动态监测管理，每月开展动态监测服务质量考核评分（详见采购需求中：《铜鼓县定江河、石桥水河道管护与景观抬水工程运行管理考核评分表》及相关要求），考核评分结果作为该部分结算的依据。</w:t>
      </w:r>
    </w:p>
    <w:p w14:paraId="777C5AA2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Autospacing="0" w:line="240" w:lineRule="auto"/>
        <w:ind w:left="0" w:leftChars="0" w:right="0" w:rightChars="0"/>
        <w:jc w:val="both"/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4、付款方式：</w:t>
      </w:r>
    </w:p>
    <w:p w14:paraId="1BEA3993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Autospacing="0" w:line="240" w:lineRule="auto"/>
        <w:ind w:left="0" w:leftChars="0" w:right="0" w:rightChars="0"/>
        <w:jc w:val="both"/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合同签订生效后，每季度根据月考核评分结果支付相应款项。</w:t>
      </w:r>
    </w:p>
    <w:p w14:paraId="3D1CBBF0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Autospacing="0" w:line="240" w:lineRule="auto"/>
        <w:ind w:left="0" w:leftChars="0" w:right="0" w:rightChars="0"/>
        <w:jc w:val="both"/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5、服务响应时限及要求：</w:t>
      </w:r>
    </w:p>
    <w:p w14:paraId="464EC940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Autospacing="0" w:line="240" w:lineRule="auto"/>
        <w:ind w:left="0" w:leftChars="0" w:right="0" w:rightChars="0"/>
        <w:jc w:val="both"/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（1）暴雨、洪水过后：3日内完成大件垃圾、树木、动物尸体全面清理。</w:t>
      </w:r>
    </w:p>
    <w:p w14:paraId="06F4D5CC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Autospacing="0" w:line="240" w:lineRule="auto"/>
        <w:ind w:left="0" w:leftChars="0" w:right="0" w:rightChars="0"/>
        <w:jc w:val="both"/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（2）群众举报、媒体曝光、巡查问题：24小时内整改完毕。</w:t>
      </w:r>
    </w:p>
    <w:p w14:paraId="0F7C7FDD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Autospacing="0" w:line="240" w:lineRule="auto"/>
        <w:ind w:left="0" w:leftChars="0" w:right="0" w:rightChars="0"/>
        <w:jc w:val="both"/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（3）举行重大活动时：无条件加密巡查保洁，全河段覆盖保障。</w:t>
      </w:r>
    </w:p>
    <w:p w14:paraId="6643A7C6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Autospacing="0" w:line="240" w:lineRule="auto"/>
        <w:ind w:left="0" w:leftChars="0" w:right="0" w:rightChars="0"/>
        <w:jc w:val="both"/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（4）应急响应：24小时待命，接到指令后10分钟内响应、20分钟内到达现场并处置完毕。</w:t>
      </w:r>
    </w:p>
    <w:p w14:paraId="5407FA74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Autospacing="0" w:line="240" w:lineRule="auto"/>
        <w:ind w:left="0" w:leftChars="0" w:right="0" w:rightChars="0"/>
        <w:jc w:val="both"/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6、售后服务要求：</w:t>
      </w:r>
    </w:p>
    <w:p w14:paraId="1AE16B79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Autospacing="0" w:line="240" w:lineRule="auto"/>
        <w:ind w:left="0" w:leftChars="0" w:right="0" w:rightChars="0"/>
        <w:jc w:val="both"/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6.1供应商单独提供承诺函，承诺提供电话技术支持、现场响应等服务方式，服务期内的技术服务包含:本地化服务、维护服务、优化服务、咨询服务、电话服务以及现场服务等(按采购人要求)。</w:t>
      </w:r>
    </w:p>
    <w:p w14:paraId="12AF54CF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Autospacing="0" w:line="240" w:lineRule="auto"/>
        <w:ind w:left="0" w:leftChars="0" w:right="0" w:rightChars="0"/>
        <w:jc w:val="both"/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6.2成交供应商应提供免费的技术咨询、补充材料提交等服务，以及其他的技术支持工作。</w:t>
      </w:r>
    </w:p>
    <w:p w14:paraId="364118BB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Autospacing="0" w:line="240" w:lineRule="auto"/>
        <w:ind w:left="0" w:leftChars="0" w:right="0" w:rightChars="0"/>
        <w:jc w:val="both"/>
        <w:rPr>
          <w:rFonts w:hint="eastAsia" w:ascii="宋体" w:hAnsi="宋体" w:eastAsia="宋体" w:cs="宋体"/>
          <w:b/>
          <w:bCs/>
          <w:sz w:val="30"/>
          <w:szCs w:val="30"/>
          <w:lang w:eastAsia="zh-CN"/>
        </w:rPr>
      </w:pPr>
      <w:r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7、成交供应商在服务期间造成的人员伤亡或出现其它安全、生产事故等均由成交供应商承担一切责任及连带责任，所有责任均与采购方无关。</w:t>
      </w:r>
    </w:p>
    <w:p w14:paraId="5515E1A0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Autospacing="0" w:line="240" w:lineRule="auto"/>
        <w:ind w:left="0" w:leftChars="0" w:right="0" w:rightChars="0"/>
        <w:jc w:val="both"/>
        <w:rPr>
          <w:rFonts w:hint="eastAsia" w:eastAsia="宋体" w:asciiTheme="minorHAnsi" w:hAnsiTheme="minorHAnsi" w:cstheme="minorBidi"/>
          <w:b w:val="0"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</w:pPr>
      <w:r>
        <w:rPr>
          <w:rFonts w:hint="eastAsia" w:eastAsia="宋体" w:asciiTheme="minorHAnsi" w:hAnsiTheme="minorHAnsi" w:cstheme="minorBidi"/>
          <w:b/>
          <w:bCs/>
          <w:i w:val="0"/>
          <w:strike w:val="0"/>
          <w:color w:val="auto"/>
          <w:kern w:val="2"/>
          <w:sz w:val="24"/>
          <w:szCs w:val="24"/>
          <w:u w:val="none"/>
          <w:lang w:val="en-US" w:eastAsia="zh-CN" w:bidi="ar-SA"/>
        </w:rPr>
        <w:t>注：以上所有服务、商务要求均为实质性要求，供应商必须完全满足或优于，否则作无效响应处理（采购文件中另有规定的除外）。</w:t>
      </w:r>
    </w:p>
    <w:p w14:paraId="018AF89C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3ADFEBB"/>
    <w:multiLevelType w:val="singleLevel"/>
    <w:tmpl w:val="03ADFEBB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6623EC4"/>
    <w:rsid w:val="281364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semiHidden/>
    <w:qFormat/>
    <w:uiPriority w:val="0"/>
    <w:rPr>
      <w:rFonts w:ascii="仿宋" w:hAnsi="仿宋" w:eastAsia="仿宋" w:cs="仿宋"/>
      <w:sz w:val="30"/>
      <w:szCs w:val="30"/>
    </w:rPr>
  </w:style>
  <w:style w:type="paragraph" w:styleId="3">
    <w:name w:val="Body Text First Indent"/>
    <w:basedOn w:val="2"/>
    <w:qFormat/>
    <w:uiPriority w:val="0"/>
    <w:pPr>
      <w:ind w:firstLine="420" w:firstLineChars="100"/>
    </w:p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7">
    <w:name w:val="Strong"/>
    <w:basedOn w:val="6"/>
    <w:qFormat/>
    <w:uiPriority w:val="0"/>
    <w:rPr>
      <w:b/>
    </w:rPr>
  </w:style>
  <w:style w:type="character" w:customStyle="1" w:styleId="8">
    <w:name w:val="font41"/>
    <w:basedOn w:val="6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9">
    <w:name w:val="Table Text"/>
    <w:basedOn w:val="1"/>
    <w:semiHidden/>
    <w:qFormat/>
    <w:uiPriority w:val="0"/>
  </w:style>
  <w:style w:type="table" w:customStyle="1" w:styleId="10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13065</Words>
  <Characters>14235</Characters>
  <Lines>0</Lines>
  <Paragraphs>0</Paragraphs>
  <TotalTime>0</TotalTime>
  <ScaleCrop>false</ScaleCrop>
  <LinksUpToDate>false</LinksUpToDate>
  <CharactersWithSpaces>14450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2025-12-24T09:08:00Z</dcterms:created>
  <dc:creator>Administrator</dc:creator>
  <cp:lastModifiedBy>Administrator</cp:lastModifiedBy>
  <dcterms:modified xsi:type="dcterms:W3CDTF">2026-05-14T08:56:59Z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eyJoZGlkIjoiYTBkYTViMDA5YTY3MmU5OWFkMGExNmZkNDhkMWZmNWUiLCJ1c2VySWQiOiIxMTM2NDEzNjkxIn0=</vt:lpwstr>
  </property>
  <property fmtid="{D5CDD505-2E9C-101B-9397-08002B2CF9AE}" pid="4" name="ICV">
    <vt:lpwstr>24E5F220C1D5488AA51CEF983C589140_12</vt:lpwstr>
  </property>
</Properties>
</file>