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4E9CAC">
      <w:pPr>
        <w:pStyle w:val="2"/>
        <w:pageBreakBefore w:val="0"/>
        <w:widowControl/>
        <w:kinsoku/>
        <w:wordWrap/>
        <w:overflowPunct/>
        <w:topLinePunct w:val="0"/>
        <w:autoSpaceDE w:val="0"/>
        <w:autoSpaceDN w:val="0"/>
        <w:bidi w:val="0"/>
        <w:adjustRightInd w:val="0"/>
        <w:snapToGrid w:val="0"/>
        <w:textAlignment w:val="baseline"/>
        <w:rPr>
          <w:rFonts w:hint="eastAsia"/>
          <w:lang w:eastAsia="zh-CN"/>
        </w:rPr>
      </w:pPr>
      <w:bookmarkStart w:id="0" w:name="_Toc21295"/>
      <w:r>
        <w:rPr>
          <w:rFonts w:hint="eastAsia"/>
          <w:lang w:eastAsia="zh-CN"/>
        </w:rPr>
        <w:t>（一）技术规格（工程需求）</w:t>
      </w:r>
      <w:bookmarkEnd w:id="0"/>
    </w:p>
    <w:p w14:paraId="27AE245D">
      <w:pPr>
        <w:keepNext w:val="0"/>
        <w:keepLines w:val="0"/>
        <w:pageBreakBefore w:val="0"/>
        <w:widowControl/>
        <w:kinsoku/>
        <w:wordWrap/>
        <w:overflowPunct/>
        <w:topLinePunct w:val="0"/>
        <w:autoSpaceDE w:val="0"/>
        <w:autoSpaceDN w:val="0"/>
        <w:bidi w:val="0"/>
        <w:adjustRightInd w:val="0"/>
        <w:snapToGrid w:val="0"/>
        <w:spacing w:line="560" w:lineRule="exact"/>
        <w:jc w:val="both"/>
        <w:textAlignment w:val="baseline"/>
        <w:rPr>
          <w:rFonts w:hint="eastAsia" w:asciiTheme="minorEastAsia" w:hAnsiTheme="minorEastAsia" w:eastAsiaTheme="minorEastAsia"/>
          <w:color w:val="auto"/>
          <w:sz w:val="24"/>
          <w:szCs w:val="24"/>
          <w:lang w:eastAsia="zh-CN"/>
        </w:rPr>
      </w:pPr>
      <w:r>
        <w:rPr>
          <w:rFonts w:hint="eastAsia" w:asciiTheme="minorEastAsia" w:hAnsiTheme="minorEastAsia" w:eastAsiaTheme="minorEastAsia"/>
          <w:b/>
          <w:bCs/>
          <w:color w:val="auto"/>
          <w:sz w:val="24"/>
          <w:szCs w:val="24"/>
          <w:lang w:val="en-US" w:eastAsia="zh-CN"/>
        </w:rPr>
        <w:t>1.项目主要建设内容</w:t>
      </w:r>
    </w:p>
    <w:p w14:paraId="7778187A">
      <w:pPr>
        <w:keepNext w:val="0"/>
        <w:keepLines w:val="0"/>
        <w:pageBreakBefore w:val="0"/>
        <w:widowControl/>
        <w:kinsoku/>
        <w:wordWrap/>
        <w:overflowPunct/>
        <w:topLinePunct w:val="0"/>
        <w:autoSpaceDE w:val="0"/>
        <w:autoSpaceDN w:val="0"/>
        <w:bidi w:val="0"/>
        <w:adjustRightInd w:val="0"/>
        <w:snapToGrid w:val="0"/>
        <w:spacing w:line="560" w:lineRule="exact"/>
        <w:ind w:firstLine="480" w:firstLineChars="200"/>
        <w:jc w:val="both"/>
        <w:textAlignment w:val="baseline"/>
        <w:rPr>
          <w:rFonts w:hint="eastAsia" w:asciiTheme="minorEastAsia" w:hAnsiTheme="minorEastAsia" w:eastAsiaTheme="minorEastAsia"/>
          <w:color w:val="auto"/>
          <w:sz w:val="24"/>
          <w:szCs w:val="24"/>
          <w:lang w:eastAsia="zh-CN"/>
        </w:rPr>
      </w:pPr>
      <w:r>
        <w:rPr>
          <w:rFonts w:hint="eastAsia" w:asciiTheme="minorEastAsia" w:hAnsiTheme="minorEastAsia" w:eastAsiaTheme="minorEastAsia"/>
          <w:color w:val="auto"/>
          <w:sz w:val="24"/>
          <w:szCs w:val="24"/>
          <w:lang w:val="en-US" w:eastAsia="zh-CN"/>
        </w:rPr>
        <w:t>本次改造工程主要是对经开区校区校园南区中间主干路（南门至综合楼）两边人行道改造及靠运动场道路两边部分人行道修补；图书馆北面道路两边人行道改造。主要建设内容包括：人行道改造、人行道树池、人工清理人行道树根、人行道井盖、路灯刷漆及路灯线路检修、路侧标志牌补充完善、花岗岩路缘石与侧石及相关配套等。具体工程以工程量清单与施工图纸为准</w:t>
      </w:r>
      <w:r>
        <w:rPr>
          <w:rFonts w:hint="eastAsia" w:asciiTheme="minorEastAsia" w:hAnsiTheme="minorEastAsia" w:eastAsiaTheme="minorEastAsia"/>
          <w:color w:val="auto"/>
          <w:sz w:val="24"/>
          <w:szCs w:val="24"/>
          <w:lang w:eastAsia="zh-CN"/>
        </w:rPr>
        <w:t>。</w:t>
      </w:r>
    </w:p>
    <w:p w14:paraId="36D59155">
      <w:pPr>
        <w:pageBreakBefore w:val="0"/>
        <w:widowControl/>
        <w:kinsoku/>
        <w:wordWrap/>
        <w:overflowPunct/>
        <w:topLinePunct w:val="0"/>
        <w:autoSpaceDE w:val="0"/>
        <w:autoSpaceDN w:val="0"/>
        <w:bidi w:val="0"/>
        <w:adjustRightInd w:val="0"/>
        <w:snapToGrid w:val="0"/>
        <w:textAlignment w:val="baseline"/>
        <w:rPr>
          <w:rFonts w:hint="eastAsia" w:asciiTheme="minorEastAsia" w:hAnsiTheme="minorEastAsia" w:eastAsiaTheme="minorEastAsia"/>
          <w:color w:val="auto"/>
          <w:sz w:val="24"/>
          <w:szCs w:val="24"/>
          <w:lang w:eastAsia="zh-CN"/>
        </w:rPr>
      </w:pPr>
    </w:p>
    <w:p w14:paraId="4887186A">
      <w:pPr>
        <w:keepNext w:val="0"/>
        <w:keepLines w:val="0"/>
        <w:pageBreakBefore w:val="0"/>
        <w:widowControl/>
        <w:kinsoku/>
        <w:wordWrap/>
        <w:overflowPunct/>
        <w:topLinePunct w:val="0"/>
        <w:autoSpaceDE w:val="0"/>
        <w:autoSpaceDN w:val="0"/>
        <w:bidi w:val="0"/>
        <w:adjustRightInd w:val="0"/>
        <w:snapToGrid w:val="0"/>
        <w:spacing w:line="500" w:lineRule="exact"/>
        <w:ind w:right="0"/>
        <w:textAlignment w:val="baseline"/>
        <w:rPr>
          <w:rFonts w:hint="eastAsia" w:ascii="宋体" w:hAnsi="宋体" w:eastAsia="宋体" w:cs="宋体"/>
          <w:b/>
          <w:bCs/>
          <w:color w:val="FF0000"/>
          <w:spacing w:val="-1"/>
          <w:sz w:val="24"/>
          <w:szCs w:val="24"/>
          <w:highlight w:val="none"/>
          <w:lang w:val="en-US" w:eastAsia="zh-CN"/>
        </w:rPr>
      </w:pPr>
      <w:r>
        <w:rPr>
          <w:rFonts w:hint="eastAsia" w:ascii="宋体" w:hAnsi="宋体" w:eastAsia="宋体" w:cs="宋体"/>
          <w:b/>
          <w:bCs/>
          <w:color w:val="FF0000"/>
          <w:spacing w:val="-1"/>
          <w:sz w:val="24"/>
          <w:szCs w:val="24"/>
          <w:lang w:val="en-US" w:eastAsia="zh-CN"/>
        </w:rPr>
        <w:t>2.工程量清单及图纸详见采购文件附件。</w:t>
      </w:r>
      <w:r>
        <w:rPr>
          <w:rFonts w:hint="eastAsia" w:asciiTheme="minorEastAsia" w:hAnsiTheme="minorEastAsia" w:eastAsiaTheme="minorEastAsia"/>
          <w:color w:val="auto"/>
          <w:sz w:val="24"/>
          <w:szCs w:val="24"/>
          <w:highlight w:val="none"/>
          <w:lang w:val="en-US" w:eastAsia="zh-CN"/>
        </w:rPr>
        <w:t>（工程量清单与施工图纸不一致时，以施工图纸为准，相关费用已包含在响应总价中且工程量清单中“包干价”、“暂列金额115000元”为不可让利费。）</w:t>
      </w:r>
    </w:p>
    <w:p w14:paraId="02CB9AE8">
      <w:pPr>
        <w:numPr>
          <w:ilvl w:val="0"/>
          <w:numId w:val="0"/>
        </w:numPr>
        <w:spacing w:line="500" w:lineRule="exact"/>
        <w:ind w:left="0" w:leftChars="0" w:firstLine="0" w:firstLineChars="0"/>
        <w:jc w:val="left"/>
        <w:rPr>
          <w:rFonts w:hint="eastAsia" w:ascii="Cambria" w:hAnsi="Cambria" w:eastAsia="宋体" w:cs="Times New Roman"/>
          <w:b/>
          <w:bCs/>
          <w:kern w:val="2"/>
          <w:sz w:val="24"/>
          <w:szCs w:val="28"/>
          <w:lang w:val="en-US" w:eastAsia="zh-CN" w:bidi="ar-SA"/>
        </w:rPr>
      </w:pPr>
      <w:r>
        <w:rPr>
          <w:rFonts w:hint="eastAsia" w:asciiTheme="minorEastAsia" w:hAnsiTheme="minorEastAsia" w:eastAsiaTheme="minorEastAsia"/>
          <w:b/>
          <w:bCs/>
          <w:color w:val="auto"/>
          <w:sz w:val="24"/>
          <w:szCs w:val="24"/>
          <w:lang w:val="en-US" w:eastAsia="zh-CN"/>
        </w:rPr>
        <w:t>3.</w:t>
      </w:r>
      <w:r>
        <w:rPr>
          <w:rFonts w:hint="eastAsia" w:asciiTheme="minorEastAsia" w:hAnsiTheme="minorEastAsia" w:eastAsiaTheme="minorEastAsia"/>
          <w:b/>
          <w:bCs/>
          <w:color w:val="auto"/>
          <w:sz w:val="24"/>
          <w:szCs w:val="24"/>
          <w:lang w:eastAsia="zh-CN"/>
        </w:rPr>
        <w:t xml:space="preserve"> </w:t>
      </w:r>
      <w:bookmarkStart w:id="1" w:name="_Toc30174"/>
      <w:bookmarkStart w:id="2" w:name="_Toc13255"/>
      <w:r>
        <w:rPr>
          <w:rFonts w:hint="eastAsia" w:asciiTheme="minorEastAsia" w:hAnsiTheme="minorEastAsia" w:eastAsiaTheme="minorEastAsia"/>
          <w:b/>
          <w:bCs/>
          <w:color w:val="auto"/>
          <w:sz w:val="24"/>
          <w:szCs w:val="24"/>
          <w:lang w:eastAsia="zh-CN"/>
        </w:rPr>
        <w:t>工程量清单</w:t>
      </w:r>
      <w:r>
        <w:rPr>
          <w:rFonts w:hint="eastAsia" w:ascii="Cambria" w:hAnsi="Cambria" w:eastAsia="宋体" w:cs="Times New Roman"/>
          <w:b/>
          <w:bCs/>
          <w:kern w:val="2"/>
          <w:sz w:val="24"/>
          <w:szCs w:val="28"/>
          <w:lang w:val="en-US" w:eastAsia="zh-CN" w:bidi="ar-SA"/>
        </w:rPr>
        <w:t>编制依据</w:t>
      </w:r>
      <w:bookmarkEnd w:id="1"/>
      <w:bookmarkEnd w:id="2"/>
    </w:p>
    <w:p w14:paraId="4A59DFDA">
      <w:pPr>
        <w:pStyle w:val="6"/>
        <w:numPr>
          <w:ilvl w:val="0"/>
          <w:numId w:val="0"/>
        </w:numPr>
        <w:spacing w:line="500" w:lineRule="exact"/>
        <w:ind w:left="917" w:leftChars="0" w:hanging="420" w:firstLineChars="0"/>
        <w:rPr>
          <w:rFonts w:ascii="宋体" w:hAnsi="宋体"/>
          <w:sz w:val="24"/>
        </w:rPr>
      </w:pPr>
      <w:bookmarkStart w:id="3" w:name="_Toc18008"/>
      <w:bookmarkStart w:id="4" w:name="_Toc10977"/>
      <w:r>
        <w:rPr>
          <w:rFonts w:hint="eastAsia" w:ascii="宋体" w:hAnsi="宋体" w:eastAsia="宋体" w:cs="Arial"/>
          <w:snapToGrid w:val="0"/>
          <w:color w:val="000000"/>
          <w:sz w:val="24"/>
          <w:szCs w:val="21"/>
          <w:lang w:val="en-US" w:eastAsia="zh-CN" w:bidi="ar-SA"/>
        </w:rPr>
        <w:t xml:space="preserve">3.1 </w:t>
      </w:r>
      <w:r>
        <w:rPr>
          <w:rFonts w:hint="eastAsia" w:ascii="宋体" w:hAnsi="宋体"/>
          <w:sz w:val="24"/>
        </w:rPr>
        <w:t>工程量计量及计价规范；</w:t>
      </w:r>
    </w:p>
    <w:p w14:paraId="0FACD706">
      <w:pPr>
        <w:pStyle w:val="6"/>
        <w:keepNext w:val="0"/>
        <w:keepLines w:val="0"/>
        <w:pageBreakBefore w:val="0"/>
        <w:widowControl/>
        <w:numPr>
          <w:ilvl w:val="1"/>
          <w:numId w:val="0"/>
        </w:numPr>
        <w:kinsoku w:val="0"/>
        <w:wordWrap/>
        <w:overflowPunct/>
        <w:topLinePunct w:val="0"/>
        <w:autoSpaceDE w:val="0"/>
        <w:autoSpaceDN w:val="0"/>
        <w:bidi w:val="0"/>
        <w:adjustRightInd w:val="0"/>
        <w:snapToGrid w:val="0"/>
        <w:spacing w:line="500" w:lineRule="exact"/>
        <w:ind w:left="0" w:leftChars="0" w:firstLine="480" w:firstLineChars="200"/>
        <w:textAlignment w:val="baseline"/>
        <w:rPr>
          <w:rFonts w:ascii="宋体" w:hAnsi="宋体"/>
          <w:sz w:val="24"/>
          <w:szCs w:val="24"/>
          <w:highlight w:val="none"/>
        </w:rPr>
      </w:pPr>
      <w:r>
        <w:rPr>
          <w:rFonts w:hint="eastAsia" w:ascii="宋体" w:hAnsi="宋体" w:eastAsia="宋体" w:cs="Arial"/>
          <w:snapToGrid w:val="0"/>
          <w:color w:val="000000"/>
          <w:sz w:val="24"/>
          <w:szCs w:val="24"/>
          <w:lang w:val="en-US" w:eastAsia="zh-CN" w:bidi="ar-SA"/>
        </w:rPr>
        <w:t xml:space="preserve">3.1.1 </w:t>
      </w:r>
      <w:r>
        <w:rPr>
          <w:rFonts w:hint="eastAsia" w:ascii="宋体" w:hAnsi="宋体"/>
          <w:sz w:val="24"/>
          <w:szCs w:val="24"/>
          <w:highlight w:val="none"/>
        </w:rPr>
        <w:t>《建设工程工程量清单计价标准》</w:t>
      </w:r>
      <w:r>
        <w:rPr>
          <w:rFonts w:hint="eastAsia" w:ascii="宋体" w:hAnsi="宋体"/>
          <w:sz w:val="24"/>
          <w:szCs w:val="24"/>
          <w:highlight w:val="none"/>
        </w:rPr>
        <w:tab/>
      </w:r>
      <w:r>
        <w:rPr>
          <w:rFonts w:hint="eastAsia" w:ascii="宋体" w:hAnsi="宋体"/>
          <w:sz w:val="24"/>
          <w:szCs w:val="24"/>
          <w:highlight w:val="none"/>
        </w:rPr>
        <w:t>（GB/T 50500-2024）；</w:t>
      </w:r>
    </w:p>
    <w:p w14:paraId="50185C86">
      <w:pPr>
        <w:pStyle w:val="6"/>
        <w:keepNext w:val="0"/>
        <w:keepLines w:val="0"/>
        <w:pageBreakBefore w:val="0"/>
        <w:widowControl/>
        <w:numPr>
          <w:ilvl w:val="1"/>
          <w:numId w:val="0"/>
        </w:numPr>
        <w:kinsoku w:val="0"/>
        <w:wordWrap/>
        <w:overflowPunct/>
        <w:topLinePunct w:val="0"/>
        <w:autoSpaceDE w:val="0"/>
        <w:autoSpaceDN w:val="0"/>
        <w:bidi w:val="0"/>
        <w:adjustRightInd w:val="0"/>
        <w:snapToGrid w:val="0"/>
        <w:spacing w:line="500" w:lineRule="exact"/>
        <w:ind w:left="0" w:leftChars="0" w:firstLine="480" w:firstLineChars="200"/>
        <w:textAlignment w:val="baseline"/>
        <w:rPr>
          <w:rFonts w:ascii="宋体" w:hAnsi="宋体"/>
          <w:sz w:val="24"/>
          <w:szCs w:val="24"/>
          <w:highlight w:val="none"/>
        </w:rPr>
      </w:pPr>
      <w:r>
        <w:rPr>
          <w:rFonts w:hint="eastAsia" w:ascii="宋体" w:hAnsi="宋体" w:eastAsia="宋体" w:cs="Arial"/>
          <w:snapToGrid w:val="0"/>
          <w:color w:val="000000"/>
          <w:sz w:val="24"/>
          <w:szCs w:val="24"/>
          <w:lang w:val="en-US" w:eastAsia="zh-CN" w:bidi="ar-SA"/>
        </w:rPr>
        <w:t xml:space="preserve">3.1.2 </w:t>
      </w:r>
      <w:r>
        <w:rPr>
          <w:rFonts w:hint="eastAsia" w:ascii="新宋体" w:hAnsi="新宋体" w:eastAsia="新宋体"/>
          <w:sz w:val="24"/>
          <w:szCs w:val="24"/>
          <w:highlight w:val="none"/>
        </w:rPr>
        <w:t>《房屋建筑与装饰工程工程量计算标准》（GB/T 50854-20</w:t>
      </w:r>
      <w:r>
        <w:rPr>
          <w:rFonts w:hint="eastAsia" w:ascii="新宋体" w:hAnsi="新宋体" w:eastAsia="新宋体"/>
          <w:sz w:val="24"/>
          <w:szCs w:val="24"/>
          <w:highlight w:val="none"/>
          <w:lang w:val="en-US" w:eastAsia="zh-CN"/>
        </w:rPr>
        <w:t>24</w:t>
      </w:r>
      <w:r>
        <w:rPr>
          <w:rFonts w:hint="eastAsia" w:ascii="新宋体" w:hAnsi="新宋体" w:eastAsia="新宋体"/>
          <w:sz w:val="24"/>
          <w:szCs w:val="24"/>
          <w:highlight w:val="none"/>
        </w:rPr>
        <w:t>）；</w:t>
      </w:r>
    </w:p>
    <w:p w14:paraId="3E17C26A">
      <w:pPr>
        <w:pStyle w:val="6"/>
        <w:keepNext w:val="0"/>
        <w:keepLines w:val="0"/>
        <w:pageBreakBefore w:val="0"/>
        <w:widowControl/>
        <w:numPr>
          <w:ilvl w:val="1"/>
          <w:numId w:val="0"/>
        </w:numPr>
        <w:kinsoku w:val="0"/>
        <w:wordWrap/>
        <w:overflowPunct/>
        <w:topLinePunct w:val="0"/>
        <w:autoSpaceDE w:val="0"/>
        <w:autoSpaceDN w:val="0"/>
        <w:bidi w:val="0"/>
        <w:adjustRightInd w:val="0"/>
        <w:snapToGrid w:val="0"/>
        <w:spacing w:line="500" w:lineRule="exact"/>
        <w:ind w:left="0" w:leftChars="0" w:firstLine="480" w:firstLineChars="200"/>
        <w:textAlignment w:val="baseline"/>
        <w:rPr>
          <w:rFonts w:ascii="新宋体" w:hAnsi="新宋体" w:eastAsia="新宋体"/>
          <w:sz w:val="24"/>
          <w:szCs w:val="24"/>
          <w:highlight w:val="none"/>
        </w:rPr>
      </w:pPr>
      <w:r>
        <w:rPr>
          <w:rFonts w:hint="eastAsia" w:ascii="宋体" w:hAnsi="宋体" w:eastAsia="宋体" w:cs="Arial"/>
          <w:snapToGrid w:val="0"/>
          <w:color w:val="000000"/>
          <w:sz w:val="24"/>
          <w:szCs w:val="24"/>
          <w:lang w:val="en-US" w:eastAsia="zh-CN" w:bidi="ar-SA"/>
        </w:rPr>
        <w:t xml:space="preserve">3.1.3 </w:t>
      </w:r>
      <w:r>
        <w:rPr>
          <w:rFonts w:hint="eastAsia" w:ascii="新宋体" w:hAnsi="新宋体" w:eastAsia="新宋体"/>
          <w:sz w:val="24"/>
          <w:szCs w:val="24"/>
          <w:highlight w:val="none"/>
        </w:rPr>
        <w:t>《通用安装工程工程量计算标准》（GB/T 50856-2024）；</w:t>
      </w:r>
    </w:p>
    <w:p w14:paraId="0EBA4E62">
      <w:pPr>
        <w:pStyle w:val="6"/>
        <w:keepNext w:val="0"/>
        <w:keepLines w:val="0"/>
        <w:pageBreakBefore w:val="0"/>
        <w:widowControl/>
        <w:numPr>
          <w:ilvl w:val="1"/>
          <w:numId w:val="0"/>
        </w:numPr>
        <w:kinsoku/>
        <w:wordWrap/>
        <w:overflowPunct/>
        <w:topLinePunct w:val="0"/>
        <w:autoSpaceDE w:val="0"/>
        <w:autoSpaceDN w:val="0"/>
        <w:bidi w:val="0"/>
        <w:adjustRightInd w:val="0"/>
        <w:snapToGrid w:val="0"/>
        <w:spacing w:line="500" w:lineRule="exact"/>
        <w:ind w:left="0" w:leftChars="0" w:firstLine="480" w:firstLineChars="200"/>
        <w:textAlignment w:val="baseline"/>
        <w:rPr>
          <w:rFonts w:ascii="新宋体" w:hAnsi="新宋体" w:eastAsia="新宋体"/>
          <w:sz w:val="24"/>
          <w:szCs w:val="24"/>
          <w:highlight w:val="none"/>
        </w:rPr>
      </w:pPr>
      <w:r>
        <w:rPr>
          <w:rFonts w:hint="eastAsia" w:ascii="宋体" w:hAnsi="宋体" w:eastAsia="宋体" w:cs="Arial"/>
          <w:snapToGrid w:val="0"/>
          <w:color w:val="000000"/>
          <w:sz w:val="24"/>
          <w:szCs w:val="24"/>
          <w:lang w:val="en-US" w:eastAsia="zh-CN" w:bidi="ar-SA"/>
        </w:rPr>
        <w:t xml:space="preserve">3.1.4 </w:t>
      </w:r>
      <w:r>
        <w:rPr>
          <w:rFonts w:hint="eastAsia" w:ascii="新宋体" w:hAnsi="新宋体" w:eastAsia="新宋体"/>
          <w:sz w:val="24"/>
          <w:szCs w:val="24"/>
          <w:highlight w:val="none"/>
        </w:rPr>
        <w:t>《市政工程工程量计算标准》（GB/T 50857-2024）；</w:t>
      </w:r>
    </w:p>
    <w:p w14:paraId="1F583E98">
      <w:pPr>
        <w:pStyle w:val="6"/>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exact"/>
        <w:ind w:left="0" w:leftChars="0" w:firstLine="480" w:firstLineChars="200"/>
        <w:textAlignment w:val="baseline"/>
        <w:rPr>
          <w:rFonts w:ascii="宋体" w:hAnsi="宋体"/>
          <w:sz w:val="24"/>
          <w:szCs w:val="24"/>
        </w:rPr>
      </w:pPr>
      <w:r>
        <w:rPr>
          <w:rFonts w:hint="eastAsia" w:ascii="宋体" w:hAnsi="宋体" w:eastAsia="宋体" w:cs="Arial"/>
          <w:snapToGrid w:val="0"/>
          <w:color w:val="000000"/>
          <w:sz w:val="24"/>
          <w:szCs w:val="24"/>
          <w:lang w:val="en-US" w:eastAsia="zh-CN" w:bidi="ar-SA"/>
        </w:rPr>
        <w:t xml:space="preserve">3.2 </w:t>
      </w:r>
      <w:r>
        <w:rPr>
          <w:rFonts w:hint="eastAsia" w:ascii="宋体" w:hAnsi="宋体"/>
          <w:sz w:val="24"/>
          <w:szCs w:val="24"/>
        </w:rPr>
        <w:t>计价定额</w:t>
      </w:r>
    </w:p>
    <w:p w14:paraId="56FC09F3">
      <w:pPr>
        <w:pStyle w:val="6"/>
        <w:keepNext w:val="0"/>
        <w:keepLines w:val="0"/>
        <w:pageBreakBefore w:val="0"/>
        <w:widowControl/>
        <w:numPr>
          <w:ilvl w:val="1"/>
          <w:numId w:val="0"/>
        </w:numPr>
        <w:kinsoku/>
        <w:wordWrap/>
        <w:overflowPunct/>
        <w:topLinePunct w:val="0"/>
        <w:autoSpaceDE w:val="0"/>
        <w:autoSpaceDN w:val="0"/>
        <w:bidi w:val="0"/>
        <w:adjustRightInd w:val="0"/>
        <w:snapToGrid w:val="0"/>
        <w:spacing w:line="500" w:lineRule="exact"/>
        <w:ind w:left="0" w:leftChars="0" w:firstLine="480" w:firstLineChars="200"/>
        <w:textAlignment w:val="baseline"/>
        <w:rPr>
          <w:rFonts w:hint="default" w:ascii="新宋体" w:hAnsi="新宋体" w:eastAsia="新宋体"/>
          <w:sz w:val="24"/>
          <w:szCs w:val="24"/>
          <w:highlight w:val="none"/>
          <w:lang w:val="en-US" w:eastAsia="zh-CN"/>
        </w:rPr>
      </w:pPr>
      <w:r>
        <w:rPr>
          <w:rFonts w:hint="eastAsia" w:ascii="宋体" w:hAnsi="宋体" w:eastAsia="宋体" w:cs="Arial"/>
          <w:snapToGrid w:val="0"/>
          <w:color w:val="000000"/>
          <w:sz w:val="24"/>
          <w:szCs w:val="24"/>
          <w:lang w:val="en-US" w:eastAsia="zh-CN" w:bidi="ar-SA"/>
        </w:rPr>
        <w:t xml:space="preserve">3.2.1 </w:t>
      </w:r>
      <w:r>
        <w:rPr>
          <w:rFonts w:hint="eastAsia" w:ascii="新宋体" w:hAnsi="新宋体" w:eastAsia="新宋体"/>
          <w:sz w:val="24"/>
          <w:szCs w:val="24"/>
          <w:highlight w:val="none"/>
        </w:rPr>
        <w:t>《江西省房屋建筑与装饰工程消耗量定额及统一计价表》（2017版）；</w:t>
      </w:r>
    </w:p>
    <w:p w14:paraId="4A8742F1">
      <w:pPr>
        <w:pStyle w:val="6"/>
        <w:keepNext w:val="0"/>
        <w:keepLines w:val="0"/>
        <w:pageBreakBefore w:val="0"/>
        <w:widowControl/>
        <w:numPr>
          <w:ilvl w:val="1"/>
          <w:numId w:val="0"/>
        </w:numPr>
        <w:kinsoku/>
        <w:wordWrap/>
        <w:overflowPunct/>
        <w:topLinePunct w:val="0"/>
        <w:autoSpaceDE w:val="0"/>
        <w:autoSpaceDN w:val="0"/>
        <w:bidi w:val="0"/>
        <w:adjustRightInd w:val="0"/>
        <w:snapToGrid w:val="0"/>
        <w:spacing w:line="500" w:lineRule="exact"/>
        <w:ind w:left="0" w:leftChars="0" w:firstLine="480" w:firstLineChars="200"/>
        <w:textAlignment w:val="baseline"/>
        <w:rPr>
          <w:rFonts w:ascii="新宋体" w:hAnsi="新宋体" w:eastAsia="新宋体"/>
          <w:sz w:val="24"/>
          <w:szCs w:val="24"/>
          <w:highlight w:val="none"/>
        </w:rPr>
      </w:pPr>
      <w:r>
        <w:rPr>
          <w:rFonts w:hint="eastAsia" w:ascii="宋体" w:hAnsi="宋体" w:eastAsia="宋体" w:cs="Arial"/>
          <w:snapToGrid w:val="0"/>
          <w:color w:val="000000"/>
          <w:sz w:val="24"/>
          <w:szCs w:val="24"/>
          <w:lang w:val="en-US" w:eastAsia="zh-CN" w:bidi="ar-SA"/>
        </w:rPr>
        <w:t xml:space="preserve">3.2.2 </w:t>
      </w:r>
      <w:r>
        <w:rPr>
          <w:rFonts w:hint="eastAsia" w:ascii="新宋体" w:hAnsi="新宋体" w:eastAsia="新宋体"/>
          <w:sz w:val="24"/>
          <w:szCs w:val="24"/>
          <w:highlight w:val="none"/>
        </w:rPr>
        <w:t>《江西省通用安装工程消耗量定额及统一计价表》（2017版）；</w:t>
      </w:r>
    </w:p>
    <w:p w14:paraId="379CBF52">
      <w:pPr>
        <w:pStyle w:val="6"/>
        <w:keepNext w:val="0"/>
        <w:keepLines w:val="0"/>
        <w:pageBreakBefore w:val="0"/>
        <w:widowControl/>
        <w:numPr>
          <w:ilvl w:val="1"/>
          <w:numId w:val="0"/>
        </w:numPr>
        <w:kinsoku/>
        <w:wordWrap/>
        <w:overflowPunct/>
        <w:topLinePunct w:val="0"/>
        <w:autoSpaceDE w:val="0"/>
        <w:autoSpaceDN w:val="0"/>
        <w:bidi w:val="0"/>
        <w:adjustRightInd w:val="0"/>
        <w:snapToGrid w:val="0"/>
        <w:spacing w:line="500" w:lineRule="exact"/>
        <w:ind w:left="0" w:leftChars="0" w:firstLine="480" w:firstLineChars="200"/>
        <w:textAlignment w:val="baseline"/>
        <w:rPr>
          <w:rFonts w:ascii="新宋体" w:hAnsi="新宋体" w:eastAsia="新宋体"/>
          <w:sz w:val="24"/>
          <w:szCs w:val="24"/>
          <w:highlight w:val="none"/>
        </w:rPr>
      </w:pPr>
      <w:r>
        <w:rPr>
          <w:rFonts w:hint="eastAsia" w:ascii="宋体" w:hAnsi="宋体" w:eastAsia="宋体" w:cs="Arial"/>
          <w:snapToGrid w:val="0"/>
          <w:color w:val="000000"/>
          <w:sz w:val="24"/>
          <w:szCs w:val="24"/>
          <w:lang w:val="en-US" w:eastAsia="zh-CN" w:bidi="ar-SA"/>
        </w:rPr>
        <w:t xml:space="preserve">3.2.3 </w:t>
      </w:r>
      <w:r>
        <w:rPr>
          <w:rFonts w:hint="eastAsia" w:ascii="新宋体" w:hAnsi="新宋体" w:eastAsia="新宋体"/>
          <w:sz w:val="24"/>
          <w:szCs w:val="24"/>
          <w:highlight w:val="none"/>
        </w:rPr>
        <w:t>《江西省市政工程消耗量定额及统一计价表》（2017版）；</w:t>
      </w:r>
    </w:p>
    <w:p w14:paraId="781A109A">
      <w:pPr>
        <w:pStyle w:val="6"/>
        <w:keepNext w:val="0"/>
        <w:keepLines w:val="0"/>
        <w:pageBreakBefore w:val="0"/>
        <w:widowControl/>
        <w:numPr>
          <w:ilvl w:val="1"/>
          <w:numId w:val="0"/>
        </w:numPr>
        <w:kinsoku/>
        <w:wordWrap/>
        <w:overflowPunct/>
        <w:topLinePunct w:val="0"/>
        <w:autoSpaceDE w:val="0"/>
        <w:autoSpaceDN w:val="0"/>
        <w:bidi w:val="0"/>
        <w:adjustRightInd w:val="0"/>
        <w:snapToGrid w:val="0"/>
        <w:spacing w:line="500" w:lineRule="exact"/>
        <w:ind w:left="0" w:leftChars="0" w:firstLine="480" w:firstLineChars="200"/>
        <w:textAlignment w:val="baseline"/>
        <w:rPr>
          <w:rFonts w:ascii="新宋体" w:hAnsi="新宋体" w:eastAsia="新宋体"/>
          <w:sz w:val="24"/>
          <w:szCs w:val="24"/>
          <w:highlight w:val="none"/>
        </w:rPr>
      </w:pPr>
      <w:r>
        <w:rPr>
          <w:rFonts w:hint="eastAsia" w:ascii="宋体" w:hAnsi="宋体" w:eastAsia="宋体" w:cs="Arial"/>
          <w:snapToGrid w:val="0"/>
          <w:color w:val="000000"/>
          <w:sz w:val="24"/>
          <w:szCs w:val="24"/>
          <w:lang w:val="en-US" w:eastAsia="zh-CN" w:bidi="ar-SA"/>
        </w:rPr>
        <w:t>3.2.4</w:t>
      </w:r>
      <w:r>
        <w:rPr>
          <w:rFonts w:hint="eastAsia" w:ascii="新宋体" w:hAnsi="新宋体" w:eastAsia="新宋体"/>
          <w:sz w:val="24"/>
          <w:szCs w:val="24"/>
          <w:highlight w:val="none"/>
        </w:rPr>
        <w:t>《江西省房屋建筑与装饰、通用安装、市政费用定额（试行）》（2017版）；</w:t>
      </w:r>
    </w:p>
    <w:p w14:paraId="7BEE5E72">
      <w:pPr>
        <w:pStyle w:val="6"/>
        <w:keepNext w:val="0"/>
        <w:keepLines w:val="0"/>
        <w:pageBreakBefore w:val="0"/>
        <w:widowControl/>
        <w:numPr>
          <w:ilvl w:val="0"/>
          <w:numId w:val="0"/>
        </w:numPr>
        <w:kinsoku w:val="0"/>
        <w:wordWrap/>
        <w:overflowPunct/>
        <w:topLinePunct w:val="0"/>
        <w:autoSpaceDE w:val="0"/>
        <w:autoSpaceDN w:val="0"/>
        <w:bidi w:val="0"/>
        <w:adjustRightInd w:val="0"/>
        <w:snapToGrid w:val="0"/>
        <w:spacing w:line="500" w:lineRule="exact"/>
        <w:ind w:left="0" w:leftChars="0" w:firstLine="480" w:firstLineChars="200"/>
        <w:textAlignment w:val="baseline"/>
        <w:rPr>
          <w:rFonts w:ascii="宋体" w:hAnsi="宋体"/>
          <w:sz w:val="24"/>
        </w:rPr>
      </w:pPr>
      <w:r>
        <w:rPr>
          <w:rFonts w:ascii="宋体" w:hAnsi="宋体" w:eastAsia="Arial" w:cs="Arial"/>
          <w:snapToGrid w:val="0"/>
          <w:color w:val="000000"/>
          <w:sz w:val="24"/>
          <w:szCs w:val="21"/>
          <w:lang w:val="en-US" w:eastAsia="en-US" w:bidi="ar-SA"/>
        </w:rPr>
        <w:t>3.</w:t>
      </w:r>
      <w:r>
        <w:rPr>
          <w:rFonts w:hint="eastAsia" w:ascii="宋体" w:hAnsi="宋体" w:eastAsia="宋体" w:cs="Arial"/>
          <w:snapToGrid w:val="0"/>
          <w:color w:val="000000"/>
          <w:sz w:val="24"/>
          <w:szCs w:val="21"/>
          <w:lang w:val="en-US" w:eastAsia="zh-CN" w:bidi="ar-SA"/>
        </w:rPr>
        <w:t xml:space="preserve">3 </w:t>
      </w:r>
      <w:r>
        <w:rPr>
          <w:rFonts w:hint="eastAsia" w:ascii="宋体" w:hAnsi="宋体"/>
          <w:sz w:val="24"/>
        </w:rPr>
        <w:t>江西省南昌市</w:t>
      </w:r>
      <w:r>
        <w:rPr>
          <w:rFonts w:ascii="宋体" w:hAnsi="宋体"/>
          <w:sz w:val="24"/>
        </w:rPr>
        <w:t>相关工程造价的政策规定和文件；</w:t>
      </w:r>
    </w:p>
    <w:p w14:paraId="3B7F64CE">
      <w:pPr>
        <w:pStyle w:val="6"/>
        <w:keepNext w:val="0"/>
        <w:keepLines w:val="0"/>
        <w:pageBreakBefore w:val="0"/>
        <w:widowControl/>
        <w:numPr>
          <w:ilvl w:val="1"/>
          <w:numId w:val="0"/>
        </w:numPr>
        <w:kinsoku w:val="0"/>
        <w:wordWrap/>
        <w:overflowPunct/>
        <w:topLinePunct w:val="0"/>
        <w:autoSpaceDE w:val="0"/>
        <w:autoSpaceDN w:val="0"/>
        <w:bidi w:val="0"/>
        <w:adjustRightInd w:val="0"/>
        <w:snapToGrid w:val="0"/>
        <w:spacing w:line="500" w:lineRule="exact"/>
        <w:ind w:left="0" w:leftChars="0" w:firstLine="480" w:firstLineChars="200"/>
        <w:textAlignment w:val="baseline"/>
        <w:rPr>
          <w:rFonts w:ascii="新宋体" w:hAnsi="新宋体" w:eastAsia="新宋体"/>
          <w:sz w:val="24"/>
          <w:szCs w:val="24"/>
          <w:highlight w:val="none"/>
        </w:rPr>
      </w:pPr>
      <w:r>
        <w:rPr>
          <w:rFonts w:hint="eastAsia" w:ascii="宋体" w:hAnsi="宋体" w:eastAsia="宋体" w:cs="Arial"/>
          <w:snapToGrid w:val="0"/>
          <w:color w:val="000000"/>
          <w:sz w:val="24"/>
          <w:szCs w:val="24"/>
          <w:lang w:val="en-US" w:eastAsia="zh-CN" w:bidi="ar-SA"/>
        </w:rPr>
        <w:t xml:space="preserve">3.3.1 </w:t>
      </w:r>
      <w:r>
        <w:rPr>
          <w:rFonts w:hint="eastAsia" w:ascii="新宋体" w:hAnsi="新宋体" w:eastAsia="新宋体"/>
          <w:sz w:val="24"/>
          <w:szCs w:val="24"/>
          <w:highlight w:val="none"/>
        </w:rPr>
        <w:t>税金是否有调整文件；</w:t>
      </w:r>
      <w:r>
        <w:rPr>
          <w:rFonts w:hint="eastAsia" w:ascii="新宋体" w:hAnsi="新宋体" w:eastAsia="新宋体"/>
          <w:sz w:val="24"/>
          <w:szCs w:val="24"/>
          <w:highlight w:val="none"/>
          <w:lang w:val="en-US" w:eastAsia="zh-CN"/>
        </w:rPr>
        <w:t>赣建价【2019】1号文</w:t>
      </w:r>
      <w:r>
        <w:rPr>
          <w:rFonts w:hint="eastAsia" w:ascii="新宋体" w:hAnsi="新宋体" w:eastAsia="新宋体"/>
          <w:sz w:val="24"/>
          <w:szCs w:val="24"/>
          <w:highlight w:val="none"/>
        </w:rPr>
        <w:t>；</w:t>
      </w:r>
    </w:p>
    <w:p w14:paraId="47EE3182">
      <w:pPr>
        <w:pStyle w:val="6"/>
        <w:keepNext w:val="0"/>
        <w:keepLines w:val="0"/>
        <w:pageBreakBefore w:val="0"/>
        <w:widowControl/>
        <w:numPr>
          <w:ilvl w:val="1"/>
          <w:numId w:val="0"/>
        </w:numPr>
        <w:kinsoku w:val="0"/>
        <w:wordWrap/>
        <w:overflowPunct/>
        <w:topLinePunct w:val="0"/>
        <w:autoSpaceDE w:val="0"/>
        <w:autoSpaceDN w:val="0"/>
        <w:bidi w:val="0"/>
        <w:adjustRightInd w:val="0"/>
        <w:snapToGrid w:val="0"/>
        <w:spacing w:line="500" w:lineRule="exact"/>
        <w:ind w:left="0" w:leftChars="0" w:firstLine="480" w:firstLineChars="200"/>
        <w:textAlignment w:val="baseline"/>
        <w:rPr>
          <w:rFonts w:ascii="宋体" w:hAnsi="宋体" w:eastAsia="宋体" w:cs="宋体"/>
          <w:sz w:val="21"/>
          <w:szCs w:val="21"/>
        </w:rPr>
      </w:pPr>
      <w:r>
        <w:rPr>
          <w:rFonts w:hint="eastAsia" w:ascii="宋体" w:hAnsi="宋体" w:eastAsia="宋体" w:cs="Arial"/>
          <w:snapToGrid w:val="0"/>
          <w:color w:val="000000"/>
          <w:sz w:val="24"/>
          <w:szCs w:val="24"/>
          <w:lang w:val="en-US" w:eastAsia="zh-CN" w:bidi="ar-SA"/>
        </w:rPr>
        <w:t xml:space="preserve">3.3.2 </w:t>
      </w:r>
      <w:r>
        <w:rPr>
          <w:rFonts w:hint="eastAsia" w:ascii="新宋体" w:hAnsi="新宋体" w:eastAsia="新宋体"/>
          <w:sz w:val="24"/>
          <w:szCs w:val="24"/>
          <w:highlight w:val="none"/>
          <w:lang w:val="en-US" w:eastAsia="zh-CN"/>
        </w:rPr>
        <w:t>材料价格取用：《南昌造价信息》2026年第3期，</w:t>
      </w:r>
      <w:r>
        <w:rPr>
          <w:rFonts w:hint="eastAsia" w:ascii="新宋体" w:hAnsi="新宋体" w:eastAsia="新宋体" w:cs="Times New Roman"/>
          <w:sz w:val="24"/>
          <w:szCs w:val="24"/>
          <w:lang w:val="en-US" w:eastAsia="zh-CN"/>
        </w:rPr>
        <w:t>园林绿化依据《江西省南昌市造价信息》2025年第12期价格信息，</w:t>
      </w:r>
      <w:r>
        <w:rPr>
          <w:rFonts w:hint="eastAsia" w:ascii="新宋体" w:hAnsi="新宋体" w:eastAsia="新宋体"/>
          <w:sz w:val="24"/>
          <w:szCs w:val="24"/>
          <w:highlight w:val="none"/>
          <w:lang w:val="en-US" w:eastAsia="zh-CN"/>
        </w:rPr>
        <w:t>信息价没有的材料价格参照市场询价调整。</w:t>
      </w:r>
      <w:bookmarkEnd w:id="3"/>
      <w:bookmarkEnd w:id="4"/>
    </w:p>
    <w:p w14:paraId="0E69BB49">
      <w:pPr>
        <w:keepNext w:val="0"/>
        <w:keepLines w:val="0"/>
        <w:pageBreakBefore w:val="0"/>
        <w:widowControl/>
        <w:kinsoku/>
        <w:wordWrap/>
        <w:overflowPunct/>
        <w:topLinePunct w:val="0"/>
        <w:autoSpaceDE w:val="0"/>
        <w:autoSpaceDN w:val="0"/>
        <w:bidi w:val="0"/>
        <w:adjustRightInd w:val="0"/>
        <w:snapToGrid w:val="0"/>
        <w:spacing w:line="500" w:lineRule="exact"/>
        <w:ind w:right="0"/>
        <w:jc w:val="both"/>
        <w:textAlignment w:val="baseline"/>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val="en-US" w:eastAsia="zh-CN"/>
        </w:rPr>
        <w:t>4.图纸</w:t>
      </w:r>
      <w:r>
        <w:rPr>
          <w:rFonts w:hint="eastAsia" w:ascii="宋体" w:hAnsi="宋体" w:eastAsia="宋体" w:cs="宋体"/>
          <w:b/>
          <w:bCs/>
          <w:color w:val="auto"/>
          <w:sz w:val="24"/>
          <w:szCs w:val="24"/>
          <w:lang w:eastAsia="zh-CN"/>
        </w:rPr>
        <w:t>编制依据</w:t>
      </w:r>
    </w:p>
    <w:p w14:paraId="5D42E15D">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4.1 采购人</w:t>
      </w:r>
      <w:r>
        <w:rPr>
          <w:rFonts w:hint="eastAsia" w:ascii="宋体" w:hAnsi="宋体" w:eastAsia="宋体" w:cs="宋体"/>
          <w:color w:val="auto"/>
          <w:sz w:val="24"/>
          <w:szCs w:val="24"/>
          <w:lang w:eastAsia="zh-CN"/>
        </w:rPr>
        <w:t>提供的本工程有关资料和设计任务书；</w:t>
      </w:r>
    </w:p>
    <w:p w14:paraId="62AD6B79">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 xml:space="preserve">4.2 </w:t>
      </w:r>
      <w:r>
        <w:rPr>
          <w:rFonts w:hint="eastAsia" w:ascii="宋体" w:hAnsi="宋体" w:eastAsia="宋体" w:cs="宋体"/>
          <w:color w:val="auto"/>
          <w:sz w:val="24"/>
          <w:szCs w:val="24"/>
          <w:lang w:eastAsia="zh-CN"/>
        </w:rPr>
        <w:t>学院相关规划；</w:t>
      </w:r>
    </w:p>
    <w:p w14:paraId="6A63DE39">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 xml:space="preserve">4.3  </w:t>
      </w:r>
      <w:r>
        <w:rPr>
          <w:rFonts w:hint="eastAsia" w:ascii="宋体" w:hAnsi="宋体" w:eastAsia="宋体" w:cs="宋体"/>
          <w:b/>
          <w:bCs/>
          <w:color w:val="auto"/>
          <w:sz w:val="24"/>
          <w:szCs w:val="24"/>
          <w:lang w:eastAsia="zh-CN"/>
        </w:rPr>
        <w:t>1：1000</w:t>
      </w:r>
      <w:r>
        <w:rPr>
          <w:rFonts w:hint="eastAsia" w:ascii="宋体" w:hAnsi="宋体" w:eastAsia="宋体" w:cs="宋体"/>
          <w:color w:val="auto"/>
          <w:sz w:val="24"/>
          <w:szCs w:val="24"/>
          <w:lang w:eastAsia="zh-CN"/>
        </w:rPr>
        <w:t xml:space="preserve"> 地形图修测图；</w:t>
      </w:r>
    </w:p>
    <w:p w14:paraId="7DB9F83B">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 xml:space="preserve">4.4 </w:t>
      </w:r>
      <w:r>
        <w:rPr>
          <w:rFonts w:hint="eastAsia" w:ascii="宋体" w:hAnsi="宋体" w:eastAsia="宋体" w:cs="宋体"/>
          <w:color w:val="auto"/>
          <w:sz w:val="24"/>
          <w:szCs w:val="24"/>
          <w:lang w:eastAsia="zh-CN"/>
        </w:rPr>
        <w:t>国家和地方相关的标准、规范、规程、法规等；</w:t>
      </w:r>
    </w:p>
    <w:p w14:paraId="28DEDF37">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 xml:space="preserve">4.5 </w:t>
      </w:r>
      <w:r>
        <w:rPr>
          <w:rFonts w:hint="eastAsia" w:ascii="宋体" w:hAnsi="宋体" w:eastAsia="宋体" w:cs="宋体"/>
          <w:color w:val="auto"/>
          <w:sz w:val="24"/>
          <w:szCs w:val="24"/>
          <w:lang w:eastAsia="zh-CN"/>
        </w:rPr>
        <w:t>有关部门提供的水文、气象、地质等资料。</w:t>
      </w:r>
    </w:p>
    <w:p w14:paraId="10A3E3E8">
      <w:pPr>
        <w:keepNext w:val="0"/>
        <w:keepLines w:val="0"/>
        <w:pageBreakBefore w:val="0"/>
        <w:widowControl/>
        <w:kinsoku/>
        <w:wordWrap/>
        <w:overflowPunct/>
        <w:topLinePunct w:val="0"/>
        <w:autoSpaceDE w:val="0"/>
        <w:autoSpaceDN w:val="0"/>
        <w:bidi w:val="0"/>
        <w:adjustRightInd w:val="0"/>
        <w:snapToGrid w:val="0"/>
        <w:spacing w:line="500" w:lineRule="exact"/>
        <w:ind w:right="0"/>
        <w:jc w:val="both"/>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5.图纸</w:t>
      </w:r>
      <w:r>
        <w:rPr>
          <w:rFonts w:hint="eastAsia" w:ascii="宋体" w:hAnsi="宋体" w:eastAsia="宋体" w:cs="宋体"/>
          <w:b/>
          <w:bCs/>
          <w:color w:val="auto"/>
          <w:sz w:val="24"/>
          <w:szCs w:val="24"/>
          <w:lang w:eastAsia="zh-CN"/>
        </w:rPr>
        <w:t>采用的规范和标准</w:t>
      </w:r>
    </w:p>
    <w:p w14:paraId="5C7AED88">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 xml:space="preserve">5.1 </w:t>
      </w:r>
      <w:r>
        <w:rPr>
          <w:rFonts w:hint="eastAsia" w:ascii="宋体" w:hAnsi="宋体" w:eastAsia="宋体" w:cs="宋体"/>
          <w:color w:val="auto"/>
          <w:sz w:val="24"/>
          <w:szCs w:val="24"/>
          <w:lang w:eastAsia="zh-CN"/>
        </w:rPr>
        <w:t>《市政公用工程设计文件编制深度规定》</w:t>
      </w:r>
      <w:r>
        <w:rPr>
          <w:rFonts w:hint="eastAsia" w:ascii="宋体" w:hAnsi="宋体" w:eastAsia="宋体" w:cs="宋体"/>
          <w:b/>
          <w:bCs/>
          <w:color w:val="auto"/>
          <w:sz w:val="24"/>
          <w:szCs w:val="24"/>
          <w:lang w:eastAsia="zh-CN"/>
        </w:rPr>
        <w:t>（2013 版）</w:t>
      </w:r>
      <w:r>
        <w:rPr>
          <w:rFonts w:hint="eastAsia" w:ascii="宋体" w:hAnsi="宋体" w:eastAsia="宋体" w:cs="宋体"/>
          <w:color w:val="auto"/>
          <w:sz w:val="24"/>
          <w:szCs w:val="24"/>
          <w:lang w:eastAsia="zh-CN"/>
        </w:rPr>
        <w:t>。</w:t>
      </w:r>
    </w:p>
    <w:p w14:paraId="35725E54">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 xml:space="preserve">5.2 </w:t>
      </w:r>
      <w:r>
        <w:rPr>
          <w:rFonts w:hint="eastAsia" w:ascii="宋体" w:hAnsi="宋体" w:eastAsia="宋体" w:cs="宋体"/>
          <w:color w:val="auto"/>
          <w:sz w:val="24"/>
          <w:szCs w:val="24"/>
          <w:lang w:eastAsia="zh-CN"/>
        </w:rPr>
        <w:t>《混凝土结构工程施工质量验收规范》</w:t>
      </w:r>
      <w:r>
        <w:rPr>
          <w:rFonts w:hint="eastAsia" w:ascii="宋体" w:hAnsi="宋体" w:eastAsia="宋体" w:cs="宋体"/>
          <w:b/>
          <w:bCs/>
          <w:color w:val="auto"/>
          <w:sz w:val="24"/>
          <w:szCs w:val="24"/>
          <w:lang w:eastAsia="zh-CN"/>
        </w:rPr>
        <w:t>（GB50204-2015）</w:t>
      </w:r>
      <w:r>
        <w:rPr>
          <w:rFonts w:hint="eastAsia" w:ascii="宋体" w:hAnsi="宋体" w:eastAsia="宋体" w:cs="宋体"/>
          <w:color w:val="auto"/>
          <w:sz w:val="24"/>
          <w:szCs w:val="24"/>
          <w:lang w:eastAsia="zh-CN"/>
        </w:rPr>
        <w:t>；</w:t>
      </w:r>
    </w:p>
    <w:p w14:paraId="2AD7FDA6">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 xml:space="preserve">5.3 </w:t>
      </w:r>
      <w:r>
        <w:rPr>
          <w:rFonts w:hint="eastAsia" w:ascii="宋体" w:hAnsi="宋体" w:eastAsia="宋体" w:cs="宋体"/>
          <w:color w:val="auto"/>
          <w:sz w:val="24"/>
          <w:szCs w:val="24"/>
          <w:lang w:eastAsia="zh-CN"/>
        </w:rPr>
        <w:t>《城市道路工程设计规范》</w:t>
      </w:r>
      <w:r>
        <w:rPr>
          <w:rFonts w:hint="eastAsia" w:ascii="宋体" w:hAnsi="宋体" w:eastAsia="宋体" w:cs="宋体"/>
          <w:b/>
          <w:bCs/>
          <w:color w:val="auto"/>
          <w:sz w:val="24"/>
          <w:szCs w:val="24"/>
          <w:lang w:eastAsia="zh-CN"/>
        </w:rPr>
        <w:t>（CJJ 37-2012）（2016 年版）</w:t>
      </w:r>
      <w:r>
        <w:rPr>
          <w:rFonts w:hint="eastAsia" w:ascii="宋体" w:hAnsi="宋体" w:eastAsia="宋体" w:cs="宋体"/>
          <w:color w:val="auto"/>
          <w:sz w:val="24"/>
          <w:szCs w:val="24"/>
          <w:lang w:eastAsia="zh-CN"/>
        </w:rPr>
        <w:t>；</w:t>
      </w:r>
    </w:p>
    <w:p w14:paraId="5B2FA142">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 xml:space="preserve">5.4 </w:t>
      </w:r>
      <w:r>
        <w:rPr>
          <w:rFonts w:hint="eastAsia" w:ascii="宋体" w:hAnsi="宋体" w:eastAsia="宋体" w:cs="宋体"/>
          <w:color w:val="auto"/>
          <w:sz w:val="24"/>
          <w:szCs w:val="24"/>
          <w:lang w:eastAsia="zh-CN"/>
        </w:rPr>
        <w:t>《城市道路路线设计规范》</w:t>
      </w:r>
      <w:r>
        <w:rPr>
          <w:rFonts w:hint="eastAsia" w:ascii="宋体" w:hAnsi="宋体" w:eastAsia="宋体" w:cs="宋体"/>
          <w:b/>
          <w:bCs/>
          <w:color w:val="auto"/>
          <w:sz w:val="24"/>
          <w:szCs w:val="24"/>
          <w:lang w:eastAsia="zh-CN"/>
        </w:rPr>
        <w:t>（CJJ/T 193-2012）</w:t>
      </w:r>
      <w:r>
        <w:rPr>
          <w:rFonts w:hint="eastAsia" w:ascii="宋体" w:hAnsi="宋体" w:eastAsia="宋体" w:cs="宋体"/>
          <w:color w:val="auto"/>
          <w:sz w:val="24"/>
          <w:szCs w:val="24"/>
          <w:lang w:eastAsia="zh-CN"/>
        </w:rPr>
        <w:t>；</w:t>
      </w:r>
    </w:p>
    <w:p w14:paraId="61C240AB">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 xml:space="preserve">5.5 </w:t>
      </w:r>
      <w:r>
        <w:rPr>
          <w:rFonts w:hint="eastAsia" w:ascii="宋体" w:hAnsi="宋体" w:eastAsia="宋体" w:cs="宋体"/>
          <w:color w:val="auto"/>
          <w:sz w:val="24"/>
          <w:szCs w:val="24"/>
          <w:lang w:eastAsia="zh-CN"/>
        </w:rPr>
        <w:t>《城镇道路路面设计规范》</w:t>
      </w:r>
      <w:r>
        <w:rPr>
          <w:rFonts w:hint="eastAsia" w:ascii="宋体" w:hAnsi="宋体" w:eastAsia="宋体" w:cs="宋体"/>
          <w:b/>
          <w:bCs/>
          <w:color w:val="auto"/>
          <w:sz w:val="24"/>
          <w:szCs w:val="24"/>
          <w:lang w:eastAsia="zh-CN"/>
        </w:rPr>
        <w:t>（CJJ 169-2012）</w:t>
      </w:r>
      <w:r>
        <w:rPr>
          <w:rFonts w:hint="eastAsia" w:ascii="宋体" w:hAnsi="宋体" w:eastAsia="宋体" w:cs="宋体"/>
          <w:color w:val="auto"/>
          <w:sz w:val="24"/>
          <w:szCs w:val="24"/>
          <w:lang w:eastAsia="zh-CN"/>
        </w:rPr>
        <w:t>；</w:t>
      </w:r>
    </w:p>
    <w:p w14:paraId="5FC14D80">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 xml:space="preserve">5.6 </w:t>
      </w:r>
      <w:r>
        <w:rPr>
          <w:rFonts w:hint="eastAsia" w:ascii="宋体" w:hAnsi="宋体" w:eastAsia="宋体" w:cs="宋体"/>
          <w:color w:val="auto"/>
          <w:sz w:val="24"/>
          <w:szCs w:val="24"/>
          <w:lang w:eastAsia="zh-CN"/>
        </w:rPr>
        <w:t>《城市道路路基设计规范》</w:t>
      </w:r>
      <w:r>
        <w:rPr>
          <w:rFonts w:hint="eastAsia" w:ascii="宋体" w:hAnsi="宋体" w:eastAsia="宋体" w:cs="宋体"/>
          <w:b/>
          <w:bCs/>
          <w:color w:val="auto"/>
          <w:sz w:val="24"/>
          <w:szCs w:val="24"/>
          <w:lang w:eastAsia="zh-CN"/>
        </w:rPr>
        <w:t>（CJJ 194-2013）</w:t>
      </w:r>
      <w:r>
        <w:rPr>
          <w:rFonts w:hint="eastAsia" w:ascii="宋体" w:hAnsi="宋体" w:eastAsia="宋体" w:cs="宋体"/>
          <w:color w:val="auto"/>
          <w:sz w:val="24"/>
          <w:szCs w:val="24"/>
          <w:lang w:eastAsia="zh-CN"/>
        </w:rPr>
        <w:t>；</w:t>
      </w:r>
    </w:p>
    <w:p w14:paraId="5CCDD447">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 xml:space="preserve">5.7 </w:t>
      </w:r>
      <w:r>
        <w:rPr>
          <w:rFonts w:hint="eastAsia" w:ascii="宋体" w:hAnsi="宋体" w:eastAsia="宋体" w:cs="宋体"/>
          <w:color w:val="auto"/>
          <w:sz w:val="24"/>
          <w:szCs w:val="24"/>
          <w:lang w:eastAsia="zh-CN"/>
        </w:rPr>
        <w:t>《道路交通标志和标线》</w:t>
      </w:r>
      <w:r>
        <w:rPr>
          <w:rFonts w:hint="eastAsia" w:ascii="宋体" w:hAnsi="宋体" w:eastAsia="宋体" w:cs="宋体"/>
          <w:b/>
          <w:bCs/>
          <w:color w:val="auto"/>
          <w:sz w:val="24"/>
          <w:szCs w:val="24"/>
          <w:lang w:eastAsia="zh-CN"/>
        </w:rPr>
        <w:t>（GB 5768-2009）</w:t>
      </w:r>
      <w:r>
        <w:rPr>
          <w:rFonts w:hint="eastAsia" w:ascii="宋体" w:hAnsi="宋体" w:eastAsia="宋体" w:cs="宋体"/>
          <w:color w:val="auto"/>
          <w:sz w:val="24"/>
          <w:szCs w:val="24"/>
          <w:lang w:eastAsia="zh-CN"/>
        </w:rPr>
        <w:t>；</w:t>
      </w:r>
    </w:p>
    <w:p w14:paraId="45183394">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 xml:space="preserve">5.8 </w:t>
      </w:r>
      <w:r>
        <w:rPr>
          <w:rFonts w:hint="eastAsia" w:ascii="宋体" w:hAnsi="宋体" w:eastAsia="宋体" w:cs="宋体"/>
          <w:color w:val="auto"/>
          <w:sz w:val="24"/>
          <w:szCs w:val="24"/>
          <w:lang w:eastAsia="zh-CN"/>
        </w:rPr>
        <w:t>《无障碍设计规范》</w:t>
      </w:r>
      <w:r>
        <w:rPr>
          <w:rFonts w:hint="eastAsia" w:ascii="宋体" w:hAnsi="宋体" w:eastAsia="宋体" w:cs="宋体"/>
          <w:b/>
          <w:bCs/>
          <w:color w:val="auto"/>
          <w:sz w:val="24"/>
          <w:szCs w:val="24"/>
          <w:lang w:eastAsia="zh-CN"/>
        </w:rPr>
        <w:t>（GB 50763-2012）</w:t>
      </w:r>
      <w:r>
        <w:rPr>
          <w:rFonts w:hint="eastAsia" w:ascii="宋体" w:hAnsi="宋体" w:eastAsia="宋体" w:cs="宋体"/>
          <w:color w:val="auto"/>
          <w:sz w:val="24"/>
          <w:szCs w:val="24"/>
          <w:lang w:eastAsia="zh-CN"/>
        </w:rPr>
        <w:t>；</w:t>
      </w:r>
    </w:p>
    <w:p w14:paraId="63E83024">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 xml:space="preserve">5.9 </w:t>
      </w:r>
      <w:r>
        <w:rPr>
          <w:rFonts w:hint="eastAsia" w:ascii="宋体" w:hAnsi="宋体" w:eastAsia="宋体" w:cs="宋体"/>
          <w:color w:val="auto"/>
          <w:sz w:val="24"/>
          <w:szCs w:val="24"/>
          <w:lang w:eastAsia="zh-CN"/>
        </w:rPr>
        <w:t>《城镇道路工程施工与质量验收规范》</w:t>
      </w:r>
      <w:r>
        <w:rPr>
          <w:rFonts w:hint="eastAsia" w:ascii="宋体" w:hAnsi="宋体" w:eastAsia="宋体" w:cs="宋体"/>
          <w:b/>
          <w:bCs/>
          <w:color w:val="auto"/>
          <w:sz w:val="24"/>
          <w:szCs w:val="24"/>
          <w:lang w:eastAsia="zh-CN"/>
        </w:rPr>
        <w:t>（CJJ1-2008）</w:t>
      </w:r>
      <w:r>
        <w:rPr>
          <w:rFonts w:hint="eastAsia" w:ascii="宋体" w:hAnsi="宋体" w:eastAsia="宋体" w:cs="宋体"/>
          <w:color w:val="auto"/>
          <w:sz w:val="24"/>
          <w:szCs w:val="24"/>
          <w:lang w:eastAsia="zh-CN"/>
        </w:rPr>
        <w:t>；</w:t>
      </w:r>
    </w:p>
    <w:p w14:paraId="062C5E27">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 xml:space="preserve">5.10 </w:t>
      </w:r>
      <w:r>
        <w:rPr>
          <w:rFonts w:hint="eastAsia" w:ascii="宋体" w:hAnsi="宋体" w:eastAsia="宋体" w:cs="宋体"/>
          <w:color w:val="auto"/>
          <w:sz w:val="24"/>
          <w:szCs w:val="24"/>
          <w:lang w:eastAsia="zh-CN"/>
        </w:rPr>
        <w:t>其它相关设计规范、国家标准、地方标准。</w:t>
      </w:r>
    </w:p>
    <w:p w14:paraId="2C1EC15C">
      <w:pPr>
        <w:keepNext w:val="0"/>
        <w:keepLines w:val="0"/>
        <w:pageBreakBefore w:val="0"/>
        <w:widowControl/>
        <w:kinsoku/>
        <w:wordWrap/>
        <w:overflowPunct/>
        <w:topLinePunct w:val="0"/>
        <w:autoSpaceDE w:val="0"/>
        <w:autoSpaceDN w:val="0"/>
        <w:bidi w:val="0"/>
        <w:adjustRightInd w:val="0"/>
        <w:snapToGrid w:val="0"/>
        <w:spacing w:line="500" w:lineRule="exact"/>
        <w:ind w:right="0"/>
        <w:jc w:val="both"/>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6.</w:t>
      </w:r>
      <w:r>
        <w:rPr>
          <w:rFonts w:hint="eastAsia" w:ascii="宋体" w:hAnsi="宋体" w:eastAsia="宋体" w:cs="宋体"/>
          <w:b/>
          <w:bCs/>
          <w:color w:val="auto"/>
          <w:sz w:val="24"/>
          <w:szCs w:val="24"/>
          <w:lang w:eastAsia="zh-CN"/>
        </w:rPr>
        <w:t>建设条件</w:t>
      </w:r>
    </w:p>
    <w:p w14:paraId="75D562EB">
      <w:pPr>
        <w:keepNext w:val="0"/>
        <w:keepLines w:val="0"/>
        <w:pageBreakBefore w:val="0"/>
        <w:widowControl/>
        <w:kinsoku/>
        <w:wordWrap/>
        <w:overflowPunct/>
        <w:topLinePunct w:val="0"/>
        <w:autoSpaceDE w:val="0"/>
        <w:autoSpaceDN w:val="0"/>
        <w:bidi w:val="0"/>
        <w:adjustRightInd w:val="0"/>
        <w:snapToGrid w:val="0"/>
        <w:spacing w:line="500" w:lineRule="exact"/>
        <w:ind w:right="0" w:firstLine="482"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val="en-US" w:eastAsia="zh-CN"/>
        </w:rPr>
        <w:t>6</w:t>
      </w:r>
      <w:r>
        <w:rPr>
          <w:rFonts w:hint="eastAsia" w:ascii="宋体" w:hAnsi="宋体" w:eastAsia="宋体" w:cs="宋体"/>
          <w:b/>
          <w:bCs/>
          <w:color w:val="auto"/>
          <w:sz w:val="24"/>
          <w:szCs w:val="24"/>
          <w:lang w:eastAsia="zh-CN"/>
        </w:rPr>
        <w:t>.1</w:t>
      </w:r>
      <w:r>
        <w:rPr>
          <w:rFonts w:hint="eastAsia" w:ascii="宋体" w:hAnsi="宋体" w:eastAsia="宋体" w:cs="宋体"/>
          <w:b/>
          <w:bCs/>
          <w:color w:val="auto"/>
          <w:sz w:val="24"/>
          <w:szCs w:val="24"/>
          <w:lang w:val="en-US" w:eastAsia="zh-CN"/>
        </w:rPr>
        <w:t xml:space="preserve"> </w:t>
      </w:r>
      <w:r>
        <w:rPr>
          <w:rFonts w:hint="eastAsia" w:ascii="宋体" w:hAnsi="宋体" w:eastAsia="宋体" w:cs="宋体"/>
          <w:b/>
          <w:bCs/>
          <w:color w:val="auto"/>
          <w:sz w:val="24"/>
          <w:szCs w:val="24"/>
          <w:lang w:eastAsia="zh-CN"/>
        </w:rPr>
        <w:t>地理位置</w:t>
      </w:r>
    </w:p>
    <w:p w14:paraId="2A45FA3F">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本工程位于江西交通职业技术学院经开区校区，具体地址为南昌市经济技术开发区双港东大街644 支路 395 号，地处南昌经济技术开发区东部研发产业区，毗邻轨道交通 1 号线孔目湖站，周边交通便捷，3 公里内配套完善，区位优势显著。</w:t>
      </w:r>
    </w:p>
    <w:p w14:paraId="3D22E145">
      <w:pPr>
        <w:keepNext w:val="0"/>
        <w:keepLines w:val="0"/>
        <w:pageBreakBefore w:val="0"/>
        <w:widowControl/>
        <w:kinsoku/>
        <w:wordWrap/>
        <w:overflowPunct/>
        <w:topLinePunct w:val="0"/>
        <w:autoSpaceDE w:val="0"/>
        <w:autoSpaceDN w:val="0"/>
        <w:bidi w:val="0"/>
        <w:adjustRightInd w:val="0"/>
        <w:snapToGrid w:val="0"/>
        <w:spacing w:line="500" w:lineRule="exact"/>
        <w:ind w:right="0" w:firstLine="482" w:firstLineChars="200"/>
        <w:jc w:val="both"/>
        <w:textAlignment w:val="baseline"/>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6.2 地形地貌</w:t>
      </w:r>
    </w:p>
    <w:p w14:paraId="0D0DE021">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从地形地貌来看，项目所在地位于赣抚冲积平原南缘的残丘垄岗上，属赣抚冲击平原Ⅲ级阶地，阶面标高 30</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lang w:eastAsia="zh-CN"/>
        </w:rPr>
        <w:t>54m，地形起伏平缓，土质结构稳定，区域地震烈度小于Ⅵ度，稳定性良好，为工程建设提供了有利的地质条件。</w:t>
      </w:r>
    </w:p>
    <w:p w14:paraId="45748883">
      <w:pPr>
        <w:keepNext w:val="0"/>
        <w:keepLines w:val="0"/>
        <w:pageBreakBefore w:val="0"/>
        <w:widowControl/>
        <w:kinsoku/>
        <w:wordWrap/>
        <w:overflowPunct/>
        <w:topLinePunct w:val="0"/>
        <w:autoSpaceDE w:val="0"/>
        <w:autoSpaceDN w:val="0"/>
        <w:bidi w:val="0"/>
        <w:adjustRightInd w:val="0"/>
        <w:snapToGrid w:val="0"/>
        <w:spacing w:line="500" w:lineRule="exact"/>
        <w:ind w:right="0" w:firstLine="482" w:firstLineChars="200"/>
        <w:jc w:val="both"/>
        <w:textAlignment w:val="baseline"/>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6.3 气象</w:t>
      </w:r>
    </w:p>
    <w:p w14:paraId="027F70EF">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项目区域属亚热带季风气候，四季分明、雨量充沛、温暖湿润，年平均气温 17.5℃左右，年平均降雨量约 1045.2mm，4-6 月为雨季，冬季多偏北风，夏季多西南风，年平均风速 2.3m/s，无霜期长。</w:t>
      </w:r>
    </w:p>
    <w:p w14:paraId="1E843AA7">
      <w:pPr>
        <w:keepNext w:val="0"/>
        <w:keepLines w:val="0"/>
        <w:pageBreakBefore w:val="0"/>
        <w:widowControl/>
        <w:kinsoku/>
        <w:wordWrap/>
        <w:overflowPunct/>
        <w:topLinePunct w:val="0"/>
        <w:autoSpaceDE w:val="0"/>
        <w:autoSpaceDN w:val="0"/>
        <w:bidi w:val="0"/>
        <w:adjustRightInd w:val="0"/>
        <w:snapToGrid w:val="0"/>
        <w:spacing w:line="500" w:lineRule="exact"/>
        <w:ind w:right="0" w:firstLine="482" w:firstLineChars="200"/>
        <w:jc w:val="both"/>
        <w:textAlignment w:val="baseline"/>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6.4 工程地质</w:t>
      </w:r>
    </w:p>
    <w:p w14:paraId="30B0D36E">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工程地质方面，项目区域地处赣抚冲积平原地质单元，地层主要由第四系松散堆积层和下伏基岩构成，上部为第四系全新统冲积层，以粉质黏土、粉土为主，局部夹杂细砂、砂砾石，土层分布均匀，承载力适中，能够满足道路路基、路灯基础等工程建设要求；下伏基岩为白垩系泥质粉砂岩、粉砂质泥岩等红层软岩，岩体完整性较好，无不良地质构造影响，区域内无滑坡、崩塌、泥石流等不良地质现象，也无埋藏河道、墓穴等不利地下埋藏物，仅局部存在少量人工填土，经简单清理夯实后可满足工程建设标准，同时区域地下水主要为第四系松散岩类孔隙潜水，水位埋深适中，对工程施工影响较小，施工期间做好简单降水、排水措施即可规避相关风险。</w:t>
      </w:r>
    </w:p>
    <w:p w14:paraId="4B34F345">
      <w:pPr>
        <w:keepNext w:val="0"/>
        <w:keepLines w:val="0"/>
        <w:pageBreakBefore w:val="0"/>
        <w:widowControl/>
        <w:kinsoku/>
        <w:wordWrap/>
        <w:overflowPunct/>
        <w:topLinePunct w:val="0"/>
        <w:autoSpaceDE w:val="0"/>
        <w:autoSpaceDN w:val="0"/>
        <w:bidi w:val="0"/>
        <w:adjustRightInd w:val="0"/>
        <w:snapToGrid w:val="0"/>
        <w:spacing w:line="500" w:lineRule="exact"/>
        <w:ind w:right="0" w:firstLine="482" w:firstLineChars="200"/>
        <w:jc w:val="both"/>
        <w:textAlignment w:val="baseline"/>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6.5 地震</w:t>
      </w:r>
    </w:p>
    <w:p w14:paraId="449F9464">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 xml:space="preserve">6.5.1 </w:t>
      </w:r>
      <w:r>
        <w:rPr>
          <w:rFonts w:hint="eastAsia" w:ascii="宋体" w:hAnsi="宋体" w:eastAsia="宋体" w:cs="宋体"/>
          <w:color w:val="auto"/>
          <w:sz w:val="24"/>
          <w:szCs w:val="24"/>
          <w:lang w:eastAsia="zh-CN"/>
        </w:rPr>
        <w:t>场地的拟建物的抗震设计参数，根据《建筑抗震设计规范》（GB50011-2010）（2016 年版）之附录 A：我国主要城镇抗震设防烈度、设计基本地震加速度和设计地震分组及《中国地震动参数区划图》（GB18306-2015），拟建场地设计地震分组为第一组，抗震设防烈度为小于 6 度，设计基本地震加速度值为小于 0.05g，地震特征周期值：0.35s。</w:t>
      </w:r>
    </w:p>
    <w:p w14:paraId="702D6524">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 xml:space="preserve">6.5.2 </w:t>
      </w:r>
      <w:r>
        <w:rPr>
          <w:rFonts w:hint="eastAsia" w:ascii="宋体" w:hAnsi="宋体" w:eastAsia="宋体" w:cs="宋体"/>
          <w:color w:val="auto"/>
          <w:sz w:val="24"/>
          <w:szCs w:val="24"/>
          <w:lang w:eastAsia="zh-CN"/>
        </w:rPr>
        <w:t>根据《公路工程抗震设计规范》（JTG B02-2013），抗震措施按小于 6 度区考虑。</w:t>
      </w:r>
    </w:p>
    <w:p w14:paraId="2070EB07">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 xml:space="preserve">6.5.3 </w:t>
      </w:r>
      <w:r>
        <w:rPr>
          <w:rFonts w:hint="eastAsia" w:ascii="宋体" w:hAnsi="宋体" w:eastAsia="宋体" w:cs="宋体"/>
          <w:color w:val="auto"/>
          <w:sz w:val="24"/>
          <w:szCs w:val="24"/>
          <w:lang w:eastAsia="zh-CN"/>
        </w:rPr>
        <w:t>勘察场区抗震设防烈度为小于 6 度，因此可不考虑场地内地震液化效应及处理事宜。</w:t>
      </w:r>
    </w:p>
    <w:p w14:paraId="2D4CBBA0">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6.5.4</w:t>
      </w:r>
      <w:r>
        <w:rPr>
          <w:rFonts w:hint="eastAsia" w:ascii="宋体" w:hAnsi="宋体" w:eastAsia="宋体" w:cs="宋体"/>
          <w:color w:val="auto"/>
          <w:sz w:val="24"/>
          <w:szCs w:val="24"/>
          <w:lang w:eastAsia="zh-CN"/>
        </w:rPr>
        <w:t>综合分析，本项目地质构造基本稳定，适合本工程的建设。</w:t>
      </w:r>
    </w:p>
    <w:p w14:paraId="23B39E15">
      <w:pPr>
        <w:pageBreakBefore w:val="0"/>
        <w:widowControl/>
        <w:kinsoku/>
        <w:wordWrap/>
        <w:overflowPunct/>
        <w:topLinePunct w:val="0"/>
        <w:autoSpaceDE w:val="0"/>
        <w:autoSpaceDN w:val="0"/>
        <w:bidi w:val="0"/>
        <w:adjustRightInd w:val="0"/>
        <w:snapToGrid w:val="0"/>
        <w:spacing w:line="360" w:lineRule="auto"/>
        <w:ind w:left="0" w:leftChars="0" w:firstLine="0" w:firstLineChars="0"/>
        <w:jc w:val="both"/>
        <w:textAlignment w:val="baseline"/>
      </w:pPr>
      <w:r>
        <w:rPr>
          <w:sz w:val="24"/>
        </w:rPr>
        <w:drawing>
          <wp:inline distT="0" distB="0" distL="114300" distR="114300">
            <wp:extent cx="5126990" cy="2974975"/>
            <wp:effectExtent l="0" t="0" r="16510" b="15875"/>
            <wp:docPr id="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pic:cNvPicPr>
                      <a:picLocks noChangeAspect="1"/>
                    </pic:cNvPicPr>
                  </pic:nvPicPr>
                  <pic:blipFill>
                    <a:blip r:embed="rId4"/>
                    <a:stretch>
                      <a:fillRect/>
                    </a:stretch>
                  </pic:blipFill>
                  <pic:spPr>
                    <a:xfrm>
                      <a:off x="1706880" y="4539615"/>
                      <a:ext cx="5126990" cy="2974975"/>
                    </a:xfrm>
                    <a:prstGeom prst="rect">
                      <a:avLst/>
                    </a:prstGeom>
                    <a:noFill/>
                    <a:ln>
                      <a:noFill/>
                    </a:ln>
                  </pic:spPr>
                </pic:pic>
              </a:graphicData>
            </a:graphic>
          </wp:inline>
        </w:drawing>
      </w:r>
    </w:p>
    <w:p w14:paraId="646B326F">
      <w:pPr>
        <w:pageBreakBefore w:val="0"/>
        <w:widowControl/>
        <w:kinsoku/>
        <w:wordWrap/>
        <w:overflowPunct/>
        <w:topLinePunct w:val="0"/>
        <w:autoSpaceDE w:val="0"/>
        <w:autoSpaceDN w:val="0"/>
        <w:bidi w:val="0"/>
        <w:adjustRightInd w:val="0"/>
        <w:snapToGrid w:val="0"/>
        <w:spacing w:line="360" w:lineRule="auto"/>
        <w:jc w:val="center"/>
        <w:textAlignment w:val="baseline"/>
        <w:rPr>
          <w:rFonts w:hint="eastAsia" w:asciiTheme="minorEastAsia" w:hAnsiTheme="minorEastAsia" w:eastAsiaTheme="minorEastAsia"/>
          <w:b/>
          <w:bCs/>
          <w:color w:val="auto"/>
          <w:sz w:val="24"/>
          <w:szCs w:val="24"/>
          <w:lang w:eastAsia="zh-CN"/>
        </w:rPr>
      </w:pPr>
      <w:r>
        <w:rPr>
          <w:rFonts w:hint="eastAsia" w:asciiTheme="minorEastAsia" w:hAnsiTheme="minorEastAsia" w:eastAsiaTheme="minorEastAsia"/>
          <w:b/>
          <w:bCs/>
          <w:color w:val="auto"/>
          <w:sz w:val="24"/>
          <w:szCs w:val="24"/>
          <w:lang w:eastAsia="zh-CN"/>
        </w:rPr>
        <w:t>项目位置</w:t>
      </w:r>
    </w:p>
    <w:p w14:paraId="77970092">
      <w:pPr>
        <w:rPr>
          <w:rFonts w:hint="eastAsia" w:ascii="宋体" w:hAnsi="宋体" w:eastAsia="宋体" w:cs="宋体"/>
          <w:b/>
          <w:bCs/>
          <w:color w:val="auto"/>
          <w:sz w:val="24"/>
          <w:szCs w:val="24"/>
          <w:lang w:val="en-US" w:eastAsia="zh-CN"/>
        </w:rPr>
      </w:pPr>
    </w:p>
    <w:p w14:paraId="232F4536">
      <w:pPr>
        <w:keepNext w:val="0"/>
        <w:keepLines w:val="0"/>
        <w:pageBreakBefore w:val="0"/>
        <w:widowControl/>
        <w:kinsoku/>
        <w:wordWrap/>
        <w:overflowPunct/>
        <w:topLinePunct w:val="0"/>
        <w:autoSpaceDE w:val="0"/>
        <w:autoSpaceDN w:val="0"/>
        <w:bidi w:val="0"/>
        <w:adjustRightInd w:val="0"/>
        <w:snapToGrid w:val="0"/>
        <w:spacing w:line="500" w:lineRule="exact"/>
        <w:ind w:right="0" w:firstLine="482" w:firstLineChars="200"/>
        <w:jc w:val="both"/>
        <w:textAlignment w:val="baseline"/>
      </w:pPr>
      <w:r>
        <w:rPr>
          <w:rFonts w:hint="eastAsia" w:ascii="宋体" w:hAnsi="宋体" w:eastAsia="宋体" w:cs="宋体"/>
          <w:b/>
          <w:bCs/>
          <w:color w:val="auto"/>
          <w:sz w:val="24"/>
          <w:szCs w:val="24"/>
          <w:lang w:val="en-US" w:eastAsia="zh-CN"/>
        </w:rPr>
        <w:t>7.</w:t>
      </w:r>
      <w:r>
        <w:rPr>
          <w:rFonts w:hint="eastAsia" w:ascii="宋体" w:hAnsi="宋体" w:eastAsia="宋体" w:cs="宋体"/>
          <w:b/>
          <w:bCs/>
          <w:color w:val="auto"/>
          <w:sz w:val="24"/>
          <w:szCs w:val="24"/>
          <w:lang w:eastAsia="zh-CN"/>
        </w:rPr>
        <w:t>工程方案</w:t>
      </w:r>
    </w:p>
    <w:p w14:paraId="3F7DDC5F">
      <w:pPr>
        <w:keepNext w:val="0"/>
        <w:keepLines w:val="0"/>
        <w:pageBreakBefore w:val="0"/>
        <w:widowControl/>
        <w:kinsoku/>
        <w:wordWrap/>
        <w:overflowPunct/>
        <w:topLinePunct w:val="0"/>
        <w:autoSpaceDE w:val="0"/>
        <w:autoSpaceDN w:val="0"/>
        <w:bidi w:val="0"/>
        <w:adjustRightInd w:val="0"/>
        <w:snapToGrid w:val="0"/>
        <w:spacing w:line="500" w:lineRule="exact"/>
        <w:ind w:right="0" w:firstLine="482" w:firstLineChars="200"/>
        <w:jc w:val="both"/>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7</w:t>
      </w:r>
      <w:r>
        <w:rPr>
          <w:rFonts w:hint="eastAsia" w:ascii="宋体" w:hAnsi="宋体" w:eastAsia="宋体" w:cs="宋体"/>
          <w:b/>
          <w:bCs/>
          <w:color w:val="auto"/>
          <w:sz w:val="24"/>
          <w:szCs w:val="24"/>
          <w:lang w:eastAsia="zh-CN"/>
        </w:rPr>
        <w:t>.1平、纵断面设计</w:t>
      </w:r>
    </w:p>
    <w:p w14:paraId="4145E175">
      <w:pPr>
        <w:keepNext w:val="0"/>
        <w:keepLines w:val="0"/>
        <w:pageBreakBefore w:val="0"/>
        <w:widowControl/>
        <w:kinsoku/>
        <w:wordWrap/>
        <w:overflowPunct/>
        <w:topLinePunct w:val="0"/>
        <w:autoSpaceDE w:val="0"/>
        <w:autoSpaceDN w:val="0"/>
        <w:bidi w:val="0"/>
        <w:adjustRightInd w:val="0"/>
        <w:snapToGrid w:val="0"/>
        <w:spacing w:line="500" w:lineRule="atLeast"/>
        <w:ind w:left="0" w:right="0"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道路平纵线形严格拟合老路现状，基本沿用原有老路走向及标高，不做大范围调整，最大限度保留原有道路骨架，降低工程建设对校园现有布局的影响。设计过程中，充分结合老路实际路况，对局部路面破损、路基沉降、路段衔接不畅等问题进行针对性优化修整，兼顾通行需求与工程经济性，避免过度改造造成的资源浪费。同时，严格衔接校园整体规划，确保改造后道路与原有校园路网、人行道及周边绿化、教学实训设施顺畅衔接。施工期间，严格把控平纵线形拟合精度，避免因标高偏差、走向偏移影响师生出行及周边设施安全，最大限度减少施工对校园正常教学、生活秩序的干扰。</w:t>
      </w:r>
    </w:p>
    <w:p w14:paraId="58ECD086">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br w:type="page"/>
      </w:r>
    </w:p>
    <w:p w14:paraId="0D6EE2FE">
      <w:pPr>
        <w:keepNext w:val="0"/>
        <w:keepLines w:val="0"/>
        <w:pageBreakBefore w:val="0"/>
        <w:widowControl/>
        <w:kinsoku/>
        <w:wordWrap/>
        <w:overflowPunct/>
        <w:topLinePunct w:val="0"/>
        <w:autoSpaceDE w:val="0"/>
        <w:autoSpaceDN w:val="0"/>
        <w:bidi w:val="0"/>
        <w:adjustRightInd w:val="0"/>
        <w:snapToGrid w:val="0"/>
        <w:spacing w:line="500" w:lineRule="exact"/>
        <w:ind w:right="0" w:firstLine="482" w:firstLineChars="200"/>
        <w:jc w:val="both"/>
        <w:textAlignment w:val="baseline"/>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7.2横断面设计</w:t>
      </w:r>
    </w:p>
    <w:p w14:paraId="6B69323C">
      <w:pPr>
        <w:keepNext w:val="0"/>
        <w:keepLines w:val="0"/>
        <w:pageBreakBefore w:val="0"/>
        <w:widowControl/>
        <w:kinsoku/>
        <w:wordWrap/>
        <w:overflowPunct/>
        <w:topLinePunct w:val="0"/>
        <w:autoSpaceDE w:val="0"/>
        <w:autoSpaceDN w:val="0"/>
        <w:bidi w:val="0"/>
        <w:adjustRightInd w:val="0"/>
        <w:snapToGrid w:val="0"/>
        <w:spacing w:line="500" w:lineRule="atLeast"/>
        <w:ind w:left="0" w:right="0" w:firstLine="472" w:firstLineChars="200"/>
        <w:textAlignment w:val="baseline"/>
        <w:rPr>
          <w:rFonts w:hint="eastAsia" w:ascii="宋体" w:hAnsi="宋体" w:eastAsia="宋体" w:cs="宋体"/>
          <w:sz w:val="24"/>
          <w:szCs w:val="24"/>
        </w:rPr>
      </w:pPr>
      <w:r>
        <w:rPr>
          <w:rFonts w:hint="eastAsia" w:ascii="宋体" w:hAnsi="宋体" w:eastAsia="宋体" w:cs="宋体"/>
          <w:spacing w:val="-2"/>
          <w:sz w:val="24"/>
          <w:szCs w:val="24"/>
        </w:rPr>
        <w:t>具体宽度为现场实际位置</w:t>
      </w:r>
    </w:p>
    <w:p w14:paraId="2D2BE8C1">
      <w:pPr>
        <w:keepNext w:val="0"/>
        <w:keepLines w:val="0"/>
        <w:pageBreakBefore w:val="0"/>
        <w:widowControl/>
        <w:kinsoku/>
        <w:wordWrap/>
        <w:overflowPunct/>
        <w:topLinePunct w:val="0"/>
        <w:autoSpaceDE w:val="0"/>
        <w:autoSpaceDN w:val="0"/>
        <w:bidi w:val="0"/>
        <w:adjustRightInd w:val="0"/>
        <w:snapToGrid w:val="0"/>
        <w:spacing w:line="500" w:lineRule="atLeast"/>
        <w:ind w:left="0" w:leftChars="0" w:right="0" w:firstLine="0" w:firstLineChars="0"/>
        <w:jc w:val="center"/>
        <w:textAlignment w:val="baseline"/>
        <w:rPr>
          <w:rFonts w:hint="eastAsia" w:ascii="宋体" w:hAnsi="宋体" w:eastAsia="宋体" w:cs="宋体"/>
          <w:position w:val="-88"/>
          <w:sz w:val="24"/>
          <w:szCs w:val="24"/>
        </w:rPr>
      </w:pPr>
      <w:r>
        <w:rPr>
          <w:rFonts w:hint="eastAsia" w:ascii="宋体" w:hAnsi="宋体" w:eastAsia="宋体" w:cs="宋体"/>
          <w:position w:val="-88"/>
          <w:sz w:val="24"/>
          <w:szCs w:val="24"/>
        </w:rPr>
        <w:drawing>
          <wp:inline distT="0" distB="0" distL="0" distR="0">
            <wp:extent cx="4430395" cy="1727835"/>
            <wp:effectExtent l="0" t="0" r="8255" b="5715"/>
            <wp:docPr id="10" name="IM 10"/>
            <wp:cNvGraphicFramePr/>
            <a:graphic xmlns:a="http://schemas.openxmlformats.org/drawingml/2006/main">
              <a:graphicData uri="http://schemas.openxmlformats.org/drawingml/2006/picture">
                <pic:pic xmlns:pic="http://schemas.openxmlformats.org/drawingml/2006/picture">
                  <pic:nvPicPr>
                    <pic:cNvPr id="10" name="IM 10"/>
                    <pic:cNvPicPr/>
                  </pic:nvPicPr>
                  <pic:blipFill>
                    <a:blip r:embed="rId5"/>
                    <a:srcRect b="9761"/>
                    <a:stretch>
                      <a:fillRect/>
                    </a:stretch>
                  </pic:blipFill>
                  <pic:spPr>
                    <a:xfrm>
                      <a:off x="0" y="0"/>
                      <a:ext cx="4430395" cy="1727835"/>
                    </a:xfrm>
                    <a:prstGeom prst="rect">
                      <a:avLst/>
                    </a:prstGeom>
                  </pic:spPr>
                </pic:pic>
              </a:graphicData>
            </a:graphic>
          </wp:inline>
        </w:drawing>
      </w:r>
    </w:p>
    <w:p w14:paraId="7091C42D">
      <w:pPr>
        <w:keepNext w:val="0"/>
        <w:keepLines w:val="0"/>
        <w:pageBreakBefore w:val="0"/>
        <w:widowControl/>
        <w:kinsoku/>
        <w:wordWrap/>
        <w:overflowPunct/>
        <w:topLinePunct w:val="0"/>
        <w:autoSpaceDE w:val="0"/>
        <w:autoSpaceDN w:val="0"/>
        <w:bidi w:val="0"/>
        <w:adjustRightInd w:val="0"/>
        <w:snapToGrid w:val="0"/>
        <w:spacing w:line="500" w:lineRule="exact"/>
        <w:ind w:right="0" w:firstLine="482" w:firstLineChars="200"/>
        <w:jc w:val="both"/>
        <w:textAlignment w:val="baseline"/>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7.3 人行道</w:t>
      </w:r>
    </w:p>
    <w:p w14:paraId="195BF28F">
      <w:pPr>
        <w:keepNext w:val="0"/>
        <w:keepLines w:val="0"/>
        <w:pageBreakBefore w:val="0"/>
        <w:widowControl/>
        <w:kinsoku/>
        <w:wordWrap/>
        <w:overflowPunct/>
        <w:topLinePunct w:val="0"/>
        <w:autoSpaceDE w:val="0"/>
        <w:autoSpaceDN w:val="0"/>
        <w:bidi w:val="0"/>
        <w:adjustRightInd w:val="0"/>
        <w:snapToGrid w:val="0"/>
        <w:spacing w:line="500" w:lineRule="exact"/>
        <w:ind w:right="0" w:firstLine="482" w:firstLineChars="200"/>
        <w:jc w:val="both"/>
        <w:textAlignment w:val="baseline"/>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7.3.1人行道结构设计</w:t>
      </w:r>
    </w:p>
    <w:p w14:paraId="5DEF8FFD">
      <w:pPr>
        <w:keepNext w:val="0"/>
        <w:keepLines w:val="0"/>
        <w:pageBreakBefore w:val="0"/>
        <w:widowControl/>
        <w:kinsoku/>
        <w:wordWrap/>
        <w:overflowPunct/>
        <w:topLinePunct w:val="0"/>
        <w:autoSpaceDE w:val="0"/>
        <w:autoSpaceDN w:val="0"/>
        <w:bidi w:val="0"/>
        <w:adjustRightInd w:val="0"/>
        <w:snapToGrid w:val="0"/>
        <w:spacing w:line="500" w:lineRule="atLeast"/>
        <w:ind w:left="0" w:right="0" w:firstLine="484" w:firstLineChars="200"/>
        <w:textAlignment w:val="baseline"/>
        <w:rPr>
          <w:rFonts w:hint="eastAsia" w:ascii="宋体" w:hAnsi="宋体" w:eastAsia="宋体" w:cs="宋体"/>
          <w:spacing w:val="-1"/>
          <w:sz w:val="24"/>
          <w:szCs w:val="24"/>
        </w:rPr>
      </w:pPr>
      <w:r>
        <w:rPr>
          <w:rFonts w:hint="eastAsia" w:ascii="宋体" w:hAnsi="宋体" w:eastAsia="宋体" w:cs="宋体"/>
          <w:spacing w:val="1"/>
          <w:sz w:val="24"/>
          <w:szCs w:val="24"/>
        </w:rPr>
        <w:t>1）按照道路等级，交通量对路面的要求，根据气候，水文</w:t>
      </w:r>
      <w:r>
        <w:rPr>
          <w:rFonts w:hint="eastAsia" w:ascii="宋体" w:hAnsi="宋体" w:eastAsia="宋体" w:cs="宋体"/>
          <w:sz w:val="24"/>
          <w:szCs w:val="24"/>
        </w:rPr>
        <w:t>地质、筑路材料分布等情况，拟从表面平整性、舒适性、使用寿命、施工工艺以及养护和工程造价等方面</w:t>
      </w:r>
      <w:r>
        <w:rPr>
          <w:rFonts w:hint="eastAsia" w:ascii="宋体" w:hAnsi="宋体" w:eastAsia="宋体" w:cs="宋体"/>
          <w:spacing w:val="-1"/>
          <w:sz w:val="24"/>
          <w:szCs w:val="24"/>
        </w:rPr>
        <w:t>综合比较，最后选定：</w:t>
      </w:r>
    </w:p>
    <w:p w14:paraId="4489E59B">
      <w:pPr>
        <w:keepNext w:val="0"/>
        <w:keepLines w:val="0"/>
        <w:pageBreakBefore w:val="0"/>
        <w:widowControl/>
        <w:kinsoku/>
        <w:wordWrap/>
        <w:overflowPunct/>
        <w:topLinePunct w:val="0"/>
        <w:autoSpaceDE w:val="0"/>
        <w:autoSpaceDN w:val="0"/>
        <w:bidi w:val="0"/>
        <w:adjustRightInd w:val="0"/>
        <w:snapToGrid w:val="0"/>
        <w:spacing w:line="240" w:lineRule="atLeast"/>
        <w:ind w:left="0" w:leftChars="0" w:right="0" w:firstLine="0" w:firstLineChars="0"/>
        <w:textAlignment w:val="baseline"/>
        <w:rPr>
          <w:rFonts w:hint="eastAsia" w:ascii="宋体" w:hAnsi="宋体" w:eastAsia="宋体" w:cs="宋体"/>
          <w:spacing w:val="-1"/>
          <w:sz w:val="24"/>
          <w:szCs w:val="24"/>
        </w:rPr>
      </w:pPr>
      <w:r>
        <w:rPr>
          <w:position w:val="-73"/>
        </w:rPr>
        <w:drawing>
          <wp:inline distT="0" distB="0" distL="0" distR="0">
            <wp:extent cx="2358390" cy="2164080"/>
            <wp:effectExtent l="0" t="0" r="3810" b="7620"/>
            <wp:docPr id="18" name="IM 18"/>
            <wp:cNvGraphicFramePr/>
            <a:graphic xmlns:a="http://schemas.openxmlformats.org/drawingml/2006/main">
              <a:graphicData uri="http://schemas.openxmlformats.org/drawingml/2006/picture">
                <pic:pic xmlns:pic="http://schemas.openxmlformats.org/drawingml/2006/picture">
                  <pic:nvPicPr>
                    <pic:cNvPr id="18" name="IM 18"/>
                    <pic:cNvPicPr/>
                  </pic:nvPicPr>
                  <pic:blipFill>
                    <a:blip r:embed="rId6"/>
                    <a:stretch>
                      <a:fillRect/>
                    </a:stretch>
                  </pic:blipFill>
                  <pic:spPr>
                    <a:xfrm>
                      <a:off x="0" y="0"/>
                      <a:ext cx="2358390" cy="2164080"/>
                    </a:xfrm>
                    <a:prstGeom prst="rect">
                      <a:avLst/>
                    </a:prstGeom>
                  </pic:spPr>
                </pic:pic>
              </a:graphicData>
            </a:graphic>
          </wp:inline>
        </w:drawing>
      </w:r>
      <w:r>
        <w:rPr>
          <w:rFonts w:hint="eastAsia" w:eastAsia="宋体"/>
          <w:position w:val="-73"/>
          <w:lang w:val="en-US" w:eastAsia="zh-CN"/>
        </w:rPr>
        <w:t xml:space="preserve">      </w:t>
      </w:r>
      <w:r>
        <w:rPr>
          <w:position w:val="-74"/>
        </w:rPr>
        <w:drawing>
          <wp:inline distT="0" distB="0" distL="0" distR="0">
            <wp:extent cx="2380615" cy="2197735"/>
            <wp:effectExtent l="0" t="0" r="635" b="12065"/>
            <wp:docPr id="16" name="IM 16"/>
            <wp:cNvGraphicFramePr/>
            <a:graphic xmlns:a="http://schemas.openxmlformats.org/drawingml/2006/main">
              <a:graphicData uri="http://schemas.openxmlformats.org/drawingml/2006/picture">
                <pic:pic xmlns:pic="http://schemas.openxmlformats.org/drawingml/2006/picture">
                  <pic:nvPicPr>
                    <pic:cNvPr id="16" name="IM 16"/>
                    <pic:cNvPicPr/>
                  </pic:nvPicPr>
                  <pic:blipFill>
                    <a:blip r:embed="rId7"/>
                    <a:stretch>
                      <a:fillRect/>
                    </a:stretch>
                  </pic:blipFill>
                  <pic:spPr>
                    <a:xfrm>
                      <a:off x="0" y="0"/>
                      <a:ext cx="2380615" cy="2197735"/>
                    </a:xfrm>
                    <a:prstGeom prst="rect">
                      <a:avLst/>
                    </a:prstGeom>
                  </pic:spPr>
                </pic:pic>
              </a:graphicData>
            </a:graphic>
          </wp:inline>
        </w:drawing>
      </w:r>
    </w:p>
    <w:p w14:paraId="5A00331D">
      <w:pPr>
        <w:pageBreakBefore w:val="0"/>
        <w:widowControl/>
        <w:kinsoku/>
        <w:wordWrap/>
        <w:overflowPunct/>
        <w:topLinePunct w:val="0"/>
        <w:autoSpaceDE w:val="0"/>
        <w:autoSpaceDN w:val="0"/>
        <w:bidi w:val="0"/>
        <w:adjustRightInd w:val="0"/>
        <w:snapToGrid w:val="0"/>
        <w:spacing w:before="19" w:line="221" w:lineRule="auto"/>
        <w:ind w:left="2047" w:leftChars="9" w:hanging="2028" w:hangingChars="1000"/>
        <w:textAlignment w:val="baseline"/>
        <w:rPr>
          <w:rFonts w:ascii="宋体" w:hAnsi="宋体" w:eastAsia="宋体" w:cs="宋体"/>
          <w:sz w:val="21"/>
          <w:szCs w:val="21"/>
        </w:rPr>
      </w:pPr>
      <w:r>
        <w:rPr>
          <w:rFonts w:ascii="宋体" w:hAnsi="宋体" w:eastAsia="宋体" w:cs="宋体"/>
          <w:b/>
          <w:bCs/>
          <w:spacing w:val="-4"/>
          <w:sz w:val="21"/>
          <w:szCs w:val="21"/>
        </w:rPr>
        <w:t>人行道样式</w:t>
      </w:r>
      <w:r>
        <w:rPr>
          <w:rFonts w:hint="eastAsia" w:ascii="宋体" w:hAnsi="宋体" w:eastAsia="宋体" w:cs="宋体"/>
          <w:b/>
          <w:bCs/>
          <w:spacing w:val="-4"/>
          <w:sz w:val="21"/>
          <w:szCs w:val="21"/>
          <w:lang w:val="en-US" w:eastAsia="zh-CN"/>
        </w:rPr>
        <w:t xml:space="preserve">                                 </w:t>
      </w:r>
      <w:r>
        <w:rPr>
          <w:rFonts w:ascii="宋体" w:hAnsi="宋体" w:eastAsia="宋体" w:cs="宋体"/>
          <w:b/>
          <w:bCs/>
          <w:spacing w:val="-3"/>
          <w:sz w:val="21"/>
          <w:szCs w:val="21"/>
        </w:rPr>
        <w:t>树池篦子</w:t>
      </w:r>
    </w:p>
    <w:p w14:paraId="41B83306">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textAlignment w:val="baseline"/>
        <w:rPr>
          <w:rFonts w:hint="eastAsia" w:ascii="宋体" w:hAnsi="宋体" w:eastAsia="宋体" w:cs="宋体"/>
          <w:sz w:val="24"/>
          <w:szCs w:val="24"/>
        </w:rPr>
      </w:pPr>
      <w:r>
        <w:rPr>
          <w:rFonts w:hint="eastAsia" w:ascii="宋体" w:hAnsi="宋体" w:eastAsia="宋体" w:cs="宋体"/>
          <w:position w:val="-73"/>
          <w:sz w:val="24"/>
          <w:szCs w:val="24"/>
          <w:lang w:val="en-US" w:eastAsia="zh-CN"/>
        </w:rPr>
        <w:t xml:space="preserve"> </w:t>
      </w:r>
      <w:r>
        <w:rPr>
          <w:rFonts w:hint="eastAsia" w:ascii="宋体" w:hAnsi="宋体" w:eastAsia="宋体" w:cs="宋体"/>
          <w:spacing w:val="-1"/>
          <w:sz w:val="24"/>
          <w:szCs w:val="24"/>
        </w:rPr>
        <w:t>2）压实度标准</w:t>
      </w:r>
    </w:p>
    <w:p w14:paraId="57DDF092">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68" w:firstLineChars="200"/>
        <w:textAlignment w:val="baseline"/>
        <w:rPr>
          <w:rFonts w:hint="eastAsia" w:ascii="宋体" w:hAnsi="宋体" w:eastAsia="宋体" w:cs="宋体"/>
          <w:sz w:val="24"/>
          <w:szCs w:val="24"/>
        </w:rPr>
      </w:pPr>
      <w:r>
        <w:rPr>
          <w:rFonts w:hint="eastAsia" w:ascii="宋体" w:hAnsi="宋体" w:eastAsia="宋体" w:cs="宋体"/>
          <w:spacing w:val="-3"/>
          <w:sz w:val="24"/>
          <w:szCs w:val="24"/>
        </w:rPr>
        <w:t>地基表层应碾压密实在一般土质地段，路基底的压实度（重型）不应小于</w:t>
      </w:r>
      <w:r>
        <w:rPr>
          <w:rFonts w:hint="eastAsia" w:ascii="宋体" w:hAnsi="宋体" w:eastAsia="宋体" w:cs="宋体"/>
          <w:spacing w:val="-32"/>
          <w:sz w:val="24"/>
          <w:szCs w:val="24"/>
        </w:rPr>
        <w:t xml:space="preserve"> </w:t>
      </w:r>
      <w:r>
        <w:rPr>
          <w:rFonts w:hint="eastAsia" w:ascii="宋体" w:hAnsi="宋体" w:eastAsia="宋体" w:cs="宋体"/>
          <w:spacing w:val="-3"/>
          <w:sz w:val="24"/>
          <w:szCs w:val="24"/>
        </w:rPr>
        <w:t>90%。不同深度的压</w:t>
      </w:r>
      <w:r>
        <w:rPr>
          <w:rFonts w:hint="eastAsia" w:ascii="宋体" w:hAnsi="宋体" w:eastAsia="宋体" w:cs="宋体"/>
          <w:spacing w:val="-2"/>
          <w:sz w:val="24"/>
          <w:szCs w:val="24"/>
        </w:rPr>
        <w:t>实度标准详见下表。</w:t>
      </w:r>
    </w:p>
    <w:p w14:paraId="71B16112">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76" w:firstLineChars="200"/>
        <w:textAlignment w:val="baseline"/>
        <w:rPr>
          <w:rFonts w:hint="eastAsia" w:ascii="宋体" w:hAnsi="宋体" w:eastAsia="宋体" w:cs="宋体"/>
          <w:sz w:val="24"/>
          <w:szCs w:val="24"/>
        </w:rPr>
      </w:pPr>
      <w:r>
        <w:rPr>
          <w:rFonts w:hint="eastAsia" w:ascii="宋体" w:hAnsi="宋体" w:eastAsia="宋体" w:cs="宋体"/>
          <w:spacing w:val="-1"/>
          <w:sz w:val="24"/>
          <w:szCs w:val="24"/>
        </w:rPr>
        <w:t>路基填料最小压实度表</w:t>
      </w:r>
    </w:p>
    <w:tbl>
      <w:tblPr>
        <w:tblStyle w:val="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307"/>
        <w:gridCol w:w="2633"/>
        <w:gridCol w:w="3373"/>
      </w:tblGrid>
      <w:tr w14:paraId="26665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4" w:hRule="atLeast"/>
        </w:trPr>
        <w:tc>
          <w:tcPr>
            <w:tcW w:w="1387" w:type="pct"/>
            <w:vAlign w:val="center"/>
          </w:tcPr>
          <w:p w14:paraId="129233E6">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68" w:firstLineChars="200"/>
              <w:jc w:val="center"/>
              <w:textAlignment w:val="baseline"/>
              <w:rPr>
                <w:rFonts w:hint="eastAsia" w:ascii="宋体" w:hAnsi="宋体" w:eastAsia="宋体" w:cs="宋体"/>
                <w:sz w:val="24"/>
                <w:szCs w:val="24"/>
              </w:rPr>
            </w:pPr>
            <w:r>
              <w:rPr>
                <w:rFonts w:hint="eastAsia" w:ascii="宋体" w:hAnsi="宋体" w:eastAsia="宋体" w:cs="宋体"/>
                <w:spacing w:val="-3"/>
                <w:sz w:val="24"/>
                <w:szCs w:val="24"/>
              </w:rPr>
              <w:t>填挖类别</w:t>
            </w:r>
          </w:p>
        </w:tc>
        <w:tc>
          <w:tcPr>
            <w:tcW w:w="1583" w:type="pct"/>
            <w:vAlign w:val="center"/>
          </w:tcPr>
          <w:p w14:paraId="77D91A1F">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68" w:firstLineChars="200"/>
              <w:jc w:val="center"/>
              <w:textAlignment w:val="baseline"/>
              <w:rPr>
                <w:rFonts w:hint="eastAsia" w:ascii="宋体" w:hAnsi="宋体" w:eastAsia="宋体" w:cs="宋体"/>
                <w:sz w:val="24"/>
                <w:szCs w:val="24"/>
              </w:rPr>
            </w:pPr>
            <w:r>
              <w:rPr>
                <w:rFonts w:hint="eastAsia" w:ascii="宋体" w:hAnsi="宋体" w:eastAsia="宋体" w:cs="宋体"/>
                <w:spacing w:val="-3"/>
                <w:sz w:val="24"/>
                <w:szCs w:val="24"/>
              </w:rPr>
              <w:t>深度</w:t>
            </w:r>
            <w:r>
              <w:rPr>
                <w:rFonts w:hint="eastAsia" w:ascii="宋体" w:hAnsi="宋体" w:eastAsia="宋体" w:cs="宋体"/>
                <w:b/>
                <w:bCs/>
                <w:spacing w:val="-3"/>
                <w:sz w:val="24"/>
                <w:szCs w:val="24"/>
              </w:rPr>
              <w:t>(cm)</w:t>
            </w:r>
          </w:p>
        </w:tc>
        <w:tc>
          <w:tcPr>
            <w:tcW w:w="2028" w:type="pct"/>
            <w:vAlign w:val="center"/>
          </w:tcPr>
          <w:p w14:paraId="662CE0B3">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72" w:firstLineChars="200"/>
              <w:jc w:val="center"/>
              <w:textAlignment w:val="baseline"/>
              <w:rPr>
                <w:rFonts w:hint="eastAsia" w:ascii="宋体" w:hAnsi="宋体" w:eastAsia="宋体" w:cs="宋体"/>
                <w:sz w:val="24"/>
                <w:szCs w:val="24"/>
              </w:rPr>
            </w:pPr>
            <w:r>
              <w:rPr>
                <w:rFonts w:hint="eastAsia" w:ascii="宋体" w:hAnsi="宋体" w:eastAsia="宋体" w:cs="宋体"/>
                <w:spacing w:val="-2"/>
                <w:sz w:val="24"/>
                <w:szCs w:val="24"/>
              </w:rPr>
              <w:t>人行道压实度</w:t>
            </w:r>
            <w:r>
              <w:rPr>
                <w:rFonts w:hint="eastAsia" w:ascii="宋体" w:hAnsi="宋体" w:eastAsia="宋体" w:cs="宋体"/>
                <w:b/>
                <w:bCs/>
                <w:spacing w:val="-2"/>
                <w:sz w:val="24"/>
                <w:szCs w:val="24"/>
              </w:rPr>
              <w:t>(%)</w:t>
            </w:r>
          </w:p>
        </w:tc>
      </w:tr>
      <w:tr w14:paraId="75DDC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1" w:hRule="atLeast"/>
        </w:trPr>
        <w:tc>
          <w:tcPr>
            <w:tcW w:w="1387" w:type="pct"/>
            <w:vMerge w:val="restart"/>
            <w:vAlign w:val="center"/>
          </w:tcPr>
          <w:p w14:paraId="3398B007">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60" w:firstLineChars="200"/>
              <w:jc w:val="center"/>
              <w:textAlignment w:val="baseline"/>
              <w:rPr>
                <w:rFonts w:hint="eastAsia" w:ascii="宋体" w:hAnsi="宋体" w:eastAsia="宋体" w:cs="宋体"/>
                <w:sz w:val="24"/>
                <w:szCs w:val="24"/>
              </w:rPr>
            </w:pPr>
            <w:r>
              <w:rPr>
                <w:rFonts w:hint="eastAsia" w:ascii="宋体" w:hAnsi="宋体" w:eastAsia="宋体" w:cs="宋体"/>
                <w:spacing w:val="-5"/>
                <w:sz w:val="24"/>
                <w:szCs w:val="24"/>
              </w:rPr>
              <w:t>填方</w:t>
            </w:r>
          </w:p>
        </w:tc>
        <w:tc>
          <w:tcPr>
            <w:tcW w:w="1583" w:type="pct"/>
            <w:vAlign w:val="center"/>
          </w:tcPr>
          <w:p w14:paraId="56082460">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70" w:firstLineChars="200"/>
              <w:jc w:val="center"/>
              <w:textAlignment w:val="baseline"/>
              <w:rPr>
                <w:rFonts w:hint="eastAsia" w:ascii="宋体" w:hAnsi="宋体" w:eastAsia="宋体" w:cs="宋体"/>
                <w:sz w:val="24"/>
                <w:szCs w:val="24"/>
              </w:rPr>
            </w:pPr>
            <w:r>
              <w:rPr>
                <w:rFonts w:hint="eastAsia" w:ascii="宋体" w:hAnsi="宋体" w:eastAsia="宋体" w:cs="宋体"/>
                <w:b/>
                <w:bCs/>
                <w:spacing w:val="-3"/>
                <w:sz w:val="24"/>
                <w:szCs w:val="24"/>
              </w:rPr>
              <w:t>0</w:t>
            </w:r>
            <w:r>
              <w:rPr>
                <w:rFonts w:hint="eastAsia" w:ascii="宋体" w:hAnsi="宋体" w:eastAsia="宋体" w:cs="宋体"/>
                <w:spacing w:val="-3"/>
                <w:sz w:val="24"/>
                <w:szCs w:val="24"/>
              </w:rPr>
              <w:t>～</w:t>
            </w:r>
            <w:r>
              <w:rPr>
                <w:rFonts w:hint="eastAsia" w:ascii="宋体" w:hAnsi="宋体" w:eastAsia="宋体" w:cs="宋体"/>
                <w:b/>
                <w:bCs/>
                <w:spacing w:val="-3"/>
                <w:sz w:val="24"/>
                <w:szCs w:val="24"/>
              </w:rPr>
              <w:t>80</w:t>
            </w:r>
          </w:p>
        </w:tc>
        <w:tc>
          <w:tcPr>
            <w:tcW w:w="2028" w:type="pct"/>
            <w:vAlign w:val="center"/>
          </w:tcPr>
          <w:p w14:paraId="1F2187EF">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58" w:firstLineChars="200"/>
              <w:jc w:val="center"/>
              <w:textAlignment w:val="baseline"/>
              <w:rPr>
                <w:rFonts w:hint="eastAsia" w:ascii="宋体" w:hAnsi="宋体" w:eastAsia="宋体" w:cs="宋体"/>
                <w:sz w:val="24"/>
                <w:szCs w:val="24"/>
              </w:rPr>
            </w:pPr>
            <w:r>
              <w:rPr>
                <w:rFonts w:hint="eastAsia" w:ascii="宋体" w:hAnsi="宋体" w:eastAsia="宋体" w:cs="宋体"/>
                <w:b/>
                <w:bCs/>
                <w:spacing w:val="-6"/>
                <w:sz w:val="24"/>
                <w:szCs w:val="24"/>
              </w:rPr>
              <w:t>92</w:t>
            </w:r>
          </w:p>
        </w:tc>
      </w:tr>
      <w:tr w14:paraId="64780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1" w:hRule="atLeast"/>
        </w:trPr>
        <w:tc>
          <w:tcPr>
            <w:tcW w:w="1387" w:type="pct"/>
            <w:vMerge w:val="continue"/>
            <w:vAlign w:val="center"/>
          </w:tcPr>
          <w:p w14:paraId="387C742E">
            <w:pPr>
              <w:pStyle w:val="8"/>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center"/>
              <w:textAlignment w:val="baseline"/>
              <w:rPr>
                <w:rFonts w:hint="eastAsia" w:ascii="宋体" w:hAnsi="宋体" w:eastAsia="宋体" w:cs="宋体"/>
                <w:sz w:val="24"/>
                <w:szCs w:val="24"/>
              </w:rPr>
            </w:pPr>
          </w:p>
        </w:tc>
        <w:tc>
          <w:tcPr>
            <w:tcW w:w="1583" w:type="pct"/>
            <w:vAlign w:val="center"/>
          </w:tcPr>
          <w:p w14:paraId="62C3ED1C">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70" w:firstLineChars="200"/>
              <w:jc w:val="center"/>
              <w:textAlignment w:val="baseline"/>
              <w:rPr>
                <w:rFonts w:hint="eastAsia" w:ascii="宋体" w:hAnsi="宋体" w:eastAsia="宋体" w:cs="宋体"/>
                <w:sz w:val="24"/>
                <w:szCs w:val="24"/>
              </w:rPr>
            </w:pPr>
            <w:r>
              <w:rPr>
                <w:rFonts w:hint="eastAsia" w:ascii="宋体" w:hAnsi="宋体" w:eastAsia="宋体" w:cs="宋体"/>
                <w:b/>
                <w:bCs/>
                <w:spacing w:val="-3"/>
                <w:sz w:val="24"/>
                <w:szCs w:val="24"/>
              </w:rPr>
              <w:t>80</w:t>
            </w:r>
            <w:r>
              <w:rPr>
                <w:rFonts w:hint="eastAsia" w:ascii="宋体" w:hAnsi="宋体" w:eastAsia="宋体" w:cs="宋体"/>
                <w:spacing w:val="-3"/>
                <w:sz w:val="24"/>
                <w:szCs w:val="24"/>
              </w:rPr>
              <w:t>～</w:t>
            </w:r>
            <w:r>
              <w:rPr>
                <w:rFonts w:hint="eastAsia" w:ascii="宋体" w:hAnsi="宋体" w:eastAsia="宋体" w:cs="宋体"/>
                <w:b/>
                <w:bCs/>
                <w:spacing w:val="-3"/>
                <w:sz w:val="24"/>
                <w:szCs w:val="24"/>
              </w:rPr>
              <w:t>150</w:t>
            </w:r>
          </w:p>
        </w:tc>
        <w:tc>
          <w:tcPr>
            <w:tcW w:w="2028" w:type="pct"/>
            <w:vAlign w:val="center"/>
          </w:tcPr>
          <w:p w14:paraId="4199ED88">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66" w:firstLineChars="200"/>
              <w:jc w:val="center"/>
              <w:textAlignment w:val="baseline"/>
              <w:rPr>
                <w:rFonts w:hint="eastAsia" w:ascii="宋体" w:hAnsi="宋体" w:eastAsia="宋体" w:cs="宋体"/>
                <w:sz w:val="24"/>
                <w:szCs w:val="24"/>
              </w:rPr>
            </w:pPr>
            <w:r>
              <w:rPr>
                <w:rFonts w:hint="eastAsia" w:ascii="宋体" w:hAnsi="宋体" w:eastAsia="宋体" w:cs="宋体"/>
                <w:b/>
                <w:bCs/>
                <w:spacing w:val="-4"/>
                <w:sz w:val="24"/>
                <w:szCs w:val="24"/>
              </w:rPr>
              <w:t>91</w:t>
            </w:r>
          </w:p>
        </w:tc>
      </w:tr>
      <w:tr w14:paraId="5B35B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1" w:hRule="atLeast"/>
        </w:trPr>
        <w:tc>
          <w:tcPr>
            <w:tcW w:w="1387" w:type="pct"/>
            <w:vMerge w:val="continue"/>
            <w:vAlign w:val="center"/>
          </w:tcPr>
          <w:p w14:paraId="1D9D3AD6">
            <w:pPr>
              <w:pStyle w:val="8"/>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center"/>
              <w:textAlignment w:val="baseline"/>
              <w:rPr>
                <w:rFonts w:hint="eastAsia" w:ascii="宋体" w:hAnsi="宋体" w:eastAsia="宋体" w:cs="宋体"/>
                <w:sz w:val="24"/>
                <w:szCs w:val="24"/>
              </w:rPr>
            </w:pPr>
          </w:p>
        </w:tc>
        <w:tc>
          <w:tcPr>
            <w:tcW w:w="1583" w:type="pct"/>
            <w:vAlign w:val="center"/>
          </w:tcPr>
          <w:p w14:paraId="467085D1">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62" w:firstLineChars="200"/>
              <w:jc w:val="center"/>
              <w:textAlignment w:val="baseline"/>
              <w:rPr>
                <w:rFonts w:hint="eastAsia" w:ascii="宋体" w:hAnsi="宋体" w:eastAsia="宋体" w:cs="宋体"/>
                <w:sz w:val="24"/>
                <w:szCs w:val="24"/>
              </w:rPr>
            </w:pPr>
            <w:r>
              <w:rPr>
                <w:rFonts w:hint="eastAsia" w:ascii="宋体" w:hAnsi="宋体" w:eastAsia="宋体" w:cs="宋体"/>
                <w:b/>
                <w:bCs/>
                <w:spacing w:val="-5"/>
                <w:sz w:val="24"/>
                <w:szCs w:val="24"/>
                <w:lang w:val="en-US" w:eastAsia="zh-CN"/>
              </w:rPr>
              <w:t>＞</w:t>
            </w:r>
            <w:r>
              <w:rPr>
                <w:rFonts w:hint="eastAsia" w:ascii="宋体" w:hAnsi="宋体" w:eastAsia="宋体" w:cs="宋体"/>
                <w:b/>
                <w:bCs/>
                <w:spacing w:val="-5"/>
                <w:sz w:val="24"/>
                <w:szCs w:val="24"/>
              </w:rPr>
              <w:t>150</w:t>
            </w:r>
          </w:p>
        </w:tc>
        <w:tc>
          <w:tcPr>
            <w:tcW w:w="2028" w:type="pct"/>
            <w:vAlign w:val="center"/>
          </w:tcPr>
          <w:p w14:paraId="7ADB2B3C">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58" w:firstLineChars="200"/>
              <w:jc w:val="center"/>
              <w:textAlignment w:val="baseline"/>
              <w:rPr>
                <w:rFonts w:hint="eastAsia" w:ascii="宋体" w:hAnsi="宋体" w:eastAsia="宋体" w:cs="宋体"/>
                <w:sz w:val="24"/>
                <w:szCs w:val="24"/>
              </w:rPr>
            </w:pPr>
            <w:r>
              <w:rPr>
                <w:rFonts w:hint="eastAsia" w:ascii="宋体" w:hAnsi="宋体" w:eastAsia="宋体" w:cs="宋体"/>
                <w:b/>
                <w:bCs/>
                <w:spacing w:val="-6"/>
                <w:sz w:val="24"/>
                <w:szCs w:val="24"/>
              </w:rPr>
              <w:t>90</w:t>
            </w:r>
          </w:p>
        </w:tc>
      </w:tr>
      <w:tr w14:paraId="0DABD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2" w:hRule="atLeast"/>
        </w:trPr>
        <w:tc>
          <w:tcPr>
            <w:tcW w:w="1387" w:type="pct"/>
            <w:vMerge w:val="restart"/>
            <w:vAlign w:val="center"/>
          </w:tcPr>
          <w:p w14:paraId="176E3672">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72" w:firstLineChars="200"/>
              <w:jc w:val="center"/>
              <w:textAlignment w:val="baseline"/>
              <w:rPr>
                <w:rFonts w:hint="eastAsia" w:ascii="宋体" w:hAnsi="宋体" w:eastAsia="宋体" w:cs="宋体"/>
                <w:sz w:val="24"/>
                <w:szCs w:val="24"/>
              </w:rPr>
            </w:pPr>
            <w:r>
              <w:rPr>
                <w:rFonts w:hint="eastAsia" w:ascii="宋体" w:hAnsi="宋体" w:eastAsia="宋体" w:cs="宋体"/>
                <w:spacing w:val="-2"/>
                <w:sz w:val="24"/>
                <w:szCs w:val="24"/>
              </w:rPr>
              <w:t>零填及挖方路</w:t>
            </w:r>
            <w:r>
              <w:rPr>
                <w:rFonts w:hint="eastAsia" w:ascii="宋体" w:hAnsi="宋体" w:eastAsia="宋体" w:cs="宋体"/>
                <w:sz w:val="24"/>
                <w:szCs w:val="24"/>
              </w:rPr>
              <w:t>基</w:t>
            </w:r>
          </w:p>
        </w:tc>
        <w:tc>
          <w:tcPr>
            <w:tcW w:w="1583" w:type="pct"/>
            <w:vAlign w:val="center"/>
          </w:tcPr>
          <w:p w14:paraId="192D3049">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70" w:firstLineChars="200"/>
              <w:jc w:val="center"/>
              <w:textAlignment w:val="baseline"/>
              <w:rPr>
                <w:rFonts w:hint="eastAsia" w:ascii="宋体" w:hAnsi="宋体" w:eastAsia="宋体" w:cs="宋体"/>
                <w:sz w:val="24"/>
                <w:szCs w:val="24"/>
              </w:rPr>
            </w:pPr>
            <w:r>
              <w:rPr>
                <w:rFonts w:hint="eastAsia" w:ascii="宋体" w:hAnsi="宋体" w:eastAsia="宋体" w:cs="宋体"/>
                <w:b/>
                <w:bCs/>
                <w:spacing w:val="-3"/>
                <w:sz w:val="24"/>
                <w:szCs w:val="24"/>
              </w:rPr>
              <w:t>0</w:t>
            </w:r>
            <w:r>
              <w:rPr>
                <w:rFonts w:hint="eastAsia" w:ascii="宋体" w:hAnsi="宋体" w:eastAsia="宋体" w:cs="宋体"/>
                <w:spacing w:val="-3"/>
                <w:sz w:val="24"/>
                <w:szCs w:val="24"/>
              </w:rPr>
              <w:t>～</w:t>
            </w:r>
            <w:r>
              <w:rPr>
                <w:rFonts w:hint="eastAsia" w:ascii="宋体" w:hAnsi="宋体" w:eastAsia="宋体" w:cs="宋体"/>
                <w:b/>
                <w:bCs/>
                <w:spacing w:val="-3"/>
                <w:sz w:val="24"/>
                <w:szCs w:val="24"/>
              </w:rPr>
              <w:t>30</w:t>
            </w:r>
          </w:p>
        </w:tc>
        <w:tc>
          <w:tcPr>
            <w:tcW w:w="2028" w:type="pct"/>
            <w:vAlign w:val="center"/>
          </w:tcPr>
          <w:p w14:paraId="2BC68640">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58" w:firstLineChars="200"/>
              <w:jc w:val="center"/>
              <w:textAlignment w:val="baseline"/>
              <w:rPr>
                <w:rFonts w:hint="eastAsia" w:ascii="宋体" w:hAnsi="宋体" w:eastAsia="宋体" w:cs="宋体"/>
                <w:sz w:val="24"/>
                <w:szCs w:val="24"/>
              </w:rPr>
            </w:pPr>
            <w:r>
              <w:rPr>
                <w:rFonts w:hint="eastAsia" w:ascii="宋体" w:hAnsi="宋体" w:eastAsia="宋体" w:cs="宋体"/>
                <w:b/>
                <w:bCs/>
                <w:spacing w:val="-6"/>
                <w:sz w:val="24"/>
                <w:szCs w:val="24"/>
              </w:rPr>
              <w:t>92</w:t>
            </w:r>
          </w:p>
        </w:tc>
      </w:tr>
      <w:tr w14:paraId="1EED0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06" w:hRule="atLeast"/>
        </w:trPr>
        <w:tc>
          <w:tcPr>
            <w:tcW w:w="1387" w:type="pct"/>
            <w:vMerge w:val="continue"/>
            <w:vAlign w:val="center"/>
          </w:tcPr>
          <w:p w14:paraId="70277BC8">
            <w:pPr>
              <w:pStyle w:val="8"/>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center"/>
              <w:textAlignment w:val="baseline"/>
              <w:rPr>
                <w:rFonts w:hint="eastAsia" w:ascii="宋体" w:hAnsi="宋体" w:eastAsia="宋体" w:cs="宋体"/>
                <w:sz w:val="24"/>
                <w:szCs w:val="24"/>
              </w:rPr>
            </w:pPr>
          </w:p>
        </w:tc>
        <w:tc>
          <w:tcPr>
            <w:tcW w:w="1583" w:type="pct"/>
            <w:vAlign w:val="center"/>
          </w:tcPr>
          <w:p w14:paraId="0E998207">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66" w:firstLineChars="200"/>
              <w:jc w:val="center"/>
              <w:textAlignment w:val="baseline"/>
              <w:rPr>
                <w:rFonts w:hint="eastAsia" w:ascii="宋体" w:hAnsi="宋体" w:eastAsia="宋体" w:cs="宋体"/>
                <w:sz w:val="24"/>
                <w:szCs w:val="24"/>
              </w:rPr>
            </w:pPr>
            <w:r>
              <w:rPr>
                <w:rFonts w:hint="eastAsia" w:ascii="宋体" w:hAnsi="宋体" w:eastAsia="宋体" w:cs="宋体"/>
                <w:b/>
                <w:bCs/>
                <w:spacing w:val="-4"/>
                <w:sz w:val="24"/>
                <w:szCs w:val="24"/>
              </w:rPr>
              <w:t>30</w:t>
            </w:r>
            <w:r>
              <w:rPr>
                <w:rFonts w:hint="eastAsia" w:ascii="宋体" w:hAnsi="宋体" w:eastAsia="宋体" w:cs="宋体"/>
                <w:spacing w:val="-4"/>
                <w:sz w:val="24"/>
                <w:szCs w:val="24"/>
              </w:rPr>
              <w:t>～</w:t>
            </w:r>
            <w:r>
              <w:rPr>
                <w:rFonts w:hint="eastAsia" w:ascii="宋体" w:hAnsi="宋体" w:eastAsia="宋体" w:cs="宋体"/>
                <w:b/>
                <w:bCs/>
                <w:spacing w:val="-4"/>
                <w:sz w:val="24"/>
                <w:szCs w:val="24"/>
              </w:rPr>
              <w:t>80</w:t>
            </w:r>
          </w:p>
        </w:tc>
        <w:tc>
          <w:tcPr>
            <w:tcW w:w="2028" w:type="pct"/>
            <w:vAlign w:val="center"/>
          </w:tcPr>
          <w:p w14:paraId="2FDEEE91">
            <w:pPr>
              <w:pStyle w:val="8"/>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center"/>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p>
        </w:tc>
      </w:tr>
    </w:tbl>
    <w:p w14:paraId="42F90321">
      <w:pPr>
        <w:keepNext w:val="0"/>
        <w:keepLines w:val="0"/>
        <w:pageBreakBefore w:val="0"/>
        <w:widowControl/>
        <w:kinsoku/>
        <w:wordWrap/>
        <w:overflowPunct/>
        <w:topLinePunct w:val="0"/>
        <w:autoSpaceDE w:val="0"/>
        <w:autoSpaceDN w:val="0"/>
        <w:bidi w:val="0"/>
        <w:adjustRightInd w:val="0"/>
        <w:snapToGrid w:val="0"/>
        <w:spacing w:line="500" w:lineRule="exact"/>
        <w:ind w:right="0" w:firstLine="482" w:firstLineChars="200"/>
        <w:jc w:val="both"/>
        <w:textAlignment w:val="baseline"/>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7.3.2水泥混凝土材料要求</w:t>
      </w:r>
    </w:p>
    <w:p w14:paraId="39C7ECBA">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4" w:firstLineChars="200"/>
        <w:jc w:val="both"/>
        <w:textAlignment w:val="baseline"/>
        <w:rPr>
          <w:rFonts w:hint="eastAsia" w:ascii="宋体" w:hAnsi="宋体" w:eastAsia="宋体" w:cs="宋体"/>
          <w:spacing w:val="-3"/>
          <w:sz w:val="24"/>
          <w:szCs w:val="24"/>
        </w:rPr>
      </w:pPr>
      <w:r>
        <w:rPr>
          <w:rFonts w:hint="eastAsia" w:ascii="宋体" w:hAnsi="宋体" w:eastAsia="宋体" w:cs="宋体"/>
          <w:spacing w:val="1"/>
          <w:sz w:val="24"/>
          <w:szCs w:val="24"/>
        </w:rPr>
        <w:t>1）</w:t>
      </w:r>
      <w:r>
        <w:rPr>
          <w:rFonts w:hint="eastAsia" w:ascii="宋体" w:hAnsi="宋体" w:eastAsia="宋体" w:cs="宋体"/>
          <w:spacing w:val="-2"/>
          <w:sz w:val="24"/>
          <w:szCs w:val="24"/>
        </w:rPr>
        <w:t>建议采用初凝时间大于</w:t>
      </w:r>
      <w:r>
        <w:rPr>
          <w:rFonts w:hint="eastAsia" w:ascii="宋体" w:hAnsi="宋体" w:eastAsia="宋体" w:cs="宋体"/>
          <w:spacing w:val="-46"/>
          <w:sz w:val="24"/>
          <w:szCs w:val="24"/>
        </w:rPr>
        <w:t xml:space="preserve"> </w:t>
      </w:r>
      <w:r>
        <w:rPr>
          <w:rFonts w:hint="eastAsia" w:ascii="宋体" w:hAnsi="宋体" w:eastAsia="宋体" w:cs="宋体"/>
          <w:b/>
          <w:bCs/>
          <w:spacing w:val="-2"/>
          <w:sz w:val="24"/>
          <w:szCs w:val="24"/>
        </w:rPr>
        <w:t>3h</w:t>
      </w:r>
      <w:r>
        <w:rPr>
          <w:rFonts w:hint="eastAsia" w:ascii="宋体" w:hAnsi="宋体" w:eastAsia="宋体" w:cs="宋体"/>
          <w:spacing w:val="-2"/>
          <w:sz w:val="24"/>
          <w:szCs w:val="24"/>
        </w:rPr>
        <w:t>，终凝时间不小</w:t>
      </w:r>
      <w:r>
        <w:rPr>
          <w:rFonts w:hint="eastAsia" w:ascii="宋体" w:hAnsi="宋体" w:eastAsia="宋体" w:cs="宋体"/>
          <w:spacing w:val="-3"/>
          <w:sz w:val="24"/>
          <w:szCs w:val="24"/>
        </w:rPr>
        <w:t>于</w:t>
      </w:r>
      <w:r>
        <w:rPr>
          <w:rFonts w:hint="eastAsia" w:ascii="宋体" w:hAnsi="宋体" w:eastAsia="宋体" w:cs="宋体"/>
          <w:b/>
          <w:bCs/>
          <w:spacing w:val="-3"/>
          <w:sz w:val="24"/>
          <w:szCs w:val="24"/>
        </w:rPr>
        <w:t>6h</w:t>
      </w:r>
      <w:r>
        <w:rPr>
          <w:rFonts w:hint="eastAsia" w:ascii="宋体" w:hAnsi="宋体" w:eastAsia="宋体" w:cs="宋体"/>
          <w:spacing w:val="-31"/>
          <w:sz w:val="24"/>
          <w:szCs w:val="24"/>
        </w:rPr>
        <w:t xml:space="preserve"> </w:t>
      </w:r>
      <w:r>
        <w:rPr>
          <w:rFonts w:hint="eastAsia" w:ascii="宋体" w:hAnsi="宋体" w:eastAsia="宋体" w:cs="宋体"/>
          <w:spacing w:val="-3"/>
          <w:sz w:val="24"/>
          <w:szCs w:val="24"/>
        </w:rPr>
        <w:t>的</w:t>
      </w:r>
      <w:r>
        <w:rPr>
          <w:rFonts w:hint="eastAsia" w:ascii="宋体" w:hAnsi="宋体" w:eastAsia="宋体" w:cs="宋体"/>
          <w:spacing w:val="-46"/>
          <w:sz w:val="24"/>
          <w:szCs w:val="24"/>
        </w:rPr>
        <w:t xml:space="preserve"> </w:t>
      </w:r>
      <w:r>
        <w:rPr>
          <w:rFonts w:hint="eastAsia" w:ascii="宋体" w:hAnsi="宋体" w:eastAsia="宋体" w:cs="宋体"/>
          <w:b/>
          <w:bCs/>
          <w:spacing w:val="-3"/>
          <w:sz w:val="24"/>
          <w:szCs w:val="24"/>
        </w:rPr>
        <w:t>32.5</w:t>
      </w:r>
      <w:r>
        <w:rPr>
          <w:rFonts w:hint="eastAsia" w:ascii="宋体" w:hAnsi="宋体" w:eastAsia="宋体" w:cs="宋体"/>
          <w:spacing w:val="-47"/>
          <w:sz w:val="24"/>
          <w:szCs w:val="24"/>
        </w:rPr>
        <w:t xml:space="preserve"> </w:t>
      </w:r>
      <w:r>
        <w:rPr>
          <w:rFonts w:hint="eastAsia" w:ascii="宋体" w:hAnsi="宋体" w:eastAsia="宋体" w:cs="宋体"/>
          <w:spacing w:val="-3"/>
          <w:sz w:val="24"/>
          <w:szCs w:val="24"/>
        </w:rPr>
        <w:t>级、</w:t>
      </w:r>
      <w:r>
        <w:rPr>
          <w:rFonts w:hint="eastAsia" w:ascii="宋体" w:hAnsi="宋体" w:eastAsia="宋体" w:cs="宋体"/>
          <w:b/>
          <w:bCs/>
          <w:spacing w:val="-3"/>
          <w:sz w:val="24"/>
          <w:szCs w:val="24"/>
        </w:rPr>
        <w:t>42.5</w:t>
      </w:r>
      <w:r>
        <w:rPr>
          <w:rFonts w:hint="eastAsia" w:ascii="宋体" w:hAnsi="宋体" w:eastAsia="宋体" w:cs="宋体"/>
          <w:spacing w:val="-46"/>
          <w:sz w:val="24"/>
          <w:szCs w:val="24"/>
        </w:rPr>
        <w:t xml:space="preserve"> </w:t>
      </w:r>
      <w:r>
        <w:rPr>
          <w:rFonts w:hint="eastAsia" w:ascii="宋体" w:hAnsi="宋体" w:eastAsia="宋体" w:cs="宋体"/>
          <w:spacing w:val="-3"/>
          <w:sz w:val="24"/>
          <w:szCs w:val="24"/>
        </w:rPr>
        <w:t>级普通硅酸盐水泥适配。</w:t>
      </w:r>
    </w:p>
    <w:p w14:paraId="0AC9048C">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4" w:firstLineChars="200"/>
        <w:jc w:val="both"/>
        <w:textAlignment w:val="baseline"/>
        <w:rPr>
          <w:rFonts w:hint="eastAsia" w:ascii="宋体" w:hAnsi="宋体" w:eastAsia="宋体" w:cs="宋体"/>
          <w:b/>
          <w:bCs/>
          <w:color w:val="auto"/>
          <w:sz w:val="24"/>
          <w:szCs w:val="24"/>
          <w:lang w:val="en-US" w:eastAsia="zh-CN"/>
        </w:rPr>
      </w:pPr>
      <w:r>
        <w:rPr>
          <w:rFonts w:hint="eastAsia" w:ascii="宋体" w:hAnsi="宋体" w:eastAsia="宋体" w:cs="宋体"/>
          <w:spacing w:val="1"/>
          <w:sz w:val="24"/>
          <w:szCs w:val="24"/>
          <w:lang w:val="en-US" w:eastAsia="zh-CN"/>
        </w:rPr>
        <w:t>2</w:t>
      </w:r>
      <w:r>
        <w:rPr>
          <w:rFonts w:hint="eastAsia" w:ascii="宋体" w:hAnsi="宋体" w:eastAsia="宋体" w:cs="宋体"/>
          <w:spacing w:val="1"/>
          <w:sz w:val="24"/>
          <w:szCs w:val="24"/>
        </w:rPr>
        <w:t>）</w:t>
      </w:r>
      <w:r>
        <w:rPr>
          <w:rFonts w:hint="eastAsia" w:ascii="宋体" w:hAnsi="宋体" w:eastAsia="宋体" w:cs="宋体"/>
          <w:spacing w:val="-3"/>
          <w:sz w:val="24"/>
          <w:szCs w:val="24"/>
        </w:rPr>
        <w:t>集料中有机质含量不应超过</w:t>
      </w:r>
      <w:r>
        <w:rPr>
          <w:rFonts w:hint="eastAsia" w:ascii="宋体" w:hAnsi="宋体" w:eastAsia="宋体" w:cs="宋体"/>
          <w:spacing w:val="-48"/>
          <w:sz w:val="24"/>
          <w:szCs w:val="24"/>
        </w:rPr>
        <w:t xml:space="preserve"> </w:t>
      </w:r>
      <w:r>
        <w:rPr>
          <w:rFonts w:hint="eastAsia" w:ascii="宋体" w:hAnsi="宋体" w:eastAsia="宋体" w:cs="宋体"/>
          <w:b/>
          <w:bCs/>
          <w:spacing w:val="-3"/>
          <w:sz w:val="24"/>
          <w:szCs w:val="24"/>
        </w:rPr>
        <w:t>2%</w:t>
      </w:r>
      <w:r>
        <w:rPr>
          <w:rFonts w:hint="eastAsia" w:ascii="宋体" w:hAnsi="宋体" w:eastAsia="宋体" w:cs="宋体"/>
          <w:spacing w:val="-3"/>
          <w:sz w:val="24"/>
          <w:szCs w:val="24"/>
        </w:rPr>
        <w:t>。</w:t>
      </w:r>
    </w:p>
    <w:p w14:paraId="22378142">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4" w:firstLineChars="200"/>
        <w:textAlignment w:val="baseline"/>
        <w:rPr>
          <w:rFonts w:hint="eastAsia" w:ascii="宋体" w:hAnsi="宋体" w:eastAsia="宋体" w:cs="宋体"/>
          <w:spacing w:val="1"/>
          <w:sz w:val="24"/>
          <w:szCs w:val="24"/>
        </w:rPr>
      </w:pPr>
      <w:r>
        <w:rPr>
          <w:rFonts w:hint="eastAsia" w:ascii="宋体" w:hAnsi="宋体" w:eastAsia="宋体" w:cs="宋体"/>
          <w:spacing w:val="1"/>
          <w:sz w:val="24"/>
          <w:szCs w:val="24"/>
          <w:lang w:val="en-US" w:eastAsia="zh-CN"/>
        </w:rPr>
        <w:t>3</w:t>
      </w:r>
      <w:r>
        <w:rPr>
          <w:rFonts w:hint="eastAsia" w:ascii="宋体" w:hAnsi="宋体" w:eastAsia="宋体" w:cs="宋体"/>
          <w:spacing w:val="1"/>
          <w:sz w:val="24"/>
          <w:szCs w:val="24"/>
        </w:rPr>
        <w:t>）集料中硫酸盐含量不应超过</w:t>
      </w:r>
      <w:r>
        <w:rPr>
          <w:rFonts w:hint="eastAsia" w:ascii="宋体" w:hAnsi="宋体" w:eastAsia="宋体" w:cs="宋体"/>
          <w:b/>
          <w:bCs/>
          <w:spacing w:val="1"/>
          <w:sz w:val="24"/>
          <w:szCs w:val="24"/>
        </w:rPr>
        <w:t>0.25%</w:t>
      </w:r>
      <w:r>
        <w:rPr>
          <w:rFonts w:hint="eastAsia" w:ascii="宋体" w:hAnsi="宋体" w:eastAsia="宋体" w:cs="宋体"/>
          <w:spacing w:val="1"/>
          <w:sz w:val="24"/>
          <w:szCs w:val="24"/>
        </w:rPr>
        <w:t>。</w:t>
      </w:r>
    </w:p>
    <w:p w14:paraId="790FFD5D">
      <w:pPr>
        <w:keepNext w:val="0"/>
        <w:keepLines w:val="0"/>
        <w:pageBreakBefore w:val="0"/>
        <w:widowControl/>
        <w:kinsoku/>
        <w:wordWrap/>
        <w:overflowPunct/>
        <w:topLinePunct w:val="0"/>
        <w:autoSpaceDE w:val="0"/>
        <w:autoSpaceDN w:val="0"/>
        <w:bidi w:val="0"/>
        <w:adjustRightInd w:val="0"/>
        <w:snapToGrid w:val="0"/>
        <w:spacing w:line="500" w:lineRule="atLeast"/>
        <w:ind w:left="0" w:right="0" w:firstLine="484" w:firstLineChars="200"/>
        <w:textAlignment w:val="baseline"/>
        <w:rPr>
          <w:rFonts w:hint="eastAsia" w:ascii="宋体" w:hAnsi="宋体" w:eastAsia="宋体" w:cs="宋体"/>
          <w:spacing w:val="1"/>
          <w:sz w:val="24"/>
          <w:szCs w:val="24"/>
          <w:lang w:eastAsia="zh-CN"/>
        </w:rPr>
      </w:pPr>
      <w:r>
        <w:rPr>
          <w:rFonts w:hint="eastAsia" w:ascii="宋体" w:hAnsi="宋体" w:eastAsia="宋体" w:cs="宋体"/>
          <w:spacing w:val="1"/>
          <w:sz w:val="24"/>
          <w:szCs w:val="24"/>
          <w:lang w:val="en-US" w:eastAsia="zh-CN"/>
        </w:rPr>
        <w:t>4</w:t>
      </w:r>
      <w:r>
        <w:rPr>
          <w:rFonts w:hint="eastAsia" w:ascii="宋体" w:hAnsi="宋体" w:eastAsia="宋体" w:cs="宋体"/>
          <w:spacing w:val="1"/>
          <w:sz w:val="24"/>
          <w:szCs w:val="24"/>
        </w:rPr>
        <w:t>）</w:t>
      </w:r>
      <w:r>
        <w:rPr>
          <w:rFonts w:hint="eastAsia" w:ascii="宋体" w:hAnsi="宋体" w:eastAsia="宋体" w:cs="宋体"/>
          <w:spacing w:val="-8"/>
          <w:sz w:val="24"/>
          <w:szCs w:val="24"/>
        </w:rPr>
        <w:t>级配碎石组成应符合《城镇道路工程施工与质量验收规范》（</w:t>
      </w:r>
      <w:r>
        <w:rPr>
          <w:rFonts w:hint="eastAsia" w:ascii="宋体" w:hAnsi="宋体" w:eastAsia="宋体" w:cs="宋体"/>
          <w:b/>
          <w:bCs/>
          <w:spacing w:val="-8"/>
          <w:sz w:val="24"/>
          <w:szCs w:val="24"/>
        </w:rPr>
        <w:t>CJJ1-2008</w:t>
      </w:r>
      <w:r>
        <w:rPr>
          <w:rFonts w:hint="eastAsia" w:ascii="宋体" w:hAnsi="宋体" w:eastAsia="宋体" w:cs="宋体"/>
          <w:spacing w:val="-8"/>
          <w:sz w:val="24"/>
          <w:szCs w:val="24"/>
        </w:rPr>
        <w:t>）表</w:t>
      </w:r>
      <w:r>
        <w:rPr>
          <w:rFonts w:hint="eastAsia" w:ascii="宋体" w:hAnsi="宋体" w:eastAsia="宋体" w:cs="宋体"/>
          <w:spacing w:val="-45"/>
          <w:sz w:val="24"/>
          <w:szCs w:val="24"/>
        </w:rPr>
        <w:t xml:space="preserve"> </w:t>
      </w:r>
      <w:r>
        <w:rPr>
          <w:rFonts w:hint="eastAsia" w:ascii="宋体" w:hAnsi="宋体" w:eastAsia="宋体" w:cs="宋体"/>
          <w:b/>
          <w:bCs/>
          <w:spacing w:val="-8"/>
          <w:sz w:val="24"/>
          <w:szCs w:val="24"/>
        </w:rPr>
        <w:t>7.5.2</w:t>
      </w:r>
      <w:r>
        <w:rPr>
          <w:rFonts w:hint="eastAsia" w:ascii="宋体" w:hAnsi="宋体" w:eastAsia="宋体" w:cs="宋体"/>
          <w:spacing w:val="-29"/>
          <w:sz w:val="24"/>
          <w:szCs w:val="24"/>
        </w:rPr>
        <w:t xml:space="preserve"> </w:t>
      </w:r>
      <w:r>
        <w:rPr>
          <w:rFonts w:hint="eastAsia" w:ascii="宋体" w:hAnsi="宋体" w:eastAsia="宋体" w:cs="宋体"/>
          <w:spacing w:val="-8"/>
          <w:sz w:val="24"/>
          <w:szCs w:val="24"/>
        </w:rPr>
        <w:t>中的规定</w:t>
      </w:r>
      <w:r>
        <w:rPr>
          <w:rFonts w:hint="eastAsia" w:ascii="宋体" w:hAnsi="宋体" w:eastAsia="宋体" w:cs="宋体"/>
          <w:spacing w:val="-8"/>
          <w:sz w:val="24"/>
          <w:szCs w:val="24"/>
          <w:lang w:eastAsia="zh-CN"/>
        </w:rPr>
        <w:t>。</w:t>
      </w:r>
    </w:p>
    <w:p w14:paraId="09BAA538">
      <w:pPr>
        <w:keepNext w:val="0"/>
        <w:keepLines w:val="0"/>
        <w:pageBreakBefore w:val="0"/>
        <w:widowControl/>
        <w:kinsoku/>
        <w:wordWrap/>
        <w:overflowPunct/>
        <w:topLinePunct w:val="0"/>
        <w:autoSpaceDE w:val="0"/>
        <w:autoSpaceDN w:val="0"/>
        <w:bidi w:val="0"/>
        <w:adjustRightInd w:val="0"/>
        <w:snapToGrid w:val="0"/>
        <w:spacing w:line="500" w:lineRule="atLeast"/>
        <w:ind w:right="0"/>
        <w:textAlignment w:val="baseline"/>
        <w:rPr>
          <w:rFonts w:hint="eastAsia" w:ascii="宋体" w:hAnsi="宋体" w:eastAsia="宋体" w:cs="宋体"/>
          <w:spacing w:val="-1"/>
          <w:sz w:val="24"/>
          <w:szCs w:val="24"/>
        </w:rPr>
      </w:pPr>
      <w:r>
        <w:rPr>
          <w:rFonts w:hint="eastAsia" w:ascii="宋体" w:hAnsi="宋体" w:eastAsia="宋体" w:cs="宋体"/>
          <w:b/>
          <w:bCs/>
          <w:spacing w:val="-5"/>
          <w:sz w:val="24"/>
          <w:szCs w:val="24"/>
          <w:lang w:val="en-US" w:eastAsia="zh-CN"/>
        </w:rPr>
        <w:t>7</w:t>
      </w:r>
      <w:r>
        <w:rPr>
          <w:rFonts w:hint="eastAsia" w:ascii="宋体" w:hAnsi="宋体" w:eastAsia="宋体" w:cs="宋体"/>
          <w:b/>
          <w:bCs/>
          <w:spacing w:val="-5"/>
          <w:sz w:val="24"/>
          <w:szCs w:val="24"/>
        </w:rPr>
        <w:t>.4</w:t>
      </w:r>
      <w:r>
        <w:rPr>
          <w:rFonts w:hint="eastAsia" w:ascii="宋体" w:hAnsi="宋体" w:eastAsia="宋体" w:cs="宋体"/>
          <w:spacing w:val="-44"/>
          <w:sz w:val="24"/>
          <w:szCs w:val="24"/>
        </w:rPr>
        <w:t xml:space="preserve"> </w:t>
      </w:r>
      <w:r>
        <w:rPr>
          <w:rFonts w:hint="eastAsia" w:ascii="宋体" w:hAnsi="宋体" w:eastAsia="宋体" w:cs="宋体"/>
          <w:b/>
          <w:bCs/>
          <w:spacing w:val="-5"/>
          <w:sz w:val="24"/>
          <w:szCs w:val="24"/>
        </w:rPr>
        <w:t>行人道路横穿</w:t>
      </w:r>
      <w:r>
        <w:rPr>
          <w:rFonts w:hint="eastAsia" w:ascii="宋体" w:hAnsi="宋体" w:eastAsia="宋体" w:cs="宋体"/>
          <w:b/>
          <w:bCs/>
          <w:spacing w:val="-5"/>
          <w:sz w:val="24"/>
          <w:szCs w:val="24"/>
          <w:lang w:eastAsia="zh-CN"/>
        </w:rPr>
        <w:t>：</w:t>
      </w:r>
      <w:r>
        <w:rPr>
          <w:rFonts w:hint="eastAsia" w:ascii="宋体" w:hAnsi="宋体" w:eastAsia="宋体" w:cs="宋体"/>
          <w:spacing w:val="-2"/>
          <w:sz w:val="24"/>
          <w:szCs w:val="24"/>
        </w:rPr>
        <w:t>为保证行人道路横穿的安全，道路均为平交形式。行人道路横穿利用交叉口人行横道线，几个学生通行主要路口，在上下课高峰期部分时间采用机动车限行，确保学生横穿道路的安全，同时也</w:t>
      </w:r>
      <w:r>
        <w:rPr>
          <w:rFonts w:hint="eastAsia" w:ascii="宋体" w:hAnsi="宋体" w:eastAsia="宋体" w:cs="宋体"/>
          <w:spacing w:val="-1"/>
          <w:sz w:val="24"/>
          <w:szCs w:val="24"/>
        </w:rPr>
        <w:t>提高道路总体通行能力。</w:t>
      </w:r>
    </w:p>
    <w:p w14:paraId="4C0CB35F">
      <w:pPr>
        <w:keepNext w:val="0"/>
        <w:keepLines w:val="0"/>
        <w:pageBreakBefore w:val="0"/>
        <w:widowControl/>
        <w:wordWrap/>
        <w:overflowPunct/>
        <w:topLinePunct w:val="0"/>
        <w:autoSpaceDE w:val="0"/>
        <w:autoSpaceDN w:val="0"/>
        <w:bidi w:val="0"/>
        <w:adjustRightInd w:val="0"/>
        <w:snapToGrid w:val="0"/>
        <w:spacing w:line="500" w:lineRule="atLeast"/>
        <w:jc w:val="both"/>
        <w:textAlignment w:val="baseline"/>
        <w:rPr>
          <w:rFonts w:hint="eastAsia" w:asciiTheme="minorEastAsia" w:hAnsiTheme="minorEastAsia" w:eastAsiaTheme="minorEastAsia"/>
          <w:b/>
          <w:bCs/>
          <w:color w:val="auto"/>
          <w:sz w:val="24"/>
          <w:szCs w:val="24"/>
          <w:lang w:val="en-US" w:eastAsia="zh-CN"/>
        </w:rPr>
      </w:pPr>
      <w:r>
        <w:rPr>
          <w:rFonts w:hint="eastAsia" w:asciiTheme="minorEastAsia" w:hAnsiTheme="minorEastAsia" w:eastAsiaTheme="minorEastAsia"/>
          <w:b/>
          <w:bCs/>
          <w:color w:val="auto"/>
          <w:sz w:val="24"/>
          <w:szCs w:val="24"/>
          <w:lang w:val="en-US" w:eastAsia="zh-CN"/>
        </w:rPr>
        <w:t>8.人行道面砖及花岗岩路缘石技术参数要求</w:t>
      </w:r>
    </w:p>
    <w:p w14:paraId="411E37A2">
      <w:pPr>
        <w:keepNext w:val="0"/>
        <w:keepLines w:val="0"/>
        <w:pageBreakBefore w:val="0"/>
        <w:widowControl/>
        <w:kinsoku w:val="0"/>
        <w:wordWrap/>
        <w:overflowPunct/>
        <w:topLinePunct w:val="0"/>
        <w:autoSpaceDE w:val="0"/>
        <w:autoSpaceDN w:val="0"/>
        <w:bidi w:val="0"/>
        <w:adjustRightInd w:val="0"/>
        <w:snapToGrid w:val="0"/>
        <w:spacing w:line="500" w:lineRule="atLeast"/>
        <w:ind w:firstLine="482" w:firstLineChars="200"/>
        <w:jc w:val="both"/>
        <w:textAlignment w:val="baseline"/>
        <w:rPr>
          <w:rFonts w:hint="eastAsia" w:asciiTheme="minorEastAsia" w:hAnsiTheme="minorEastAsia" w:eastAsiaTheme="minorEastAsia"/>
          <w:b w:val="0"/>
          <w:bCs w:val="0"/>
          <w:color w:val="auto"/>
          <w:sz w:val="24"/>
          <w:szCs w:val="24"/>
          <w:lang w:val="en-US" w:eastAsia="zh-CN"/>
        </w:rPr>
      </w:pPr>
      <w:r>
        <w:rPr>
          <w:rFonts w:hint="eastAsia" w:asciiTheme="minorEastAsia" w:hAnsiTheme="minorEastAsia" w:eastAsiaTheme="minorEastAsia"/>
          <w:b/>
          <w:bCs/>
          <w:color w:val="auto"/>
          <w:sz w:val="24"/>
          <w:szCs w:val="24"/>
          <w:lang w:val="en-US" w:eastAsia="zh-CN"/>
        </w:rPr>
        <w:t>8.1</w:t>
      </w:r>
      <w:r>
        <w:rPr>
          <w:rFonts w:hint="eastAsia" w:asciiTheme="minorEastAsia" w:hAnsiTheme="minorEastAsia" w:eastAsiaTheme="minorEastAsia"/>
          <w:b w:val="0"/>
          <w:bCs w:val="0"/>
          <w:color w:val="auto"/>
          <w:sz w:val="24"/>
          <w:szCs w:val="24"/>
          <w:lang w:val="en-US" w:eastAsia="zh-CN"/>
        </w:rPr>
        <w:t>人行道吸水砖规格:240×240×60mm，外观要求表面平整、无裂纹、无缺角、无掉边、色泽均匀、无明显杂质，人行道吸水砖的须符合GB/T25993-2023《透水路面砖和透水路面板》相关规范要求，未尽事宜按规范要求执行。</w:t>
      </w:r>
    </w:p>
    <w:p w14:paraId="5CACDA7A">
      <w:pPr>
        <w:keepNext w:val="0"/>
        <w:keepLines w:val="0"/>
        <w:pageBreakBefore w:val="0"/>
        <w:widowControl/>
        <w:kinsoku w:val="0"/>
        <w:wordWrap/>
        <w:overflowPunct/>
        <w:topLinePunct w:val="0"/>
        <w:autoSpaceDE w:val="0"/>
        <w:autoSpaceDN w:val="0"/>
        <w:bidi w:val="0"/>
        <w:adjustRightInd w:val="0"/>
        <w:snapToGrid w:val="0"/>
        <w:spacing w:line="500" w:lineRule="atLeast"/>
        <w:ind w:firstLine="482" w:firstLineChars="200"/>
        <w:jc w:val="both"/>
        <w:textAlignment w:val="baseline"/>
        <w:rPr>
          <w:rFonts w:hint="eastAsia" w:asciiTheme="minorEastAsia" w:hAnsiTheme="minorEastAsia" w:eastAsiaTheme="minorEastAsia"/>
          <w:b/>
          <w:bCs/>
          <w:color w:val="auto"/>
          <w:sz w:val="24"/>
          <w:szCs w:val="24"/>
          <w:lang w:val="en-US" w:eastAsia="zh-CN"/>
        </w:rPr>
      </w:pPr>
      <w:r>
        <w:rPr>
          <w:rFonts w:hint="eastAsia" w:asciiTheme="minorEastAsia" w:hAnsiTheme="minorEastAsia" w:eastAsiaTheme="minorEastAsia"/>
          <w:b/>
          <w:bCs/>
          <w:color w:val="auto"/>
          <w:sz w:val="24"/>
          <w:szCs w:val="24"/>
          <w:lang w:val="en-US" w:eastAsia="zh-CN"/>
        </w:rPr>
        <w:t>8.2供应商须提供人行道吸水砖和花岗岩路缘石的第三方检测机构出具的检测报告，检测报告需加盖检测机构公章及CMA资质章，检测报告内容须包含并满足以下指标：</w:t>
      </w:r>
    </w:p>
    <w:p w14:paraId="23CB66F8">
      <w:pPr>
        <w:keepNext w:val="0"/>
        <w:keepLines w:val="0"/>
        <w:pageBreakBefore w:val="0"/>
        <w:widowControl/>
        <w:kinsoku w:val="0"/>
        <w:wordWrap/>
        <w:overflowPunct/>
        <w:topLinePunct w:val="0"/>
        <w:autoSpaceDE w:val="0"/>
        <w:autoSpaceDN w:val="0"/>
        <w:bidi w:val="0"/>
        <w:adjustRightInd w:val="0"/>
        <w:snapToGrid w:val="0"/>
        <w:spacing w:line="500" w:lineRule="atLeast"/>
        <w:ind w:firstLine="482" w:firstLineChars="200"/>
        <w:jc w:val="both"/>
        <w:textAlignment w:val="baseline"/>
        <w:rPr>
          <w:rFonts w:hint="eastAsia" w:asciiTheme="minorEastAsia" w:hAnsiTheme="minorEastAsia" w:eastAsiaTheme="minorEastAsia"/>
          <w:b/>
          <w:bCs/>
          <w:color w:val="auto"/>
          <w:sz w:val="24"/>
          <w:szCs w:val="24"/>
          <w:lang w:val="en-US" w:eastAsia="zh-CN"/>
        </w:rPr>
      </w:pPr>
      <w:r>
        <w:rPr>
          <w:rFonts w:hint="eastAsia" w:asciiTheme="minorEastAsia" w:hAnsiTheme="minorEastAsia" w:eastAsiaTheme="minorEastAsia"/>
          <w:b/>
          <w:bCs/>
          <w:color w:val="auto"/>
          <w:sz w:val="24"/>
          <w:szCs w:val="24"/>
          <w:lang w:val="en-US" w:eastAsia="zh-CN"/>
        </w:rPr>
        <w:t>8.2.1人行道吸水砖检测项目须满足的指标：</w:t>
      </w:r>
    </w:p>
    <w:p w14:paraId="45B88894">
      <w:pPr>
        <w:keepNext w:val="0"/>
        <w:keepLines w:val="0"/>
        <w:pageBreakBefore w:val="0"/>
        <w:widowControl/>
        <w:kinsoku/>
        <w:wordWrap/>
        <w:overflowPunct/>
        <w:topLinePunct w:val="0"/>
        <w:autoSpaceDE w:val="0"/>
        <w:autoSpaceDN w:val="0"/>
        <w:bidi w:val="0"/>
        <w:adjustRightInd w:val="0"/>
        <w:snapToGrid w:val="0"/>
        <w:spacing w:line="500" w:lineRule="atLeast"/>
        <w:ind w:firstLine="480" w:firstLineChars="200"/>
        <w:jc w:val="both"/>
        <w:textAlignment w:val="baseline"/>
        <w:rPr>
          <w:rFonts w:hint="eastAsia" w:asciiTheme="minorEastAsia" w:hAnsiTheme="minorEastAsia" w:eastAsiaTheme="minorEastAsia"/>
          <w:b w:val="0"/>
          <w:bCs w:val="0"/>
          <w:color w:val="auto"/>
          <w:sz w:val="24"/>
          <w:szCs w:val="24"/>
          <w:lang w:val="en-US" w:eastAsia="zh-CN"/>
        </w:rPr>
      </w:pPr>
      <w:r>
        <w:rPr>
          <w:rFonts w:hint="eastAsia" w:asciiTheme="minorEastAsia" w:hAnsiTheme="minorEastAsia" w:eastAsiaTheme="minorEastAsia"/>
          <w:b w:val="0"/>
          <w:bCs w:val="0"/>
          <w:color w:val="auto"/>
          <w:sz w:val="24"/>
          <w:szCs w:val="24"/>
          <w:lang w:val="en-US" w:eastAsia="zh-CN"/>
        </w:rPr>
        <w:t>1）抗折强度等级为R</w:t>
      </w:r>
      <w:r>
        <w:rPr>
          <w:rFonts w:hint="eastAsia" w:asciiTheme="minorEastAsia" w:hAnsiTheme="minorEastAsia" w:eastAsiaTheme="minorEastAsia"/>
          <w:b w:val="0"/>
          <w:bCs w:val="0"/>
          <w:color w:val="auto"/>
          <w:sz w:val="24"/>
          <w:szCs w:val="24"/>
          <w:vertAlign w:val="subscript"/>
          <w:lang w:val="en-US" w:eastAsia="zh-CN"/>
        </w:rPr>
        <w:t>f</w:t>
      </w:r>
      <w:r>
        <w:rPr>
          <w:rFonts w:hint="eastAsia" w:asciiTheme="minorEastAsia" w:hAnsiTheme="minorEastAsia" w:eastAsiaTheme="minorEastAsia"/>
          <w:b w:val="0"/>
          <w:bCs w:val="0"/>
          <w:color w:val="auto"/>
          <w:sz w:val="24"/>
          <w:szCs w:val="24"/>
          <w:lang w:val="en-US" w:eastAsia="zh-CN"/>
        </w:rPr>
        <w:t>4.0，实测平均值≥4.OMPa，单块最小值≥3.2MPa；</w:t>
      </w:r>
    </w:p>
    <w:p w14:paraId="54D36C15">
      <w:pPr>
        <w:keepNext w:val="0"/>
        <w:keepLines w:val="0"/>
        <w:pageBreakBefore w:val="0"/>
        <w:widowControl/>
        <w:kinsoku/>
        <w:wordWrap/>
        <w:overflowPunct/>
        <w:topLinePunct w:val="0"/>
        <w:autoSpaceDE w:val="0"/>
        <w:autoSpaceDN w:val="0"/>
        <w:bidi w:val="0"/>
        <w:adjustRightInd w:val="0"/>
        <w:snapToGrid w:val="0"/>
        <w:spacing w:line="500" w:lineRule="atLeast"/>
        <w:ind w:firstLine="480" w:firstLineChars="200"/>
        <w:jc w:val="both"/>
        <w:textAlignment w:val="baseline"/>
        <w:rPr>
          <w:rFonts w:hint="eastAsia" w:asciiTheme="minorEastAsia" w:hAnsiTheme="minorEastAsia" w:eastAsiaTheme="minorEastAsia"/>
          <w:b w:val="0"/>
          <w:bCs w:val="0"/>
          <w:color w:val="auto"/>
          <w:sz w:val="24"/>
          <w:szCs w:val="24"/>
          <w:lang w:val="en-US" w:eastAsia="zh-CN"/>
        </w:rPr>
      </w:pPr>
      <w:r>
        <w:rPr>
          <w:rFonts w:hint="eastAsia" w:asciiTheme="minorEastAsia" w:hAnsiTheme="minorEastAsia" w:eastAsiaTheme="minorEastAsia"/>
          <w:b w:val="0"/>
          <w:bCs w:val="0"/>
          <w:color w:val="auto"/>
          <w:sz w:val="24"/>
          <w:szCs w:val="24"/>
          <w:lang w:val="en-US" w:eastAsia="zh-CN"/>
        </w:rPr>
        <w:t>2）劈裂抗拉强度：等级为f</w:t>
      </w:r>
      <w:r>
        <w:rPr>
          <w:rFonts w:hint="eastAsia" w:asciiTheme="minorEastAsia" w:hAnsiTheme="minorEastAsia" w:eastAsiaTheme="minorEastAsia"/>
          <w:b w:val="0"/>
          <w:bCs w:val="0"/>
          <w:color w:val="auto"/>
          <w:sz w:val="24"/>
          <w:szCs w:val="24"/>
          <w:vertAlign w:val="subscript"/>
          <w:lang w:val="en-US" w:eastAsia="zh-CN"/>
        </w:rPr>
        <w:t>ts</w:t>
      </w:r>
      <w:r>
        <w:rPr>
          <w:rFonts w:hint="eastAsia" w:asciiTheme="minorEastAsia" w:hAnsiTheme="minorEastAsia" w:eastAsiaTheme="minorEastAsia"/>
          <w:b w:val="0"/>
          <w:bCs w:val="0"/>
          <w:color w:val="auto"/>
          <w:sz w:val="24"/>
          <w:szCs w:val="24"/>
          <w:lang w:val="en-US" w:eastAsia="zh-CN"/>
        </w:rPr>
        <w:t>3.5，实测平均值≥3.5MPa，单块最小值≥2.8MPa；</w:t>
      </w:r>
    </w:p>
    <w:p w14:paraId="3A7D1B92">
      <w:pPr>
        <w:keepNext w:val="0"/>
        <w:keepLines w:val="0"/>
        <w:pageBreakBefore w:val="0"/>
        <w:widowControl/>
        <w:kinsoku/>
        <w:wordWrap/>
        <w:overflowPunct/>
        <w:topLinePunct w:val="0"/>
        <w:autoSpaceDE w:val="0"/>
        <w:autoSpaceDN w:val="0"/>
        <w:bidi w:val="0"/>
        <w:adjustRightInd w:val="0"/>
        <w:snapToGrid w:val="0"/>
        <w:spacing w:line="500" w:lineRule="atLeast"/>
        <w:ind w:firstLine="480" w:firstLineChars="200"/>
        <w:jc w:val="both"/>
        <w:textAlignment w:val="baseline"/>
        <w:rPr>
          <w:rFonts w:hint="eastAsia" w:asciiTheme="minorEastAsia" w:hAnsiTheme="minorEastAsia" w:eastAsiaTheme="minorEastAsia"/>
          <w:b w:val="0"/>
          <w:bCs w:val="0"/>
          <w:color w:val="auto"/>
          <w:sz w:val="24"/>
          <w:szCs w:val="24"/>
          <w:lang w:val="en-US" w:eastAsia="zh-CN"/>
        </w:rPr>
      </w:pPr>
      <w:r>
        <w:rPr>
          <w:rFonts w:hint="eastAsia" w:asciiTheme="minorEastAsia" w:hAnsiTheme="minorEastAsia" w:eastAsiaTheme="minorEastAsia"/>
          <w:b w:val="0"/>
          <w:bCs w:val="0"/>
          <w:color w:val="auto"/>
          <w:sz w:val="24"/>
          <w:szCs w:val="24"/>
          <w:lang w:val="en-US" w:eastAsia="zh-CN"/>
        </w:rPr>
        <w:t>3）透水性能：透水系数≥1.0×10</w:t>
      </w:r>
      <w:r>
        <w:rPr>
          <w:rFonts w:hint="eastAsia" w:asciiTheme="minorEastAsia" w:hAnsiTheme="minorEastAsia" w:eastAsiaTheme="minorEastAsia"/>
          <w:b w:val="0"/>
          <w:bCs w:val="0"/>
          <w:color w:val="auto"/>
          <w:sz w:val="24"/>
          <w:szCs w:val="24"/>
          <w:vertAlign w:val="superscript"/>
          <w:lang w:val="en-US" w:eastAsia="zh-CN"/>
        </w:rPr>
        <w:t>-2</w:t>
      </w:r>
      <w:r>
        <w:rPr>
          <w:rFonts w:hint="eastAsia" w:asciiTheme="minorEastAsia" w:hAnsiTheme="minorEastAsia" w:eastAsiaTheme="minorEastAsia"/>
          <w:b w:val="0"/>
          <w:bCs w:val="0"/>
          <w:color w:val="auto"/>
          <w:sz w:val="24"/>
          <w:szCs w:val="24"/>
          <w:lang w:val="en-US" w:eastAsia="zh-CN"/>
        </w:rPr>
        <w:t>cm/s(即0.1mm/s)；</w:t>
      </w:r>
    </w:p>
    <w:p w14:paraId="2F10E1E9">
      <w:pPr>
        <w:keepNext w:val="0"/>
        <w:keepLines w:val="0"/>
        <w:pageBreakBefore w:val="0"/>
        <w:widowControl/>
        <w:kinsoku/>
        <w:wordWrap/>
        <w:overflowPunct/>
        <w:topLinePunct w:val="0"/>
        <w:autoSpaceDE w:val="0"/>
        <w:autoSpaceDN w:val="0"/>
        <w:bidi w:val="0"/>
        <w:adjustRightInd w:val="0"/>
        <w:snapToGrid w:val="0"/>
        <w:spacing w:line="500" w:lineRule="atLeast"/>
        <w:ind w:firstLine="480" w:firstLineChars="200"/>
        <w:jc w:val="both"/>
        <w:textAlignment w:val="baseline"/>
        <w:rPr>
          <w:rFonts w:hint="eastAsia" w:asciiTheme="minorEastAsia" w:hAnsiTheme="minorEastAsia" w:eastAsiaTheme="minorEastAsia"/>
          <w:b w:val="0"/>
          <w:bCs w:val="0"/>
          <w:color w:val="auto"/>
          <w:sz w:val="24"/>
          <w:szCs w:val="24"/>
          <w:lang w:val="en-US" w:eastAsia="zh-CN"/>
        </w:rPr>
      </w:pPr>
      <w:r>
        <w:rPr>
          <w:rFonts w:hint="eastAsia" w:asciiTheme="minorEastAsia" w:hAnsiTheme="minorEastAsia" w:eastAsiaTheme="minorEastAsia"/>
          <w:b w:val="0"/>
          <w:bCs w:val="0"/>
          <w:color w:val="auto"/>
          <w:sz w:val="24"/>
          <w:szCs w:val="24"/>
          <w:lang w:val="en-US" w:eastAsia="zh-CN"/>
        </w:rPr>
        <w:t>4）抗冻性：经15次冻融循环试验后，砖体强度损失≤20%，质量损失≤5%，无明显冻裂、掉块现象；</w:t>
      </w:r>
    </w:p>
    <w:p w14:paraId="59E45775">
      <w:pPr>
        <w:keepNext w:val="0"/>
        <w:keepLines w:val="0"/>
        <w:pageBreakBefore w:val="0"/>
        <w:widowControl/>
        <w:kinsoku/>
        <w:wordWrap/>
        <w:overflowPunct/>
        <w:topLinePunct w:val="0"/>
        <w:autoSpaceDE w:val="0"/>
        <w:autoSpaceDN w:val="0"/>
        <w:bidi w:val="0"/>
        <w:adjustRightInd w:val="0"/>
        <w:snapToGrid w:val="0"/>
        <w:spacing w:line="500" w:lineRule="atLeast"/>
        <w:ind w:firstLine="480" w:firstLineChars="200"/>
        <w:jc w:val="both"/>
        <w:textAlignment w:val="baseline"/>
        <w:rPr>
          <w:rFonts w:hint="eastAsia" w:asciiTheme="minorEastAsia" w:hAnsiTheme="minorEastAsia" w:eastAsiaTheme="minorEastAsia"/>
          <w:b w:val="0"/>
          <w:bCs w:val="0"/>
          <w:color w:val="auto"/>
          <w:sz w:val="24"/>
          <w:szCs w:val="24"/>
          <w:lang w:val="en-US" w:eastAsia="zh-CN"/>
        </w:rPr>
      </w:pPr>
      <w:r>
        <w:rPr>
          <w:rFonts w:hint="eastAsia" w:asciiTheme="minorEastAsia" w:hAnsiTheme="minorEastAsia" w:eastAsiaTheme="minorEastAsia"/>
          <w:b w:val="0"/>
          <w:bCs w:val="0"/>
          <w:color w:val="auto"/>
          <w:sz w:val="24"/>
          <w:szCs w:val="24"/>
          <w:lang w:val="en-US" w:eastAsia="zh-CN"/>
        </w:rPr>
        <w:t>5）耐磨性：混凝土材质吸水砖，磨坑长度不大于35mmm；</w:t>
      </w:r>
    </w:p>
    <w:p w14:paraId="03E0A097">
      <w:pPr>
        <w:keepNext w:val="0"/>
        <w:keepLines w:val="0"/>
        <w:pageBreakBefore w:val="0"/>
        <w:widowControl/>
        <w:kinsoku/>
        <w:wordWrap/>
        <w:overflowPunct/>
        <w:topLinePunct w:val="0"/>
        <w:autoSpaceDE w:val="0"/>
        <w:autoSpaceDN w:val="0"/>
        <w:bidi w:val="0"/>
        <w:adjustRightInd w:val="0"/>
        <w:snapToGrid w:val="0"/>
        <w:spacing w:line="500" w:lineRule="atLeast"/>
        <w:ind w:firstLine="480" w:firstLineChars="200"/>
        <w:jc w:val="both"/>
        <w:textAlignment w:val="baseline"/>
        <w:rPr>
          <w:rFonts w:hint="eastAsia" w:asciiTheme="minorEastAsia" w:hAnsiTheme="minorEastAsia" w:eastAsiaTheme="minorEastAsia"/>
          <w:b w:val="0"/>
          <w:bCs w:val="0"/>
          <w:color w:val="auto"/>
          <w:sz w:val="24"/>
          <w:szCs w:val="24"/>
          <w:lang w:val="en-US" w:eastAsia="zh-CN"/>
        </w:rPr>
      </w:pPr>
      <w:r>
        <w:rPr>
          <w:rFonts w:hint="eastAsia" w:asciiTheme="minorEastAsia" w:hAnsiTheme="minorEastAsia" w:eastAsiaTheme="minorEastAsia"/>
          <w:b w:val="0"/>
          <w:bCs w:val="0"/>
          <w:color w:val="auto"/>
          <w:sz w:val="24"/>
          <w:szCs w:val="24"/>
          <w:lang w:val="en-US" w:eastAsia="zh-CN"/>
        </w:rPr>
        <w:t>6）防滑性能：防滑性BPN值应不小于60。</w:t>
      </w:r>
    </w:p>
    <w:p w14:paraId="5D577770">
      <w:pPr>
        <w:keepNext w:val="0"/>
        <w:keepLines w:val="0"/>
        <w:pageBreakBefore w:val="0"/>
        <w:widowControl/>
        <w:kinsoku w:val="0"/>
        <w:wordWrap/>
        <w:overflowPunct/>
        <w:topLinePunct w:val="0"/>
        <w:autoSpaceDE w:val="0"/>
        <w:autoSpaceDN w:val="0"/>
        <w:bidi w:val="0"/>
        <w:adjustRightInd w:val="0"/>
        <w:snapToGrid w:val="0"/>
        <w:spacing w:line="500" w:lineRule="atLeast"/>
        <w:ind w:firstLine="482" w:firstLineChars="200"/>
        <w:jc w:val="both"/>
        <w:textAlignment w:val="baseline"/>
        <w:rPr>
          <w:rFonts w:hint="eastAsia" w:asciiTheme="minorEastAsia" w:hAnsiTheme="minorEastAsia" w:eastAsiaTheme="minorEastAsia"/>
          <w:b/>
          <w:bCs/>
          <w:color w:val="auto"/>
          <w:sz w:val="24"/>
          <w:szCs w:val="24"/>
          <w:lang w:val="en-US" w:eastAsia="zh-CN"/>
        </w:rPr>
      </w:pPr>
      <w:r>
        <w:rPr>
          <w:rFonts w:hint="eastAsia" w:asciiTheme="minorEastAsia" w:hAnsiTheme="minorEastAsia" w:eastAsiaTheme="minorEastAsia"/>
          <w:b/>
          <w:bCs/>
          <w:color w:val="auto"/>
          <w:sz w:val="24"/>
          <w:szCs w:val="24"/>
          <w:lang w:val="en-US" w:eastAsia="zh-CN"/>
        </w:rPr>
        <w:t>8.2.2花岗岩路缘石检测项目须满足的指标：</w:t>
      </w:r>
    </w:p>
    <w:p w14:paraId="4123D4B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00" w:lineRule="atLeast"/>
        <w:ind w:firstLine="480" w:firstLineChars="200"/>
        <w:jc w:val="both"/>
        <w:textAlignment w:val="baseline"/>
        <w:rPr>
          <w:rFonts w:hint="eastAsia" w:asciiTheme="minorEastAsia" w:hAnsiTheme="minorEastAsia" w:eastAsiaTheme="minorEastAsia"/>
          <w:b w:val="0"/>
          <w:bCs w:val="0"/>
          <w:color w:val="auto"/>
          <w:sz w:val="24"/>
          <w:szCs w:val="24"/>
          <w:lang w:val="en-US" w:eastAsia="zh-CN"/>
        </w:rPr>
      </w:pPr>
      <w:r>
        <w:rPr>
          <w:rFonts w:hint="eastAsia" w:asciiTheme="minorEastAsia" w:hAnsiTheme="minorEastAsia" w:eastAsiaTheme="minorEastAsia"/>
          <w:b w:val="0"/>
          <w:bCs w:val="0"/>
          <w:color w:val="auto"/>
          <w:sz w:val="24"/>
          <w:szCs w:val="24"/>
          <w:lang w:val="en-US" w:eastAsia="zh-CN"/>
        </w:rPr>
        <w:t>1）体积密度≥2.56</w:t>
      </w:r>
      <w:r>
        <w:rPr>
          <w:rFonts w:ascii="宋体" w:hAnsi="宋体" w:eastAsia="宋体" w:cs="宋体"/>
          <w:b w:val="0"/>
          <w:bCs w:val="0"/>
          <w:sz w:val="24"/>
          <w:szCs w:val="24"/>
        </w:rPr>
        <w:t>g/</w:t>
      </w:r>
      <w:r>
        <w:rPr>
          <w:rFonts w:hint="eastAsia" w:ascii="宋体" w:hAnsi="宋体" w:eastAsia="宋体" w:cs="宋体"/>
          <w:b w:val="0"/>
          <w:bCs w:val="0"/>
          <w:sz w:val="24"/>
          <w:szCs w:val="24"/>
          <w:lang w:val="en-US" w:eastAsia="zh-CN"/>
        </w:rPr>
        <w:t>c</w:t>
      </w:r>
      <w:r>
        <w:rPr>
          <w:rFonts w:ascii="宋体" w:hAnsi="宋体" w:eastAsia="宋体" w:cs="宋体"/>
          <w:b w:val="0"/>
          <w:bCs w:val="0"/>
          <w:sz w:val="24"/>
          <w:szCs w:val="24"/>
        </w:rPr>
        <w:t>m³</w:t>
      </w:r>
      <w:r>
        <w:rPr>
          <w:rFonts w:hint="eastAsia" w:asciiTheme="minorEastAsia" w:hAnsiTheme="minorEastAsia" w:eastAsiaTheme="minorEastAsia"/>
          <w:b w:val="0"/>
          <w:bCs w:val="0"/>
          <w:color w:val="auto"/>
          <w:sz w:val="24"/>
          <w:szCs w:val="24"/>
          <w:lang w:val="en-US" w:eastAsia="zh-CN"/>
        </w:rPr>
        <w:t>；</w:t>
      </w:r>
    </w:p>
    <w:p w14:paraId="0229E97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00" w:lineRule="atLeast"/>
        <w:ind w:firstLine="480" w:firstLineChars="200"/>
        <w:jc w:val="both"/>
        <w:textAlignment w:val="baseline"/>
        <w:rPr>
          <w:rFonts w:hint="eastAsia" w:asciiTheme="minorEastAsia" w:hAnsiTheme="minorEastAsia" w:eastAsiaTheme="minorEastAsia"/>
          <w:b w:val="0"/>
          <w:bCs w:val="0"/>
          <w:color w:val="auto"/>
          <w:sz w:val="24"/>
          <w:szCs w:val="24"/>
          <w:lang w:val="en-US" w:eastAsia="zh-CN"/>
        </w:rPr>
      </w:pPr>
      <w:r>
        <w:rPr>
          <w:rFonts w:hint="eastAsia" w:asciiTheme="minorEastAsia" w:hAnsiTheme="minorEastAsia" w:eastAsiaTheme="minorEastAsia"/>
          <w:b w:val="0"/>
          <w:bCs w:val="0"/>
          <w:color w:val="auto"/>
          <w:sz w:val="24"/>
          <w:szCs w:val="24"/>
          <w:lang w:val="en-US" w:eastAsia="zh-CN"/>
        </w:rPr>
        <w:t>2）吸水率≤0.6%；</w:t>
      </w:r>
    </w:p>
    <w:p w14:paraId="6F97332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00" w:lineRule="atLeast"/>
        <w:ind w:firstLine="480" w:firstLineChars="200"/>
        <w:jc w:val="both"/>
        <w:textAlignment w:val="baseline"/>
        <w:rPr>
          <w:rFonts w:hint="eastAsia" w:asciiTheme="minorEastAsia" w:hAnsiTheme="minorEastAsia" w:eastAsiaTheme="minorEastAsia"/>
          <w:b w:val="0"/>
          <w:bCs w:val="0"/>
          <w:color w:val="auto"/>
          <w:sz w:val="24"/>
          <w:szCs w:val="24"/>
          <w:lang w:val="en-US" w:eastAsia="zh-CN"/>
        </w:rPr>
      </w:pPr>
      <w:r>
        <w:rPr>
          <w:rFonts w:hint="eastAsia" w:asciiTheme="minorEastAsia" w:hAnsiTheme="minorEastAsia" w:eastAsiaTheme="minorEastAsia"/>
          <w:b w:val="0"/>
          <w:bCs w:val="0"/>
          <w:color w:val="auto"/>
          <w:sz w:val="24"/>
          <w:szCs w:val="24"/>
          <w:lang w:val="en-US" w:eastAsia="zh-CN"/>
        </w:rPr>
        <w:t>3）压缩强度≥100MPa；</w:t>
      </w:r>
    </w:p>
    <w:p w14:paraId="59A19D7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00" w:lineRule="atLeast"/>
        <w:ind w:firstLine="480" w:firstLineChars="200"/>
        <w:jc w:val="both"/>
        <w:textAlignment w:val="baseline"/>
        <w:rPr>
          <w:rFonts w:hint="eastAsia" w:asciiTheme="minorEastAsia" w:hAnsiTheme="minorEastAsia" w:eastAsiaTheme="minorEastAsia"/>
          <w:b w:val="0"/>
          <w:bCs w:val="0"/>
          <w:color w:val="auto"/>
          <w:sz w:val="24"/>
          <w:szCs w:val="24"/>
          <w:lang w:val="en-US" w:eastAsia="zh-CN"/>
        </w:rPr>
      </w:pPr>
      <w:r>
        <w:rPr>
          <w:rFonts w:hint="eastAsia" w:asciiTheme="minorEastAsia" w:hAnsiTheme="minorEastAsia" w:eastAsiaTheme="minorEastAsia"/>
          <w:b w:val="0"/>
          <w:bCs w:val="0"/>
          <w:color w:val="auto"/>
          <w:sz w:val="24"/>
          <w:szCs w:val="24"/>
          <w:lang w:val="en-US" w:eastAsia="zh-CN"/>
        </w:rPr>
        <w:t>4）弯曲强度≥8MPa。</w:t>
      </w:r>
    </w:p>
    <w:p w14:paraId="30725D2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00" w:lineRule="atLeast"/>
        <w:ind w:firstLine="482" w:firstLineChars="200"/>
        <w:jc w:val="both"/>
        <w:textAlignment w:val="baseline"/>
        <w:rPr>
          <w:rFonts w:hint="eastAsia" w:asciiTheme="minorEastAsia" w:hAnsiTheme="minorEastAsia" w:eastAsiaTheme="minorEastAsia"/>
          <w:b w:val="0"/>
          <w:bCs w:val="0"/>
          <w:color w:val="auto"/>
          <w:sz w:val="24"/>
          <w:szCs w:val="24"/>
          <w:lang w:val="en-US" w:eastAsia="zh-CN"/>
        </w:rPr>
      </w:pPr>
      <w:r>
        <w:rPr>
          <w:rFonts w:hint="eastAsia" w:asciiTheme="minorEastAsia" w:hAnsiTheme="minorEastAsia" w:eastAsiaTheme="minorEastAsia"/>
          <w:b/>
          <w:bCs/>
          <w:color w:val="auto"/>
          <w:sz w:val="24"/>
          <w:szCs w:val="24"/>
          <w:lang w:val="en-US" w:eastAsia="zh-CN"/>
        </w:rPr>
        <w:t>8.3</w:t>
      </w:r>
      <w:r>
        <w:rPr>
          <w:rFonts w:hint="eastAsia" w:asciiTheme="minorEastAsia" w:hAnsiTheme="minorEastAsia" w:eastAsiaTheme="minorEastAsia"/>
          <w:b w:val="0"/>
          <w:bCs w:val="0"/>
          <w:color w:val="auto"/>
          <w:sz w:val="24"/>
          <w:szCs w:val="24"/>
          <w:lang w:val="en-US" w:eastAsia="zh-CN"/>
        </w:rPr>
        <w:t>货到现场后，采购人有权随机抽样(抽样比例≥3%)，委托第三方权威检测机构重新检测，检测费用由供应商承担；若检测结果有一项不符合本设计要求，视为整批次产品不合格，招标人有权拒收、退货，并追究供应商违约责任。</w:t>
      </w:r>
    </w:p>
    <w:p w14:paraId="578820D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00" w:lineRule="atLeast"/>
        <w:ind w:firstLine="482" w:firstLineChars="200"/>
        <w:jc w:val="both"/>
        <w:textAlignment w:val="baseline"/>
        <w:rPr>
          <w:rFonts w:hint="default" w:asciiTheme="minorEastAsia" w:hAnsiTheme="minorEastAsia" w:eastAsiaTheme="minorEastAsia"/>
          <w:b w:val="0"/>
          <w:bCs w:val="0"/>
          <w:color w:val="auto"/>
          <w:sz w:val="24"/>
          <w:szCs w:val="24"/>
          <w:lang w:val="en-US" w:eastAsia="zh-CN"/>
        </w:rPr>
      </w:pPr>
      <w:r>
        <w:rPr>
          <w:rFonts w:hint="eastAsia" w:asciiTheme="minorEastAsia" w:hAnsiTheme="minorEastAsia" w:eastAsiaTheme="minorEastAsia"/>
          <w:b/>
          <w:bCs/>
          <w:color w:val="auto"/>
          <w:sz w:val="24"/>
          <w:szCs w:val="24"/>
          <w:lang w:val="en-US" w:eastAsia="zh-CN"/>
        </w:rPr>
        <w:t>8.4</w:t>
      </w:r>
      <w:r>
        <w:rPr>
          <w:rFonts w:hint="eastAsia" w:asciiTheme="minorEastAsia" w:hAnsiTheme="minorEastAsia" w:eastAsiaTheme="minorEastAsia"/>
          <w:b w:val="0"/>
          <w:bCs w:val="0"/>
          <w:color w:val="auto"/>
          <w:sz w:val="24"/>
          <w:szCs w:val="24"/>
          <w:lang w:val="en-US" w:eastAsia="zh-CN"/>
        </w:rPr>
        <w:t>如发现供应商存在检测报告弄虚作假等行为，采购人有权追究供应商违约责任。</w:t>
      </w:r>
    </w:p>
    <w:p w14:paraId="6F7702A9">
      <w:pPr>
        <w:keepNext w:val="0"/>
        <w:keepLines w:val="0"/>
        <w:pageBreakBefore w:val="0"/>
        <w:widowControl/>
        <w:kinsoku/>
        <w:wordWrap/>
        <w:overflowPunct/>
        <w:topLinePunct w:val="0"/>
        <w:autoSpaceDE w:val="0"/>
        <w:autoSpaceDN w:val="0"/>
        <w:bidi w:val="0"/>
        <w:adjustRightInd w:val="0"/>
        <w:snapToGrid w:val="0"/>
        <w:spacing w:line="500" w:lineRule="atLeast"/>
        <w:ind w:right="0"/>
        <w:textAlignment w:val="baseline"/>
        <w:rPr>
          <w:rFonts w:hint="eastAsia" w:ascii="宋体" w:hAnsi="宋体" w:eastAsia="宋体" w:cs="宋体"/>
          <w:b/>
          <w:bCs/>
          <w:spacing w:val="-1"/>
          <w:sz w:val="24"/>
          <w:szCs w:val="24"/>
          <w:highlight w:val="none"/>
          <w:lang w:val="en-US" w:eastAsia="zh-CN"/>
        </w:rPr>
      </w:pPr>
      <w:r>
        <w:rPr>
          <w:rFonts w:hint="eastAsia" w:ascii="宋体" w:hAnsi="宋体" w:eastAsia="宋体" w:cs="宋体"/>
          <w:b/>
          <w:bCs/>
          <w:spacing w:val="-1"/>
          <w:sz w:val="24"/>
          <w:szCs w:val="24"/>
          <w:highlight w:val="none"/>
          <w:lang w:val="en-US" w:eastAsia="zh-CN"/>
        </w:rPr>
        <w:t>9.施工团队人员要求</w:t>
      </w:r>
    </w:p>
    <w:p w14:paraId="536780F8">
      <w:pPr>
        <w:pStyle w:val="3"/>
        <w:keepNext w:val="0"/>
        <w:keepLines w:val="0"/>
        <w:pageBreakBefore w:val="0"/>
        <w:widowControl/>
        <w:wordWrap/>
        <w:overflowPunct/>
        <w:topLinePunct w:val="0"/>
        <w:autoSpaceDE w:val="0"/>
        <w:autoSpaceDN w:val="0"/>
        <w:bidi w:val="0"/>
        <w:adjustRightInd w:val="0"/>
        <w:snapToGrid w:val="0"/>
        <w:spacing w:line="500" w:lineRule="atLeast"/>
        <w:ind w:firstLine="482" w:firstLineChars="200"/>
        <w:jc w:val="both"/>
        <w:textAlignment w:val="baseline"/>
        <w:rPr>
          <w:rFonts w:hint="default" w:cs="宋体" w:asciiTheme="minorEastAsia" w:hAnsiTheme="minorEastAsia" w:eastAsiaTheme="minorEastAsia"/>
          <w:b/>
          <w:bCs/>
          <w:color w:val="auto"/>
          <w:sz w:val="24"/>
          <w:szCs w:val="24"/>
          <w:highlight w:val="none"/>
          <w:lang w:val="en-US" w:eastAsia="zh-CN"/>
        </w:rPr>
      </w:pPr>
      <w:r>
        <w:rPr>
          <w:rFonts w:hint="eastAsia" w:cs="宋体" w:asciiTheme="minorEastAsia" w:hAnsiTheme="minorEastAsia" w:eastAsiaTheme="minorEastAsia"/>
          <w:b/>
          <w:bCs/>
          <w:color w:val="auto"/>
          <w:sz w:val="24"/>
          <w:szCs w:val="24"/>
          <w:highlight w:val="none"/>
          <w:lang w:val="en-US" w:eastAsia="zh-CN"/>
        </w:rPr>
        <w:t>9.1项目经理要求</w:t>
      </w:r>
    </w:p>
    <w:p w14:paraId="5C666101">
      <w:pPr>
        <w:pStyle w:val="3"/>
        <w:keepNext w:val="0"/>
        <w:keepLines w:val="0"/>
        <w:pageBreakBefore w:val="0"/>
        <w:widowControl/>
        <w:wordWrap/>
        <w:overflowPunct/>
        <w:topLinePunct w:val="0"/>
        <w:autoSpaceDE w:val="0"/>
        <w:autoSpaceDN w:val="0"/>
        <w:bidi w:val="0"/>
        <w:adjustRightInd w:val="0"/>
        <w:snapToGrid w:val="0"/>
        <w:spacing w:line="500" w:lineRule="atLeast"/>
        <w:ind w:firstLine="480" w:firstLineChars="200"/>
        <w:jc w:val="both"/>
        <w:textAlignment w:val="baseline"/>
        <w:rPr>
          <w:rFonts w:hint="eastAsia" w:cs="宋体" w:asciiTheme="minorEastAsia" w:hAnsiTheme="minorEastAsia" w:eastAsiaTheme="minorEastAsia"/>
          <w:b/>
          <w:bCs/>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拟派项目经理应取得二级注册建造师及以上资格（专业要求为市政公用工程，证书上的注册单位须与成交供应商名称相一致），具有安全生产B证，具有（工程类）中级职称（含）及以上职称证书；</w:t>
      </w:r>
      <w:r>
        <w:rPr>
          <w:rFonts w:hint="eastAsia" w:cs="宋体" w:asciiTheme="minorEastAsia" w:hAnsiTheme="minorEastAsia" w:eastAsiaTheme="minorEastAsia"/>
          <w:b/>
          <w:bCs/>
          <w:color w:val="auto"/>
          <w:sz w:val="24"/>
          <w:szCs w:val="24"/>
          <w:highlight w:val="none"/>
          <w:lang w:eastAsia="zh-CN"/>
        </w:rPr>
        <w:t>(谈判响应文件中提供上述证书扫描件</w:t>
      </w:r>
      <w:r>
        <w:rPr>
          <w:rFonts w:hint="eastAsia" w:cs="宋体" w:asciiTheme="minorEastAsia" w:hAnsiTheme="minorEastAsia" w:eastAsiaTheme="minorEastAsia"/>
          <w:b/>
          <w:bCs/>
          <w:color w:val="auto"/>
          <w:sz w:val="24"/>
          <w:szCs w:val="24"/>
          <w:highlight w:val="none"/>
          <w:lang w:val="en-US" w:eastAsia="zh-CN"/>
        </w:rPr>
        <w:t>及项目经理开标前六个月内任意一个月的社保证明材料</w:t>
      </w:r>
      <w:r>
        <w:rPr>
          <w:rFonts w:hint="eastAsia" w:ascii="宋体" w:hAnsi="宋体" w:eastAsia="宋体" w:cs="宋体"/>
          <w:b/>
          <w:bCs/>
          <w:color w:val="auto"/>
          <w:kern w:val="2"/>
          <w:sz w:val="24"/>
          <w:szCs w:val="24"/>
          <w:highlight w:val="none"/>
          <w:lang w:val="en-US" w:eastAsia="zh-CN" w:bidi="ar-SA"/>
        </w:rPr>
        <w:t>加盖公章，未提供或提供不全的为无效响应。</w:t>
      </w:r>
      <w:r>
        <w:rPr>
          <w:rFonts w:hint="eastAsia" w:cs="宋体" w:asciiTheme="minorEastAsia" w:hAnsiTheme="minorEastAsia" w:eastAsiaTheme="minorEastAsia"/>
          <w:b/>
          <w:bCs/>
          <w:color w:val="auto"/>
          <w:sz w:val="24"/>
          <w:szCs w:val="24"/>
          <w:highlight w:val="none"/>
          <w:lang w:eastAsia="zh-CN"/>
        </w:rPr>
        <w:t>)</w:t>
      </w:r>
    </w:p>
    <w:p w14:paraId="01D27053">
      <w:pPr>
        <w:pStyle w:val="3"/>
        <w:keepNext w:val="0"/>
        <w:keepLines w:val="0"/>
        <w:pageBreakBefore w:val="0"/>
        <w:widowControl/>
        <w:wordWrap/>
        <w:overflowPunct/>
        <w:topLinePunct w:val="0"/>
        <w:autoSpaceDE w:val="0"/>
        <w:autoSpaceDN w:val="0"/>
        <w:bidi w:val="0"/>
        <w:adjustRightInd w:val="0"/>
        <w:snapToGrid w:val="0"/>
        <w:spacing w:line="500" w:lineRule="atLeast"/>
        <w:ind w:firstLine="482" w:firstLineChars="200"/>
        <w:jc w:val="both"/>
        <w:textAlignment w:val="baseline"/>
        <w:rPr>
          <w:rFonts w:hint="eastAsia" w:cs="宋体" w:asciiTheme="minorEastAsia" w:hAnsiTheme="minorEastAsia" w:eastAsiaTheme="minorEastAsia"/>
          <w:b/>
          <w:bCs/>
          <w:color w:val="auto"/>
          <w:sz w:val="24"/>
          <w:szCs w:val="24"/>
          <w:highlight w:val="yellow"/>
          <w:lang w:val="en-US" w:eastAsia="zh-CN"/>
        </w:rPr>
      </w:pPr>
      <w:r>
        <w:rPr>
          <w:rFonts w:hint="eastAsia" w:cs="宋体" w:asciiTheme="minorEastAsia" w:hAnsiTheme="minorEastAsia" w:eastAsiaTheme="minorEastAsia"/>
          <w:b/>
          <w:bCs/>
          <w:color w:val="auto"/>
          <w:sz w:val="24"/>
          <w:szCs w:val="24"/>
          <w:highlight w:val="none"/>
          <w:lang w:eastAsia="zh-CN"/>
        </w:rPr>
        <w:t>拟派项目经理</w:t>
      </w:r>
      <w:r>
        <w:rPr>
          <w:rFonts w:hint="eastAsia" w:cs="宋体" w:asciiTheme="minorEastAsia" w:hAnsiTheme="minorEastAsia" w:eastAsiaTheme="minorEastAsia"/>
          <w:b/>
          <w:bCs/>
          <w:snapToGrid w:val="0"/>
          <w:color w:val="auto"/>
          <w:sz w:val="24"/>
          <w:szCs w:val="24"/>
          <w:highlight w:val="none"/>
          <w:lang w:val="en-US" w:eastAsia="zh-CN" w:bidi="ar-SA"/>
        </w:rPr>
        <w:t>无在建工程，投标人近三年内无重大工程质量、安全事故记录（</w:t>
      </w:r>
      <w:r>
        <w:rPr>
          <w:rFonts w:hint="eastAsia" w:cs="宋体" w:asciiTheme="minorEastAsia" w:hAnsiTheme="minorEastAsia" w:eastAsiaTheme="minorEastAsia"/>
          <w:b/>
          <w:bCs/>
          <w:color w:val="auto"/>
          <w:sz w:val="24"/>
          <w:szCs w:val="24"/>
          <w:highlight w:val="none"/>
          <w:lang w:eastAsia="zh-CN"/>
        </w:rPr>
        <w:t>谈判响应文件中</w:t>
      </w:r>
      <w:r>
        <w:rPr>
          <w:rFonts w:hint="eastAsia" w:cs="宋体" w:asciiTheme="minorEastAsia" w:hAnsiTheme="minorEastAsia" w:eastAsiaTheme="minorEastAsia"/>
          <w:b/>
          <w:bCs/>
          <w:snapToGrid w:val="0"/>
          <w:color w:val="auto"/>
          <w:sz w:val="24"/>
          <w:szCs w:val="24"/>
          <w:highlight w:val="none"/>
          <w:lang w:val="en-US" w:eastAsia="zh-CN" w:bidi="ar-SA"/>
        </w:rPr>
        <w:t>提供相关承诺函，承诺函须包含以上内容，未提供或提供不符视为无效响应，承诺函格式自拟）。</w:t>
      </w:r>
    </w:p>
    <w:p w14:paraId="2E22F8B8">
      <w:pPr>
        <w:keepNext w:val="0"/>
        <w:keepLines w:val="0"/>
        <w:pageBreakBefore w:val="0"/>
        <w:widowControl/>
        <w:kinsoku/>
        <w:wordWrap/>
        <w:overflowPunct/>
        <w:topLinePunct w:val="0"/>
        <w:autoSpaceDE w:val="0"/>
        <w:autoSpaceDN w:val="0"/>
        <w:bidi w:val="0"/>
        <w:adjustRightInd w:val="0"/>
        <w:snapToGrid w:val="0"/>
        <w:spacing w:line="500" w:lineRule="atLeast"/>
        <w:ind w:right="0" w:firstLine="482" w:firstLineChars="200"/>
        <w:jc w:val="both"/>
        <w:textAlignment w:val="baseline"/>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9.2技术负责人要求</w:t>
      </w:r>
    </w:p>
    <w:p w14:paraId="7DD9C64E">
      <w:pPr>
        <w:keepNext w:val="0"/>
        <w:keepLines w:val="0"/>
        <w:pageBreakBefore w:val="0"/>
        <w:widowControl/>
        <w:wordWrap/>
        <w:overflowPunct/>
        <w:topLinePunct w:val="0"/>
        <w:autoSpaceDE w:val="0"/>
        <w:autoSpaceDN w:val="0"/>
        <w:bidi w:val="0"/>
        <w:adjustRightInd w:val="0"/>
        <w:snapToGrid w:val="0"/>
        <w:spacing w:line="500" w:lineRule="atLeast"/>
        <w:ind w:firstLine="476" w:firstLineChars="200"/>
        <w:jc w:val="both"/>
        <w:textAlignment w:val="baseline"/>
        <w:rPr>
          <w:rFonts w:hint="eastAsia" w:ascii="宋体" w:hAnsi="宋体" w:eastAsia="宋体" w:cs="宋体"/>
          <w:b w:val="0"/>
          <w:bCs w:val="0"/>
          <w:spacing w:val="-1"/>
          <w:sz w:val="24"/>
          <w:szCs w:val="24"/>
          <w:highlight w:val="none"/>
          <w:lang w:val="en-US" w:eastAsia="zh-CN"/>
        </w:rPr>
      </w:pPr>
      <w:r>
        <w:rPr>
          <w:rFonts w:hint="eastAsia" w:ascii="宋体" w:hAnsi="宋体" w:eastAsia="宋体" w:cs="宋体"/>
          <w:b w:val="0"/>
          <w:bCs w:val="0"/>
          <w:spacing w:val="-1"/>
          <w:sz w:val="24"/>
          <w:szCs w:val="24"/>
          <w:highlight w:val="none"/>
          <w:lang w:val="en-US" w:eastAsia="zh-CN"/>
        </w:rPr>
        <w:t>拟派项目技术负责人应取得二级注册建造师及以上资格（专业要求为市政公用工程，证书上的注册单位须与成交供应商名称相一致），且具有（工程类）中级职称（含）及以上职称证书；</w:t>
      </w:r>
      <w:r>
        <w:rPr>
          <w:rFonts w:hint="eastAsia" w:ascii="宋体" w:hAnsi="宋体" w:eastAsia="宋体" w:cs="宋体"/>
          <w:b/>
          <w:bCs/>
          <w:color w:val="auto"/>
          <w:kern w:val="2"/>
          <w:sz w:val="24"/>
          <w:szCs w:val="24"/>
          <w:highlight w:val="none"/>
          <w:lang w:val="en-US" w:eastAsia="zh-CN" w:bidi="ar-SA"/>
        </w:rPr>
        <w:t>（谈判响应文件中提供证书扫描件和开标前六个月内任意一个月的社保证明材料扫描件加盖公章，未提供或提供不全的为无效响应。）</w:t>
      </w:r>
    </w:p>
    <w:p w14:paraId="2EAB0AC0">
      <w:pPr>
        <w:keepNext w:val="0"/>
        <w:keepLines w:val="0"/>
        <w:pageBreakBefore w:val="0"/>
        <w:widowControl/>
        <w:kinsoku/>
        <w:wordWrap/>
        <w:overflowPunct/>
        <w:topLinePunct w:val="0"/>
        <w:autoSpaceDE w:val="0"/>
        <w:autoSpaceDN w:val="0"/>
        <w:bidi w:val="0"/>
        <w:adjustRightInd w:val="0"/>
        <w:snapToGrid w:val="0"/>
        <w:spacing w:line="500" w:lineRule="atLeast"/>
        <w:ind w:right="0" w:firstLine="482" w:firstLineChars="200"/>
        <w:jc w:val="both"/>
        <w:textAlignment w:val="baseline"/>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9.3其他现场人员要求</w:t>
      </w:r>
    </w:p>
    <w:p w14:paraId="11EBD246">
      <w:pPr>
        <w:keepNext w:val="0"/>
        <w:keepLines w:val="0"/>
        <w:pageBreakBefore w:val="0"/>
        <w:widowControl/>
        <w:kinsoku/>
        <w:wordWrap/>
        <w:overflowPunct/>
        <w:topLinePunct w:val="0"/>
        <w:autoSpaceDE w:val="0"/>
        <w:autoSpaceDN w:val="0"/>
        <w:bidi w:val="0"/>
        <w:adjustRightInd w:val="0"/>
        <w:snapToGrid w:val="0"/>
        <w:spacing w:line="500" w:lineRule="atLeast"/>
        <w:ind w:firstLine="476" w:firstLineChars="200"/>
        <w:jc w:val="both"/>
        <w:textAlignment w:val="baseline"/>
        <w:rPr>
          <w:rFonts w:hint="default" w:ascii="宋体" w:hAnsi="宋体" w:eastAsia="宋体" w:cs="宋体"/>
          <w:b w:val="0"/>
          <w:bCs w:val="0"/>
          <w:spacing w:val="-1"/>
          <w:sz w:val="24"/>
          <w:szCs w:val="24"/>
          <w:highlight w:val="none"/>
          <w:lang w:val="en-US" w:eastAsia="zh-CN"/>
        </w:rPr>
      </w:pPr>
      <w:r>
        <w:rPr>
          <w:rFonts w:hint="eastAsia" w:ascii="宋体" w:hAnsi="宋体" w:eastAsia="宋体" w:cs="宋体"/>
          <w:b w:val="0"/>
          <w:bCs w:val="0"/>
          <w:spacing w:val="-1"/>
          <w:sz w:val="24"/>
          <w:szCs w:val="24"/>
          <w:highlight w:val="none"/>
          <w:lang w:val="en-US" w:eastAsia="zh-CN"/>
        </w:rPr>
        <w:t>须为本项目配备如下人员：</w:t>
      </w:r>
      <w:r>
        <w:rPr>
          <w:rFonts w:hint="default" w:ascii="宋体" w:hAnsi="宋体" w:eastAsia="宋体" w:cs="宋体"/>
          <w:b w:val="0"/>
          <w:bCs w:val="0"/>
          <w:spacing w:val="-1"/>
          <w:sz w:val="24"/>
          <w:szCs w:val="24"/>
          <w:highlight w:val="none"/>
          <w:lang w:val="en-US" w:eastAsia="zh-CN"/>
        </w:rPr>
        <w:t>施工员、安全员（提供安全生产C证）、质量员、标准员、材料员、机械员、劳务员、资料员</w:t>
      </w:r>
      <w:r>
        <w:rPr>
          <w:rFonts w:hint="eastAsia" w:ascii="宋体" w:hAnsi="宋体" w:eastAsia="宋体" w:cs="宋体"/>
          <w:b w:val="0"/>
          <w:bCs w:val="0"/>
          <w:spacing w:val="-1"/>
          <w:sz w:val="24"/>
          <w:szCs w:val="24"/>
          <w:highlight w:val="none"/>
          <w:lang w:val="en-US" w:eastAsia="zh-CN"/>
        </w:rPr>
        <w:t>的人</w:t>
      </w:r>
      <w:r>
        <w:rPr>
          <w:rFonts w:hint="default" w:ascii="宋体" w:hAnsi="宋体" w:eastAsia="宋体" w:cs="宋体"/>
          <w:b w:val="0"/>
          <w:bCs w:val="0"/>
          <w:spacing w:val="-1"/>
          <w:sz w:val="24"/>
          <w:szCs w:val="24"/>
          <w:highlight w:val="none"/>
          <w:lang w:val="en-US" w:eastAsia="zh-CN"/>
        </w:rPr>
        <w:t>员均应具有相应资格证书</w:t>
      </w:r>
      <w:r>
        <w:rPr>
          <w:rFonts w:hint="eastAsia" w:ascii="宋体" w:hAnsi="宋体" w:eastAsia="宋体" w:cs="宋体"/>
          <w:b w:val="0"/>
          <w:bCs w:val="0"/>
          <w:spacing w:val="-1"/>
          <w:sz w:val="24"/>
          <w:szCs w:val="24"/>
          <w:highlight w:val="none"/>
          <w:lang w:val="en-US" w:eastAsia="zh-CN"/>
        </w:rPr>
        <w:t>；</w:t>
      </w:r>
      <w:r>
        <w:rPr>
          <w:rFonts w:hint="eastAsia" w:ascii="宋体" w:hAnsi="宋体" w:eastAsia="宋体" w:cs="宋体"/>
          <w:b/>
          <w:bCs/>
          <w:color w:val="auto"/>
          <w:kern w:val="2"/>
          <w:sz w:val="24"/>
          <w:szCs w:val="24"/>
          <w:highlight w:val="none"/>
          <w:lang w:val="en-US" w:eastAsia="zh-CN" w:bidi="ar-SA"/>
        </w:rPr>
        <w:t>（谈判响应文件中提供以上人员证书扫描件和开标前六个月内任意一个月的社保证明材料扫描件加盖公章，未提供或提供不全的为无效响应。）</w:t>
      </w:r>
    </w:p>
    <w:p w14:paraId="7CE973BE">
      <w:pPr>
        <w:keepNext w:val="0"/>
        <w:keepLines w:val="0"/>
        <w:pageBreakBefore w:val="0"/>
        <w:widowControl/>
        <w:kinsoku/>
        <w:wordWrap/>
        <w:overflowPunct/>
        <w:topLinePunct w:val="0"/>
        <w:autoSpaceDE w:val="0"/>
        <w:autoSpaceDN w:val="0"/>
        <w:bidi w:val="0"/>
        <w:adjustRightInd w:val="0"/>
        <w:snapToGrid w:val="0"/>
        <w:spacing w:line="500" w:lineRule="atLeast"/>
        <w:ind w:right="0" w:firstLine="482" w:firstLineChars="200"/>
        <w:jc w:val="both"/>
        <w:textAlignment w:val="baseline"/>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9.4对所有项目管理人员的要求</w:t>
      </w:r>
    </w:p>
    <w:p w14:paraId="16ED1AE1">
      <w:pPr>
        <w:keepNext w:val="0"/>
        <w:keepLines w:val="0"/>
        <w:pageBreakBefore w:val="0"/>
        <w:widowControl/>
        <w:wordWrap/>
        <w:overflowPunct/>
        <w:topLinePunct w:val="0"/>
        <w:autoSpaceDE w:val="0"/>
        <w:autoSpaceDN w:val="0"/>
        <w:bidi w:val="0"/>
        <w:adjustRightInd w:val="0"/>
        <w:snapToGrid w:val="0"/>
        <w:spacing w:line="500" w:lineRule="atLeast"/>
        <w:ind w:firstLine="476" w:firstLineChars="200"/>
        <w:jc w:val="both"/>
        <w:textAlignment w:val="baseline"/>
        <w:rPr>
          <w:rFonts w:hint="default" w:ascii="宋体" w:hAnsi="宋体" w:eastAsia="宋体" w:cs="宋体"/>
          <w:b w:val="0"/>
          <w:bCs w:val="0"/>
          <w:spacing w:val="-1"/>
          <w:sz w:val="24"/>
          <w:szCs w:val="24"/>
          <w:highlight w:val="none"/>
          <w:lang w:val="en-US" w:eastAsia="zh-CN"/>
        </w:rPr>
      </w:pPr>
      <w:r>
        <w:rPr>
          <w:rFonts w:hint="eastAsia" w:ascii="宋体" w:hAnsi="宋体" w:eastAsia="宋体" w:cs="宋体"/>
          <w:b w:val="0"/>
          <w:bCs w:val="0"/>
          <w:spacing w:val="-1"/>
          <w:sz w:val="24"/>
          <w:szCs w:val="24"/>
          <w:highlight w:val="none"/>
          <w:lang w:val="en-US" w:eastAsia="zh-CN"/>
        </w:rPr>
        <w:t xml:space="preserve">9.4.1 </w:t>
      </w:r>
      <w:r>
        <w:rPr>
          <w:rFonts w:hint="default" w:ascii="宋体" w:hAnsi="宋体" w:eastAsia="宋体" w:cs="宋体"/>
          <w:b w:val="0"/>
          <w:bCs w:val="0"/>
          <w:spacing w:val="-1"/>
          <w:sz w:val="24"/>
          <w:szCs w:val="24"/>
          <w:highlight w:val="none"/>
          <w:lang w:val="en-US" w:eastAsia="zh-CN"/>
        </w:rPr>
        <w:t>项目团队中所需</w:t>
      </w:r>
      <w:r>
        <w:rPr>
          <w:rFonts w:hint="eastAsia" w:ascii="宋体" w:hAnsi="宋体" w:eastAsia="宋体" w:cs="宋体"/>
          <w:b w:val="0"/>
          <w:bCs w:val="0"/>
          <w:spacing w:val="-1"/>
          <w:sz w:val="24"/>
          <w:szCs w:val="24"/>
          <w:highlight w:val="none"/>
          <w:lang w:val="en-US" w:eastAsia="zh-CN"/>
        </w:rPr>
        <w:t>的</w:t>
      </w:r>
      <w:r>
        <w:rPr>
          <w:rFonts w:hint="eastAsia" w:ascii="宋体" w:hAnsi="宋体" w:eastAsia="宋体" w:cs="宋体"/>
          <w:b w:val="0"/>
          <w:bCs w:val="0"/>
          <w:spacing w:val="-1"/>
          <w:sz w:val="24"/>
          <w:szCs w:val="24"/>
          <w:highlight w:val="none"/>
          <w:u w:val="single"/>
          <w:lang w:val="en-US" w:eastAsia="zh-CN"/>
        </w:rPr>
        <w:t>项目经理、技术负责人，施工员以及安全员</w:t>
      </w:r>
      <w:r>
        <w:rPr>
          <w:rFonts w:hint="default" w:ascii="宋体" w:hAnsi="宋体" w:eastAsia="宋体" w:cs="宋体"/>
          <w:b w:val="0"/>
          <w:bCs w:val="0"/>
          <w:spacing w:val="-1"/>
          <w:sz w:val="24"/>
          <w:szCs w:val="24"/>
          <w:highlight w:val="none"/>
          <w:lang w:val="en-US" w:eastAsia="zh-CN"/>
        </w:rPr>
        <w:t>，在工程施工期间，均须专职在岗，不得兼任其他项目任何职务。</w:t>
      </w:r>
    </w:p>
    <w:p w14:paraId="07D0557C">
      <w:pPr>
        <w:keepNext w:val="0"/>
        <w:keepLines w:val="0"/>
        <w:pageBreakBefore w:val="0"/>
        <w:widowControl/>
        <w:wordWrap/>
        <w:overflowPunct/>
        <w:topLinePunct w:val="0"/>
        <w:autoSpaceDE w:val="0"/>
        <w:autoSpaceDN w:val="0"/>
        <w:bidi w:val="0"/>
        <w:adjustRightInd w:val="0"/>
        <w:snapToGrid w:val="0"/>
        <w:spacing w:line="500" w:lineRule="atLeast"/>
        <w:ind w:firstLine="476" w:firstLineChars="200"/>
        <w:jc w:val="both"/>
        <w:textAlignment w:val="baseline"/>
        <w:rPr>
          <w:rFonts w:hint="default" w:ascii="宋体" w:hAnsi="宋体" w:eastAsia="宋体" w:cs="宋体"/>
          <w:b w:val="0"/>
          <w:bCs w:val="0"/>
          <w:spacing w:val="-1"/>
          <w:sz w:val="24"/>
          <w:szCs w:val="24"/>
          <w:highlight w:val="none"/>
          <w:lang w:val="en-US" w:eastAsia="zh-CN"/>
        </w:rPr>
      </w:pPr>
      <w:r>
        <w:rPr>
          <w:rFonts w:hint="eastAsia" w:ascii="宋体" w:hAnsi="宋体" w:eastAsia="宋体" w:cs="宋体"/>
          <w:b w:val="0"/>
          <w:bCs w:val="0"/>
          <w:spacing w:val="-1"/>
          <w:sz w:val="24"/>
          <w:szCs w:val="24"/>
          <w:highlight w:val="none"/>
          <w:lang w:val="en-US" w:eastAsia="zh-CN"/>
        </w:rPr>
        <w:t xml:space="preserve">9.4.2 </w:t>
      </w:r>
      <w:r>
        <w:rPr>
          <w:rFonts w:hint="default" w:ascii="宋体" w:hAnsi="宋体" w:eastAsia="宋体" w:cs="宋体"/>
          <w:b w:val="0"/>
          <w:bCs w:val="0"/>
          <w:spacing w:val="-1"/>
          <w:sz w:val="24"/>
          <w:szCs w:val="24"/>
          <w:highlight w:val="none"/>
          <w:lang w:val="en-US" w:eastAsia="zh-CN"/>
        </w:rPr>
        <w:t>在工程开工后，</w:t>
      </w:r>
      <w:r>
        <w:rPr>
          <w:rFonts w:hint="eastAsia" w:ascii="宋体" w:hAnsi="宋体" w:eastAsia="宋体" w:cs="宋体"/>
          <w:b w:val="0"/>
          <w:bCs w:val="0"/>
          <w:spacing w:val="-1"/>
          <w:sz w:val="24"/>
          <w:szCs w:val="24"/>
          <w:highlight w:val="none"/>
          <w:lang w:val="en-US" w:eastAsia="zh-CN"/>
        </w:rPr>
        <w:t>项目经理</w:t>
      </w:r>
      <w:r>
        <w:rPr>
          <w:rFonts w:hint="default" w:ascii="宋体" w:hAnsi="宋体" w:eastAsia="宋体" w:cs="宋体"/>
          <w:b w:val="0"/>
          <w:bCs w:val="0"/>
          <w:spacing w:val="-1"/>
          <w:sz w:val="24"/>
          <w:szCs w:val="24"/>
          <w:highlight w:val="none"/>
          <w:lang w:val="en-US" w:eastAsia="zh-CN"/>
        </w:rPr>
        <w:t>、技术负责人、施工员、安全员应</w:t>
      </w:r>
      <w:r>
        <w:rPr>
          <w:rFonts w:hint="eastAsia" w:ascii="宋体" w:hAnsi="宋体" w:eastAsia="宋体" w:cs="宋体"/>
          <w:b w:val="0"/>
          <w:bCs w:val="0"/>
          <w:spacing w:val="-1"/>
          <w:sz w:val="24"/>
          <w:szCs w:val="24"/>
          <w:highlight w:val="none"/>
          <w:lang w:val="en-US" w:eastAsia="zh-CN"/>
        </w:rPr>
        <w:t>与</w:t>
      </w:r>
      <w:r>
        <w:rPr>
          <w:rFonts w:hint="default" w:ascii="宋体" w:hAnsi="宋体" w:eastAsia="宋体" w:cs="宋体"/>
          <w:b w:val="0"/>
          <w:bCs w:val="0"/>
          <w:spacing w:val="-1"/>
          <w:sz w:val="24"/>
          <w:szCs w:val="24"/>
          <w:highlight w:val="none"/>
          <w:lang w:val="en-US" w:eastAsia="zh-CN"/>
        </w:rPr>
        <w:t>投标文件人员一致，不得更换，若要更换，需书面征得</w:t>
      </w:r>
      <w:r>
        <w:rPr>
          <w:rFonts w:hint="eastAsia" w:ascii="宋体" w:hAnsi="宋体" w:eastAsia="宋体" w:cs="宋体"/>
          <w:b w:val="0"/>
          <w:bCs w:val="0"/>
          <w:spacing w:val="-1"/>
          <w:sz w:val="24"/>
          <w:szCs w:val="24"/>
          <w:highlight w:val="none"/>
          <w:lang w:val="en-US" w:eastAsia="zh-CN"/>
        </w:rPr>
        <w:t>采购人</w:t>
      </w:r>
      <w:r>
        <w:rPr>
          <w:rFonts w:hint="default" w:ascii="宋体" w:hAnsi="宋体" w:eastAsia="宋体" w:cs="宋体"/>
          <w:b w:val="0"/>
          <w:bCs w:val="0"/>
          <w:spacing w:val="-1"/>
          <w:sz w:val="24"/>
          <w:szCs w:val="24"/>
          <w:highlight w:val="none"/>
          <w:lang w:val="en-US" w:eastAsia="zh-CN"/>
        </w:rPr>
        <w:t>同意，未经同意擅自更换的，罚款5000元/人。超过3人次，发包方有权解除合同。</w:t>
      </w:r>
    </w:p>
    <w:p w14:paraId="3B78E3AC">
      <w:pPr>
        <w:keepNext w:val="0"/>
        <w:keepLines w:val="0"/>
        <w:pageBreakBefore w:val="0"/>
        <w:widowControl/>
        <w:wordWrap/>
        <w:overflowPunct/>
        <w:topLinePunct w:val="0"/>
        <w:autoSpaceDE w:val="0"/>
        <w:autoSpaceDN w:val="0"/>
        <w:bidi w:val="0"/>
        <w:adjustRightInd w:val="0"/>
        <w:snapToGrid w:val="0"/>
        <w:spacing w:line="500" w:lineRule="atLeast"/>
        <w:ind w:firstLine="476" w:firstLineChars="200"/>
        <w:jc w:val="both"/>
        <w:textAlignment w:val="baseline"/>
        <w:rPr>
          <w:rFonts w:hint="default" w:ascii="宋体" w:hAnsi="宋体" w:eastAsia="宋体" w:cs="宋体"/>
          <w:b w:val="0"/>
          <w:bCs w:val="0"/>
          <w:spacing w:val="-1"/>
          <w:sz w:val="24"/>
          <w:szCs w:val="24"/>
          <w:highlight w:val="none"/>
          <w:lang w:val="en-US" w:eastAsia="zh-CN"/>
        </w:rPr>
      </w:pPr>
      <w:r>
        <w:rPr>
          <w:rFonts w:hint="eastAsia" w:ascii="宋体" w:hAnsi="宋体" w:eastAsia="宋体" w:cs="宋体"/>
          <w:b w:val="0"/>
          <w:bCs w:val="0"/>
          <w:spacing w:val="-1"/>
          <w:sz w:val="24"/>
          <w:szCs w:val="24"/>
          <w:highlight w:val="none"/>
          <w:lang w:val="en-US" w:eastAsia="zh-CN"/>
        </w:rPr>
        <w:t xml:space="preserve">9.4.3 </w:t>
      </w:r>
      <w:r>
        <w:rPr>
          <w:rFonts w:hint="default" w:ascii="宋体" w:hAnsi="宋体" w:eastAsia="宋体" w:cs="宋体"/>
          <w:b w:val="0"/>
          <w:bCs w:val="0"/>
          <w:spacing w:val="-1"/>
          <w:sz w:val="24"/>
          <w:szCs w:val="24"/>
          <w:highlight w:val="none"/>
          <w:lang w:val="en-US" w:eastAsia="zh-CN"/>
        </w:rPr>
        <w:t>项目</w:t>
      </w:r>
      <w:r>
        <w:rPr>
          <w:rFonts w:hint="eastAsia" w:ascii="宋体" w:hAnsi="宋体" w:eastAsia="宋体" w:cs="宋体"/>
          <w:b w:val="0"/>
          <w:bCs w:val="0"/>
          <w:spacing w:val="-1"/>
          <w:sz w:val="24"/>
          <w:szCs w:val="24"/>
          <w:highlight w:val="none"/>
          <w:lang w:val="en-US" w:eastAsia="zh-CN"/>
        </w:rPr>
        <w:t>经理</w:t>
      </w:r>
      <w:r>
        <w:rPr>
          <w:rFonts w:hint="default" w:ascii="宋体" w:hAnsi="宋体" w:eastAsia="宋体" w:cs="宋体"/>
          <w:b w:val="0"/>
          <w:bCs w:val="0"/>
          <w:spacing w:val="-1"/>
          <w:sz w:val="24"/>
          <w:szCs w:val="24"/>
          <w:highlight w:val="none"/>
          <w:lang w:val="en-US" w:eastAsia="zh-CN"/>
        </w:rPr>
        <w:t>、技术负责人、施工员、安全员每月到岗天数不少于22天，每天不少于8个小时，由监理负责考核（按学校要求每天早、中、晚打卡3次），</w:t>
      </w:r>
      <w:r>
        <w:rPr>
          <w:rFonts w:hint="eastAsia" w:ascii="宋体" w:hAnsi="宋体" w:eastAsia="宋体" w:cs="宋体"/>
          <w:b w:val="0"/>
          <w:bCs w:val="0"/>
          <w:spacing w:val="-1"/>
          <w:sz w:val="24"/>
          <w:szCs w:val="24"/>
          <w:highlight w:val="none"/>
          <w:lang w:val="en-US" w:eastAsia="zh-CN"/>
        </w:rPr>
        <w:t>采购人</w:t>
      </w:r>
      <w:r>
        <w:rPr>
          <w:rFonts w:hint="default" w:ascii="宋体" w:hAnsi="宋体" w:eastAsia="宋体" w:cs="宋体"/>
          <w:b w:val="0"/>
          <w:bCs w:val="0"/>
          <w:spacing w:val="-1"/>
          <w:sz w:val="24"/>
          <w:szCs w:val="24"/>
          <w:highlight w:val="none"/>
          <w:lang w:val="en-US" w:eastAsia="zh-CN"/>
        </w:rPr>
        <w:t>进行检查。遇有特殊情况，</w:t>
      </w:r>
      <w:r>
        <w:rPr>
          <w:rFonts w:hint="eastAsia" w:ascii="宋体" w:hAnsi="宋体" w:eastAsia="宋体" w:cs="宋体"/>
          <w:b w:val="0"/>
          <w:bCs w:val="0"/>
          <w:spacing w:val="-1"/>
          <w:sz w:val="24"/>
          <w:szCs w:val="24"/>
          <w:highlight w:val="none"/>
          <w:lang w:val="en-US" w:eastAsia="zh-CN"/>
        </w:rPr>
        <w:t>项目经理</w:t>
      </w:r>
      <w:r>
        <w:rPr>
          <w:rFonts w:hint="default" w:ascii="宋体" w:hAnsi="宋体" w:eastAsia="宋体" w:cs="宋体"/>
          <w:b w:val="0"/>
          <w:bCs w:val="0"/>
          <w:spacing w:val="-1"/>
          <w:sz w:val="24"/>
          <w:szCs w:val="24"/>
          <w:highlight w:val="none"/>
          <w:lang w:val="en-US" w:eastAsia="zh-CN"/>
        </w:rPr>
        <w:t xml:space="preserve"> 、技术负责人、施工员、安全员要暂离工作岗位应事先报告监理批准并经</w:t>
      </w:r>
      <w:r>
        <w:rPr>
          <w:rFonts w:hint="eastAsia" w:ascii="宋体" w:hAnsi="宋体" w:eastAsia="宋体" w:cs="宋体"/>
          <w:b w:val="0"/>
          <w:bCs w:val="0"/>
          <w:spacing w:val="-1"/>
          <w:sz w:val="24"/>
          <w:szCs w:val="24"/>
          <w:highlight w:val="none"/>
          <w:lang w:val="en-US" w:eastAsia="zh-CN"/>
        </w:rPr>
        <w:t>采购人</w:t>
      </w:r>
      <w:r>
        <w:rPr>
          <w:rFonts w:hint="default" w:ascii="宋体" w:hAnsi="宋体" w:eastAsia="宋体" w:cs="宋体"/>
          <w:b w:val="0"/>
          <w:bCs w:val="0"/>
          <w:spacing w:val="-1"/>
          <w:sz w:val="24"/>
          <w:szCs w:val="24"/>
          <w:highlight w:val="none"/>
          <w:lang w:val="en-US" w:eastAsia="zh-CN"/>
        </w:rPr>
        <w:t>同意后方可离岗，否则</w:t>
      </w:r>
      <w:r>
        <w:rPr>
          <w:rFonts w:hint="eastAsia" w:ascii="宋体" w:hAnsi="宋体" w:eastAsia="宋体" w:cs="宋体"/>
          <w:b w:val="0"/>
          <w:bCs w:val="0"/>
          <w:spacing w:val="-1"/>
          <w:sz w:val="24"/>
          <w:szCs w:val="24"/>
          <w:highlight w:val="none"/>
          <w:lang w:val="en-US" w:eastAsia="zh-CN"/>
        </w:rPr>
        <w:t>采购人</w:t>
      </w:r>
      <w:r>
        <w:rPr>
          <w:rFonts w:hint="default" w:ascii="宋体" w:hAnsi="宋体" w:eastAsia="宋体" w:cs="宋体"/>
          <w:b w:val="0"/>
          <w:bCs w:val="0"/>
          <w:spacing w:val="-1"/>
          <w:sz w:val="24"/>
          <w:szCs w:val="24"/>
          <w:highlight w:val="none"/>
          <w:lang w:val="en-US" w:eastAsia="zh-CN"/>
        </w:rPr>
        <w:t>将对缺岗人员按下列标准进行处罚：每缺岗一人次罚款2000 元，累计超过20人次未打卡，</w:t>
      </w:r>
      <w:r>
        <w:rPr>
          <w:rFonts w:hint="eastAsia" w:ascii="宋体" w:hAnsi="宋体" w:eastAsia="宋体" w:cs="宋体"/>
          <w:b w:val="0"/>
          <w:bCs w:val="0"/>
          <w:spacing w:val="-1"/>
          <w:sz w:val="24"/>
          <w:szCs w:val="24"/>
          <w:highlight w:val="none"/>
          <w:lang w:val="en-US" w:eastAsia="zh-CN"/>
        </w:rPr>
        <w:t>采购人</w:t>
      </w:r>
      <w:r>
        <w:rPr>
          <w:rFonts w:hint="default" w:ascii="宋体" w:hAnsi="宋体" w:eastAsia="宋体" w:cs="宋体"/>
          <w:b w:val="0"/>
          <w:bCs w:val="0"/>
          <w:spacing w:val="-1"/>
          <w:sz w:val="24"/>
          <w:szCs w:val="24"/>
          <w:highlight w:val="none"/>
          <w:lang w:val="en-US" w:eastAsia="zh-CN"/>
        </w:rPr>
        <w:t>有权解除合同。</w:t>
      </w:r>
    </w:p>
    <w:p w14:paraId="2D3C0F8B">
      <w:pPr>
        <w:keepNext w:val="0"/>
        <w:keepLines w:val="0"/>
        <w:pageBreakBefore w:val="0"/>
        <w:widowControl/>
        <w:wordWrap/>
        <w:overflowPunct/>
        <w:topLinePunct w:val="0"/>
        <w:autoSpaceDE w:val="0"/>
        <w:autoSpaceDN w:val="0"/>
        <w:bidi w:val="0"/>
        <w:adjustRightInd w:val="0"/>
        <w:snapToGrid w:val="0"/>
        <w:spacing w:line="500" w:lineRule="atLeast"/>
        <w:jc w:val="both"/>
        <w:textAlignment w:val="baseline"/>
        <w:rPr>
          <w:rFonts w:hint="eastAsia" w:asciiTheme="minorEastAsia" w:hAnsiTheme="minorEastAsia" w:eastAsiaTheme="minorEastAsia"/>
          <w:b/>
          <w:bCs/>
          <w:color w:val="auto"/>
          <w:sz w:val="24"/>
          <w:szCs w:val="24"/>
          <w:lang w:eastAsia="zh-CN"/>
        </w:rPr>
      </w:pPr>
      <w:r>
        <w:rPr>
          <w:rFonts w:hint="eastAsia" w:ascii="宋体" w:hAnsi="宋体" w:eastAsia="宋体" w:cs="宋体"/>
          <w:b/>
          <w:bCs/>
          <w:spacing w:val="-1"/>
          <w:sz w:val="24"/>
          <w:szCs w:val="24"/>
          <w:lang w:val="en-US" w:eastAsia="zh-CN"/>
        </w:rPr>
        <w:t>10.</w:t>
      </w:r>
      <w:r>
        <w:rPr>
          <w:rFonts w:hint="eastAsia" w:asciiTheme="minorEastAsia" w:hAnsiTheme="minorEastAsia" w:eastAsiaTheme="minorEastAsia"/>
          <w:b/>
          <w:bCs/>
          <w:color w:val="auto"/>
          <w:sz w:val="24"/>
          <w:szCs w:val="24"/>
          <w:lang w:val="en-US" w:eastAsia="zh-CN"/>
        </w:rPr>
        <w:t>其他</w:t>
      </w:r>
      <w:r>
        <w:rPr>
          <w:rFonts w:hint="eastAsia" w:asciiTheme="minorEastAsia" w:hAnsiTheme="minorEastAsia" w:eastAsiaTheme="minorEastAsia"/>
          <w:b/>
          <w:bCs/>
          <w:color w:val="auto"/>
          <w:sz w:val="24"/>
          <w:szCs w:val="24"/>
          <w:lang w:eastAsia="zh-CN"/>
        </w:rPr>
        <w:t>要求</w:t>
      </w:r>
    </w:p>
    <w:p w14:paraId="742D1618">
      <w:pPr>
        <w:keepNext w:val="0"/>
        <w:keepLines w:val="0"/>
        <w:pageBreakBefore w:val="0"/>
        <w:widowControl/>
        <w:wordWrap/>
        <w:overflowPunct/>
        <w:topLinePunct w:val="0"/>
        <w:autoSpaceDE w:val="0"/>
        <w:autoSpaceDN w:val="0"/>
        <w:bidi w:val="0"/>
        <w:adjustRightInd w:val="0"/>
        <w:snapToGrid w:val="0"/>
        <w:spacing w:line="500" w:lineRule="atLeast"/>
        <w:ind w:firstLine="482" w:firstLineChars="200"/>
        <w:jc w:val="both"/>
        <w:textAlignment w:val="baseline"/>
        <w:rPr>
          <w:rFonts w:hint="eastAsia" w:asciiTheme="minorEastAsia" w:hAnsiTheme="minorEastAsia" w:eastAsiaTheme="minorEastAsia"/>
          <w:color w:val="auto"/>
          <w:sz w:val="24"/>
          <w:szCs w:val="24"/>
          <w:lang w:eastAsia="zh-CN"/>
        </w:rPr>
      </w:pPr>
      <w:r>
        <w:rPr>
          <w:rFonts w:hint="eastAsia" w:asciiTheme="minorEastAsia" w:hAnsiTheme="minorEastAsia" w:eastAsiaTheme="minorEastAsia"/>
          <w:b/>
          <w:bCs/>
          <w:color w:val="auto"/>
          <w:sz w:val="24"/>
          <w:szCs w:val="24"/>
          <w:lang w:val="en-US" w:eastAsia="zh-CN"/>
        </w:rPr>
        <w:t>10</w:t>
      </w:r>
      <w:r>
        <w:rPr>
          <w:rFonts w:hint="eastAsia" w:asciiTheme="minorEastAsia" w:hAnsiTheme="minorEastAsia" w:eastAsiaTheme="minorEastAsia"/>
          <w:b/>
          <w:bCs/>
          <w:color w:val="auto"/>
          <w:sz w:val="24"/>
          <w:szCs w:val="24"/>
          <w:lang w:eastAsia="zh-CN"/>
        </w:rPr>
        <w:t>.1</w:t>
      </w:r>
      <w:r>
        <w:rPr>
          <w:rFonts w:hint="eastAsia" w:asciiTheme="minorEastAsia" w:hAnsiTheme="minorEastAsia" w:eastAsiaTheme="minorEastAsia"/>
          <w:color w:val="auto"/>
          <w:sz w:val="24"/>
          <w:szCs w:val="24"/>
          <w:lang w:eastAsia="zh-CN"/>
        </w:rPr>
        <w:t xml:space="preserve"> </w:t>
      </w:r>
      <w:r>
        <w:rPr>
          <w:rFonts w:hint="eastAsia" w:asciiTheme="minorEastAsia" w:hAnsiTheme="minorEastAsia" w:eastAsiaTheme="minorEastAsia"/>
          <w:bCs/>
          <w:color w:val="auto"/>
          <w:sz w:val="24"/>
          <w:szCs w:val="24"/>
          <w:lang w:eastAsia="zh-CN"/>
        </w:rPr>
        <w:t>谈判文件工程量清单中的安全文明施工费、规费、暂估价、暂列金额均属于不可竞争费，不得让利，</w:t>
      </w:r>
      <w:r>
        <w:rPr>
          <w:rFonts w:hint="eastAsia" w:asciiTheme="minorEastAsia" w:hAnsiTheme="minorEastAsia" w:eastAsiaTheme="minorEastAsia"/>
          <w:b/>
          <w:color w:val="auto"/>
          <w:sz w:val="24"/>
          <w:szCs w:val="24"/>
          <w:lang w:eastAsia="zh-CN"/>
        </w:rPr>
        <w:t>否则视为无效响应</w:t>
      </w:r>
      <w:r>
        <w:rPr>
          <w:rFonts w:hint="eastAsia" w:asciiTheme="minorEastAsia" w:hAnsiTheme="minorEastAsia" w:eastAsiaTheme="minorEastAsia"/>
          <w:b/>
          <w:bCs/>
          <w:color w:val="auto"/>
          <w:sz w:val="24"/>
          <w:szCs w:val="24"/>
          <w:lang w:eastAsia="zh-CN"/>
        </w:rPr>
        <w:t>。</w:t>
      </w:r>
    </w:p>
    <w:p w14:paraId="00B58551">
      <w:pPr>
        <w:keepNext w:val="0"/>
        <w:keepLines w:val="0"/>
        <w:pageBreakBefore w:val="0"/>
        <w:widowControl/>
        <w:wordWrap/>
        <w:overflowPunct/>
        <w:topLinePunct w:val="0"/>
        <w:autoSpaceDE w:val="0"/>
        <w:autoSpaceDN w:val="0"/>
        <w:bidi w:val="0"/>
        <w:adjustRightInd w:val="0"/>
        <w:snapToGrid w:val="0"/>
        <w:spacing w:line="500" w:lineRule="atLeast"/>
        <w:ind w:firstLine="482" w:firstLineChars="200"/>
        <w:jc w:val="both"/>
        <w:textAlignment w:val="baseline"/>
        <w:rPr>
          <w:rFonts w:hint="eastAsia" w:asciiTheme="minorEastAsia" w:hAnsiTheme="minorEastAsia" w:eastAsiaTheme="minorEastAsia"/>
          <w:color w:val="auto"/>
          <w:sz w:val="24"/>
          <w:szCs w:val="24"/>
          <w:lang w:eastAsia="zh-CN"/>
        </w:rPr>
      </w:pPr>
      <w:r>
        <w:rPr>
          <w:rFonts w:hint="eastAsia" w:asciiTheme="minorEastAsia" w:hAnsiTheme="minorEastAsia" w:eastAsiaTheme="minorEastAsia"/>
          <w:b/>
          <w:bCs/>
          <w:color w:val="auto"/>
          <w:sz w:val="24"/>
          <w:szCs w:val="24"/>
          <w:lang w:val="en-US" w:eastAsia="zh-CN"/>
        </w:rPr>
        <w:t>10</w:t>
      </w:r>
      <w:r>
        <w:rPr>
          <w:rFonts w:hint="eastAsia" w:asciiTheme="minorEastAsia" w:hAnsiTheme="minorEastAsia" w:eastAsiaTheme="minorEastAsia"/>
          <w:b/>
          <w:bCs/>
          <w:color w:val="auto"/>
          <w:sz w:val="24"/>
          <w:szCs w:val="24"/>
          <w:lang w:eastAsia="zh-CN"/>
        </w:rPr>
        <w:t>.2</w:t>
      </w:r>
      <w:r>
        <w:rPr>
          <w:rFonts w:hint="eastAsia" w:asciiTheme="minorEastAsia" w:hAnsiTheme="minorEastAsia" w:eastAsiaTheme="minorEastAsia"/>
          <w:color w:val="auto"/>
          <w:sz w:val="24"/>
          <w:szCs w:val="24"/>
          <w:lang w:eastAsia="zh-CN"/>
        </w:rPr>
        <w:t xml:space="preserve"> 凡成交供应商采购的主要材料，必须提供出厂合格证书及试验资料原件给采购人查验，否则，采购人有权制止使用并追究成交供应商的违约责任。</w:t>
      </w:r>
    </w:p>
    <w:p w14:paraId="4EC82BCC">
      <w:pPr>
        <w:keepNext w:val="0"/>
        <w:keepLines w:val="0"/>
        <w:pageBreakBefore w:val="0"/>
        <w:widowControl/>
        <w:wordWrap/>
        <w:overflowPunct/>
        <w:topLinePunct w:val="0"/>
        <w:autoSpaceDE w:val="0"/>
        <w:autoSpaceDN w:val="0"/>
        <w:bidi w:val="0"/>
        <w:adjustRightInd w:val="0"/>
        <w:snapToGrid w:val="0"/>
        <w:spacing w:line="500" w:lineRule="atLeast"/>
        <w:ind w:firstLine="482" w:firstLineChars="200"/>
        <w:jc w:val="both"/>
        <w:textAlignment w:val="baseline"/>
        <w:rPr>
          <w:rFonts w:hint="eastAsia" w:asciiTheme="minorEastAsia" w:hAnsiTheme="minorEastAsia" w:eastAsiaTheme="minorEastAsia"/>
          <w:color w:val="auto"/>
          <w:sz w:val="24"/>
          <w:szCs w:val="24"/>
          <w:lang w:eastAsia="zh-CN"/>
        </w:rPr>
      </w:pPr>
      <w:r>
        <w:rPr>
          <w:rFonts w:hint="eastAsia" w:asciiTheme="minorEastAsia" w:hAnsiTheme="minorEastAsia" w:eastAsiaTheme="minorEastAsia"/>
          <w:b/>
          <w:bCs/>
          <w:color w:val="auto"/>
          <w:sz w:val="24"/>
          <w:szCs w:val="24"/>
          <w:lang w:val="en-US" w:eastAsia="zh-CN"/>
        </w:rPr>
        <w:t>10</w:t>
      </w:r>
      <w:r>
        <w:rPr>
          <w:rFonts w:hint="eastAsia" w:asciiTheme="minorEastAsia" w:hAnsiTheme="minorEastAsia" w:eastAsiaTheme="minorEastAsia"/>
          <w:b/>
          <w:bCs/>
          <w:color w:val="auto"/>
          <w:sz w:val="24"/>
          <w:szCs w:val="24"/>
          <w:lang w:eastAsia="zh-CN"/>
        </w:rPr>
        <w:t>.3</w:t>
      </w:r>
      <w:r>
        <w:rPr>
          <w:rFonts w:hint="eastAsia" w:asciiTheme="minorEastAsia" w:hAnsiTheme="minorEastAsia" w:eastAsiaTheme="minorEastAsia"/>
          <w:color w:val="auto"/>
          <w:sz w:val="24"/>
          <w:szCs w:val="24"/>
          <w:lang w:eastAsia="zh-CN"/>
        </w:rPr>
        <w:t xml:space="preserve"> 供应商应按照本文件中提供的工程量清单，根据项目特征描述的内容及有关要求实施合同工程，直到项目被改变为止。</w:t>
      </w:r>
    </w:p>
    <w:p w14:paraId="704513DD">
      <w:pPr>
        <w:keepNext w:val="0"/>
        <w:keepLines w:val="0"/>
        <w:pageBreakBefore w:val="0"/>
        <w:widowControl/>
        <w:wordWrap/>
        <w:overflowPunct/>
        <w:topLinePunct w:val="0"/>
        <w:autoSpaceDE w:val="0"/>
        <w:autoSpaceDN w:val="0"/>
        <w:bidi w:val="0"/>
        <w:adjustRightInd w:val="0"/>
        <w:snapToGrid w:val="0"/>
        <w:spacing w:line="500" w:lineRule="atLeast"/>
        <w:ind w:firstLine="482" w:firstLineChars="200"/>
        <w:jc w:val="both"/>
        <w:textAlignment w:val="baseline"/>
        <w:rPr>
          <w:rFonts w:hint="eastAsia" w:asciiTheme="minorEastAsia" w:hAnsiTheme="minorEastAsia" w:eastAsiaTheme="minorEastAsia"/>
          <w:color w:val="auto"/>
          <w:sz w:val="24"/>
          <w:szCs w:val="24"/>
          <w:lang w:eastAsia="zh-CN"/>
        </w:rPr>
      </w:pPr>
      <w:r>
        <w:rPr>
          <w:rFonts w:hint="eastAsia" w:asciiTheme="minorEastAsia" w:hAnsiTheme="minorEastAsia" w:eastAsiaTheme="minorEastAsia"/>
          <w:b/>
          <w:bCs/>
          <w:color w:val="auto"/>
          <w:sz w:val="24"/>
          <w:szCs w:val="24"/>
          <w:lang w:val="en-US" w:eastAsia="zh-CN"/>
        </w:rPr>
        <w:t>10</w:t>
      </w:r>
      <w:r>
        <w:rPr>
          <w:rFonts w:hint="eastAsia" w:asciiTheme="minorEastAsia" w:hAnsiTheme="minorEastAsia" w:eastAsiaTheme="minorEastAsia"/>
          <w:b/>
          <w:bCs/>
          <w:color w:val="auto"/>
          <w:sz w:val="24"/>
          <w:szCs w:val="24"/>
          <w:lang w:eastAsia="zh-CN"/>
        </w:rPr>
        <w:t>.4</w:t>
      </w:r>
      <w:r>
        <w:rPr>
          <w:rFonts w:hint="eastAsia" w:asciiTheme="minorEastAsia" w:hAnsiTheme="minorEastAsia" w:eastAsiaTheme="minorEastAsia"/>
          <w:color w:val="auto"/>
          <w:sz w:val="24"/>
          <w:szCs w:val="24"/>
          <w:lang w:eastAsia="zh-CN"/>
        </w:rPr>
        <w:t xml:space="preserve"> 供应商应按照采购人提供的施工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14:paraId="0D676C1B">
      <w:pPr>
        <w:keepNext w:val="0"/>
        <w:keepLines w:val="0"/>
        <w:pageBreakBefore w:val="0"/>
        <w:widowControl/>
        <w:kinsoku/>
        <w:wordWrap/>
        <w:overflowPunct/>
        <w:topLinePunct w:val="0"/>
        <w:autoSpaceDE w:val="0"/>
        <w:autoSpaceDN w:val="0"/>
        <w:bidi w:val="0"/>
        <w:adjustRightInd w:val="0"/>
        <w:snapToGrid w:val="0"/>
        <w:spacing w:line="500" w:lineRule="exact"/>
        <w:ind w:right="0"/>
        <w:textAlignment w:val="baseline"/>
        <w:rPr>
          <w:rFonts w:hint="eastAsia" w:ascii="宋体" w:hAnsi="宋体" w:eastAsia="宋体" w:cs="宋体"/>
          <w:b/>
          <w:bCs/>
          <w:spacing w:val="-1"/>
          <w:sz w:val="24"/>
          <w:szCs w:val="24"/>
          <w:lang w:val="en-US" w:eastAsia="zh-CN"/>
        </w:rPr>
      </w:pPr>
    </w:p>
    <w:p w14:paraId="54D9EC05">
      <w:pPr>
        <w:keepNext w:val="0"/>
        <w:keepLines w:val="0"/>
        <w:pageBreakBefore w:val="0"/>
        <w:widowControl/>
        <w:kinsoku/>
        <w:wordWrap/>
        <w:overflowPunct/>
        <w:topLinePunct w:val="0"/>
        <w:autoSpaceDE w:val="0"/>
        <w:autoSpaceDN w:val="0"/>
        <w:bidi w:val="0"/>
        <w:adjustRightInd w:val="0"/>
        <w:snapToGrid w:val="0"/>
        <w:spacing w:line="500" w:lineRule="exact"/>
        <w:ind w:right="0"/>
        <w:textAlignment w:val="baseline"/>
        <w:rPr>
          <w:rFonts w:hint="default" w:ascii="宋体" w:hAnsi="宋体" w:eastAsia="宋体" w:cs="宋体"/>
          <w:b/>
          <w:bCs/>
          <w:spacing w:val="-1"/>
          <w:sz w:val="24"/>
          <w:szCs w:val="24"/>
          <w:lang w:val="en-US" w:eastAsia="zh-CN"/>
        </w:rPr>
      </w:pPr>
    </w:p>
    <w:p w14:paraId="41D124F5">
      <w:r>
        <w:rPr>
          <w:rFonts w:hint="eastAsia" w:ascii="宋体" w:hAnsi="宋体" w:eastAsia="宋体" w:cs="宋体"/>
          <w:b/>
          <w:bCs/>
          <w:snapToGrid/>
          <w:color w:val="auto"/>
          <w:kern w:val="2"/>
          <w:sz w:val="24"/>
          <w:szCs w:val="24"/>
          <w:lang w:eastAsia="zh-CN"/>
        </w:rPr>
        <w:t>注：以上技术条款为最低指标，供应商必须全部响应（满足或优于技术条款要求），否则其响应无效。</w:t>
      </w:r>
      <w:bookmarkStart w:id="5" w:name="_GoBack"/>
      <w:bookmarkEnd w:id="5"/>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2FF" w:usb1="400004FF" w:usb2="00000000" w:usb3="00000000" w:csb0="2000019F" w:csb1="00000000"/>
  </w:font>
  <w:font w:name="新宋体">
    <w:panose1 w:val="02010609030101010101"/>
    <w:charset w:val="86"/>
    <w:family w:val="modern"/>
    <w:pitch w:val="default"/>
    <w:sig w:usb0="00000003" w:usb1="288F0000" w:usb2="0000000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11E66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3"/>
    <w:basedOn w:val="1"/>
    <w:next w:val="1"/>
    <w:unhideWhenUsed/>
    <w:qFormat/>
    <w:uiPriority w:val="0"/>
    <w:pPr>
      <w:keepNext/>
      <w:keepLines/>
      <w:spacing w:line="360" w:lineRule="auto"/>
      <w:outlineLvl w:val="2"/>
    </w:pPr>
    <w:rPr>
      <w:rFonts w:ascii="宋体" w:hAnsi="宋体" w:eastAsiaTheme="minorEastAsia"/>
      <w:b/>
      <w:bCs/>
      <w:sz w:val="24"/>
      <w:szCs w:val="32"/>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rPr>
      <w:rFonts w:ascii="仿宋" w:hAnsi="仿宋" w:eastAsia="仿宋" w:cs="仿宋"/>
      <w:sz w:val="30"/>
      <w:szCs w:val="30"/>
    </w:rPr>
  </w:style>
  <w:style w:type="paragraph" w:styleId="6">
    <w:name w:val="List Paragraph"/>
    <w:basedOn w:val="1"/>
    <w:unhideWhenUsed/>
    <w:qFormat/>
    <w:uiPriority w:val="34"/>
    <w:pPr>
      <w:ind w:firstLine="420" w:firstLineChars="200"/>
    </w:p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2026-05-14T07:40:07Z</dcterms:created>
  <dc:creator>Administrator</dc:creator>
  <cp:lastModifiedBy>cxwy</cp:lastModifiedBy>
  <dcterms:modified xsi:type="dcterms:W3CDTF">2026-05-14T07:40:16Z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eyJoZGlkIjoiMDVlODM2ZWQ5YjJmM2NiOTM4ZTFlNGM2MmIwY2QxMjYiLCJ1c2VySWQiOiIyNTY2NjMwNTYifQ==</vt:lpwstr>
  </property>
  <property fmtid="{D5CDD505-2E9C-101B-9397-08002B2CF9AE}" pid="4" name="ICV">
    <vt:lpwstr>B94EFBF09BD047A09F2D2CA5C98DFE3D_12</vt:lpwstr>
  </property>
</Properties>
</file>