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3747FE">
      <w:pPr>
        <w:pageBreakBefore w:val="0"/>
        <w:widowControl w:val="0"/>
        <w:numPr>
          <w:ilvl w:val="0"/>
          <w:numId w:val="1"/>
        </w:numPr>
        <w:wordWrap/>
        <w:overflowPunct/>
        <w:topLinePunct w:val="0"/>
        <w:bidi w:val="0"/>
        <w:spacing w:before="78" w:line="219" w:lineRule="auto"/>
        <w:rPr>
          <w:rFonts w:hint="eastAsia" w:ascii="宋体" w:hAnsi="宋体" w:eastAsia="宋体" w:cs="宋体"/>
          <w:b/>
          <w:bCs/>
          <w:snapToGrid w:val="0"/>
          <w:color w:val="000000"/>
          <w:spacing w:val="4"/>
          <w:sz w:val="24"/>
          <w:szCs w:val="24"/>
          <w:lang w:val="en-US" w:eastAsia="en-US" w:bidi="ar-SA"/>
        </w:rPr>
      </w:pPr>
      <w:r>
        <w:rPr>
          <w:rFonts w:hint="eastAsia" w:ascii="宋体" w:hAnsi="宋体" w:eastAsia="宋体" w:cs="宋体"/>
          <w:b/>
          <w:bCs/>
          <w:snapToGrid w:val="0"/>
          <w:color w:val="000000"/>
          <w:spacing w:val="4"/>
          <w:sz w:val="24"/>
          <w:szCs w:val="24"/>
          <w:lang w:val="en-US" w:eastAsia="zh-CN" w:bidi="ar-SA"/>
        </w:rPr>
        <w:t>服务</w:t>
      </w:r>
      <w:r>
        <w:rPr>
          <w:rFonts w:hint="eastAsia" w:ascii="宋体" w:hAnsi="宋体" w:eastAsia="宋体" w:cs="宋体"/>
          <w:b/>
          <w:bCs/>
          <w:snapToGrid w:val="0"/>
          <w:color w:val="000000"/>
          <w:spacing w:val="4"/>
          <w:sz w:val="24"/>
          <w:szCs w:val="24"/>
          <w:lang w:val="en-US" w:eastAsia="en-US" w:bidi="ar-SA"/>
        </w:rPr>
        <w:t>需求与要求</w:t>
      </w:r>
    </w:p>
    <w:p w14:paraId="0616AEA4">
      <w:pPr>
        <w:spacing w:line="360" w:lineRule="auto"/>
        <w:ind w:firstLine="334" w:firstLineChars="146"/>
        <w:rPr>
          <w:rFonts w:hint="eastAsia" w:ascii="宋体" w:hAnsi="宋体" w:eastAsia="宋体" w:cs="宋体"/>
          <w:b/>
          <w:bCs/>
          <w:snapToGrid w:val="0"/>
          <w:color w:val="000000"/>
          <w:spacing w:val="4"/>
          <w:sz w:val="22"/>
          <w:szCs w:val="22"/>
          <w:lang w:val="en-US" w:eastAsia="en-US" w:bidi="ar-SA"/>
        </w:rPr>
      </w:pPr>
      <w:r>
        <w:rPr>
          <w:rFonts w:hint="eastAsia" w:ascii="宋体" w:hAnsi="宋体" w:eastAsia="宋体" w:cs="宋体"/>
          <w:b/>
          <w:bCs/>
          <w:snapToGrid w:val="0"/>
          <w:color w:val="000000"/>
          <w:spacing w:val="4"/>
          <w:sz w:val="22"/>
          <w:szCs w:val="22"/>
          <w:lang w:val="en-US" w:eastAsia="en-US" w:bidi="ar-SA"/>
        </w:rPr>
        <w:t>(一)服务概况</w:t>
      </w:r>
    </w:p>
    <w:p w14:paraId="7F2204A1">
      <w:pPr>
        <w:adjustRightInd w:val="0"/>
        <w:snapToGrid w:val="0"/>
        <w:spacing w:line="360" w:lineRule="auto"/>
        <w:ind w:firstLine="480" w:firstLineChars="200"/>
        <w:rPr>
          <w:rFonts w:asciiTheme="minorEastAsia" w:hAnsiTheme="minorEastAsia"/>
          <w:sz w:val="24"/>
        </w:rPr>
      </w:pPr>
      <w:r>
        <w:rPr>
          <w:rFonts w:hint="eastAsia" w:asciiTheme="minorEastAsia" w:hAnsiTheme="minorEastAsia"/>
          <w:sz w:val="24"/>
        </w:rPr>
        <w:t>1、项目名称：</w:t>
      </w:r>
      <w:r>
        <w:rPr>
          <w:rFonts w:hint="eastAsia" w:asciiTheme="minorEastAsia" w:hAnsiTheme="minorEastAsia"/>
          <w:sz w:val="24"/>
          <w:lang w:val="en-US" w:eastAsia="zh-CN"/>
        </w:rPr>
        <w:t>吉水县城南完整社区建设项目勘察、设计、测绘、初步设计服务采购</w:t>
      </w:r>
      <w:r>
        <w:rPr>
          <w:rFonts w:hint="eastAsia" w:asciiTheme="minorEastAsia" w:hAnsiTheme="minorEastAsia"/>
          <w:sz w:val="24"/>
        </w:rPr>
        <w:t xml:space="preserve"> </w:t>
      </w:r>
    </w:p>
    <w:p w14:paraId="1FA371AA">
      <w:pPr>
        <w:adjustRightInd w:val="0"/>
        <w:snapToGrid w:val="0"/>
        <w:spacing w:line="360" w:lineRule="auto"/>
        <w:ind w:firstLine="480" w:firstLineChars="200"/>
        <w:rPr>
          <w:rFonts w:asciiTheme="minorEastAsia" w:hAnsiTheme="minorEastAsia"/>
          <w:sz w:val="24"/>
        </w:rPr>
      </w:pPr>
      <w:r>
        <w:rPr>
          <w:rFonts w:hint="eastAsia" w:asciiTheme="minorEastAsia" w:hAnsiTheme="minorEastAsia"/>
          <w:sz w:val="24"/>
        </w:rPr>
        <w:t>2、项目地点：</w:t>
      </w:r>
      <w:r>
        <w:rPr>
          <w:rFonts w:hint="eastAsia" w:ascii="宋体" w:hAnsi="宋体" w:eastAsia="宋体" w:cs="宋体"/>
          <w:color w:val="auto"/>
          <w:spacing w:val="0"/>
          <w:position w:val="0"/>
          <w:sz w:val="24"/>
          <w:szCs w:val="24"/>
          <w:highlight w:val="none"/>
          <w:u w:val="none"/>
          <w:lang w:val="en-US" w:eastAsia="zh-CN"/>
        </w:rPr>
        <w:t>吉水县</w:t>
      </w:r>
      <w:r>
        <w:rPr>
          <w:rFonts w:hint="eastAsia" w:ascii="宋体" w:hAnsi="宋体"/>
          <w:bCs/>
          <w:sz w:val="24"/>
        </w:rPr>
        <w:t>；</w:t>
      </w:r>
    </w:p>
    <w:p w14:paraId="5CC69F44">
      <w:pPr>
        <w:adjustRightInd w:val="0"/>
        <w:snapToGrid w:val="0"/>
        <w:spacing w:line="360" w:lineRule="auto"/>
        <w:ind w:firstLine="480" w:firstLineChars="200"/>
        <w:rPr>
          <w:rFonts w:hint="eastAsia" w:ascii="宋体" w:hAnsi="宋体"/>
          <w:bCs/>
          <w:color w:val="auto"/>
          <w:sz w:val="24"/>
          <w:highlight w:val="none"/>
          <w:lang w:val="en-US" w:eastAsia="zh-CN"/>
        </w:rPr>
      </w:pPr>
      <w:r>
        <w:rPr>
          <w:rFonts w:hint="eastAsia" w:asciiTheme="minorEastAsia" w:hAnsiTheme="minorEastAsia"/>
          <w:sz w:val="24"/>
        </w:rPr>
        <w:t>3、</w:t>
      </w:r>
      <w:r>
        <w:rPr>
          <w:rFonts w:hint="eastAsia" w:ascii="宋体" w:hAnsi="宋体"/>
          <w:bCs/>
          <w:sz w:val="24"/>
        </w:rPr>
        <w:t>项目主要建设内容及规模</w:t>
      </w:r>
      <w:r>
        <w:rPr>
          <w:rFonts w:hint="eastAsia" w:asciiTheme="minorEastAsia" w:hAnsiTheme="minorEastAsia"/>
          <w:sz w:val="24"/>
        </w:rPr>
        <w:t>：</w:t>
      </w:r>
      <w:r>
        <w:rPr>
          <w:rFonts w:hint="eastAsia" w:asciiTheme="minorEastAsia" w:hAnsiTheme="minorEastAsia"/>
          <w:sz w:val="24"/>
          <w:lang w:val="en-US" w:eastAsia="zh-CN"/>
        </w:rPr>
        <w:t>本项目为吉水县城南完整社区建设项目，对龙华南大道北片区、龙华南大道南片区、文山东大道南片区三个片区实施城市更新完整社区改造，具体内容包括：建筑修缮、社区日间照料中心提质改造、完成场地改造、地块微更新、消防改造、配备预警系统、安装监控摄像头、推进天然气入户、实施道路白改黑（含路面）、人行道改造、开展雨污水管网下地改造、强弱电改造及飞线整治、安装照明路灯、设置红绿灯、建设电动自行车停放设施及配套充电桩、布设垃圾分类设施、新建停车场、搭建社区智慧服务平台、设置广告牌及其他配套设施改造</w:t>
      </w:r>
      <w:r>
        <w:rPr>
          <w:rFonts w:hint="eastAsia" w:ascii="宋体" w:hAnsi="宋体"/>
          <w:bCs/>
          <w:color w:val="auto"/>
          <w:sz w:val="24"/>
          <w:highlight w:val="none"/>
          <w:lang w:val="en-US" w:eastAsia="zh-CN"/>
        </w:rPr>
        <w:t>等。</w:t>
      </w:r>
    </w:p>
    <w:p w14:paraId="0F9EB411">
      <w:pPr>
        <w:spacing w:line="360" w:lineRule="auto"/>
        <w:ind w:firstLine="334" w:firstLineChars="146"/>
        <w:rPr>
          <w:rFonts w:hint="default" w:ascii="宋体" w:hAnsi="宋体" w:eastAsia="宋体" w:cs="宋体"/>
          <w:b/>
          <w:bCs/>
          <w:snapToGrid w:val="0"/>
          <w:color w:val="000000"/>
          <w:spacing w:val="4"/>
          <w:sz w:val="22"/>
          <w:szCs w:val="22"/>
          <w:highlight w:val="none"/>
          <w:lang w:val="en-US" w:eastAsia="zh-CN" w:bidi="ar-SA"/>
        </w:rPr>
      </w:pPr>
      <w:r>
        <w:rPr>
          <w:rFonts w:hint="eastAsia" w:ascii="宋体" w:hAnsi="宋体" w:eastAsia="宋体" w:cs="宋体"/>
          <w:b/>
          <w:bCs/>
          <w:snapToGrid w:val="0"/>
          <w:color w:val="000000"/>
          <w:spacing w:val="4"/>
          <w:sz w:val="22"/>
          <w:szCs w:val="22"/>
          <w:highlight w:val="none"/>
          <w:lang w:val="en-US" w:eastAsia="en-US" w:bidi="ar-SA"/>
        </w:rPr>
        <w:t>(二)技术规程规范</w:t>
      </w:r>
      <w:r>
        <w:rPr>
          <w:rFonts w:hint="eastAsia" w:ascii="宋体" w:hAnsi="宋体" w:eastAsia="宋体" w:cs="宋体"/>
          <w:b/>
          <w:bCs/>
          <w:snapToGrid w:val="0"/>
          <w:color w:val="000000"/>
          <w:spacing w:val="4"/>
          <w:sz w:val="22"/>
          <w:szCs w:val="22"/>
          <w:highlight w:val="none"/>
          <w:lang w:val="en-US" w:eastAsia="zh-CN" w:bidi="ar-SA"/>
        </w:rPr>
        <w:t>、标准</w:t>
      </w:r>
    </w:p>
    <w:p w14:paraId="0152DB89">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1、通用基础类依据 </w:t>
      </w:r>
    </w:p>
    <w:p w14:paraId="3D9C6ACD">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《中华人民共和国工程建设标准强制性条文》(2013版) </w:t>
      </w:r>
    </w:p>
    <w:p w14:paraId="6E486C6A">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《建设工程设计文件编制深度规定》(2016版) </w:t>
      </w:r>
    </w:p>
    <w:p w14:paraId="26E47046">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《民用建筑设计统一标准》GB50352-2019 </w:t>
      </w:r>
    </w:p>
    <w:p w14:paraId="2014E61F">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《建筑与市政工程无障碍通用规范》GB55019-2021 </w:t>
      </w:r>
    </w:p>
    <w:p w14:paraId="435E9140">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2、建筑修缮改造类依据 </w:t>
      </w:r>
    </w:p>
    <w:p w14:paraId="53668134">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《建筑装饰装修工程质量验收标准》GB50210-2018(外立面改造、楼梯间粉刷等装饰工程) </w:t>
      </w:r>
    </w:p>
    <w:p w14:paraId="4FF50C4F">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《屋面工程技术规范》GB50345-2012(门卫室屋顶修复工程) </w:t>
      </w:r>
    </w:p>
    <w:p w14:paraId="6785F677">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《建筑防腐蚀工程施工规范》GB50212-2014(管网、建筑外立面防腐处理) </w:t>
      </w:r>
    </w:p>
    <w:p w14:paraId="2CFD4422">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3、市政管网与给排水改造类依据 </w:t>
      </w:r>
    </w:p>
    <w:p w14:paraId="68644817">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《室外给水设计标准》GB50013-2018(小区室外给水系统设计) </w:t>
      </w:r>
    </w:p>
    <w:p w14:paraId="7FE25FD8">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《室外排水设计标准》GB50014-2021(雨污水管网改造、雨污分流设计) </w:t>
      </w:r>
    </w:p>
    <w:p w14:paraId="7303C9B1">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《城镇排水管道非开挖修复工程技术规程》CJJ/T210-2024(老旧管网原位修复设计) </w:t>
      </w:r>
    </w:p>
    <w:p w14:paraId="5C6405E5">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《城市工程管线综合规划规范》GB50289-2016(雨污水、弱电、消防管线综合布局) </w:t>
      </w:r>
    </w:p>
    <w:p w14:paraId="3EDF1AA1">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《建筑给水排水及采暖工程施工质量验收规范》GB50242-2002(小区内给排水设施改造验收》 </w:t>
      </w:r>
    </w:p>
    <w:p w14:paraId="4DA29C35">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4、道路与场地铺装类依据 </w:t>
      </w:r>
    </w:p>
    <w:p w14:paraId="7BB46294">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《城市道路交通工程项目规范》GB55011-2021(小区道路工程整体设计规范) </w:t>
      </w:r>
    </w:p>
    <w:p w14:paraId="6A00B12B">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《城镇道路路面设计规范》CJ169-2012(小区道路路面设计) </w:t>
      </w:r>
    </w:p>
    <w:p w14:paraId="036792A9">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《城镇道路工程施工与质量验收规范》CJJ1-2008(路面白改黑、沥青路新建施工验收) </w:t>
      </w:r>
    </w:p>
    <w:p w14:paraId="40889154">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《城镇道路路基设计规范》CJJ194-2013(小区道路路基改造与新建) </w:t>
      </w:r>
    </w:p>
    <w:p w14:paraId="0BA44DEE">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《城镇道路养护技术规范》CJJ36-2016(小区原有道路养护改造) </w:t>
      </w:r>
    </w:p>
    <w:p w14:paraId="76A21A4B">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《沥青路面施工及验收规范》GB50092-96(沥青路面施工改造) </w:t>
      </w:r>
    </w:p>
    <w:p w14:paraId="3C56BA88">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《橡胶沥青路面技术标准》CJJ/T273-2019(橡胶沥青路面改造设计) </w:t>
      </w:r>
    </w:p>
    <w:p w14:paraId="29A61EB8">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《透水沥青路面技术规程》CJJ/T190-2012(透水沥青路面铺装设计) </w:t>
      </w:r>
    </w:p>
    <w:p w14:paraId="1B285FE2">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《透水水泥混凝土路面技术规程》CJJ/T135-2009(2023年版)(透水混凝土铺装设计) </w:t>
      </w:r>
    </w:p>
    <w:p w14:paraId="7BCD69E8">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《透水路面砖和透水路面板》GB/T25993-2024(透水路面砖/板铺装设计) </w:t>
      </w:r>
    </w:p>
    <w:p w14:paraId="4200D88A">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《建筑地面工程施工质量验收规范》GB50209-2010(花岗岩铺装、场地硬化施工验收) </w:t>
      </w:r>
    </w:p>
    <w:p w14:paraId="1C55AB9D">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5、智慧化与电气配套类依据 </w:t>
      </w:r>
    </w:p>
    <w:p w14:paraId="77F3F368">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《民用建筑电气设计标准》GB51348-2019(小区内所有电气设施设计与选型) </w:t>
      </w:r>
    </w:p>
    <w:p w14:paraId="72FF569C">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《建筑电气工程施工质量验收标准》GB50303-2015(监控、道闸、庭院灯电气布线验收) </w:t>
      </w:r>
    </w:p>
    <w:p w14:paraId="49B56F42">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《安全防范工程技术标准》GB50348-2018(小区监控、智慧道闸等安防系统设计) </w:t>
      </w:r>
    </w:p>
    <w:p w14:paraId="6824EA27">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《居住区智能化系统配置与技术要求》CJ/T174-2003(老旧小区智慧化改造整体设计) </w:t>
      </w:r>
    </w:p>
    <w:p w14:paraId="1CA75DE1">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《电动汽车充电基础设施设计与施工规范》GB/T51313-2018(非机动车棚充电桩设计施工) </w:t>
      </w:r>
    </w:p>
    <w:p w14:paraId="2A95B78B">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6、景观绿化与配套设施类依据 </w:t>
      </w:r>
    </w:p>
    <w:p w14:paraId="35656063">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《环境景观-绿化种植设计》03J012-2(小区绿化种植专项设计) </w:t>
      </w:r>
    </w:p>
    <w:p w14:paraId="24CB758E">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《居住区环境景观设计导则》(建标[2006]240号)(景观整体布局、配套设施设计) </w:t>
      </w:r>
    </w:p>
    <w:p w14:paraId="4BD199A8">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《园林绿化工程施工及验收规范》CJJ82-2012(景墙廊架、围墙彩绘、景观小品施工) </w:t>
      </w:r>
    </w:p>
    <w:p w14:paraId="267FD7CE">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《挡土墙》(重力式、衡重式、悬臂式)17J008(小区挡土墙设计施工) </w:t>
      </w:r>
    </w:p>
    <w:p w14:paraId="689BCA91">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《户外健身器材安全通用要求》GB19272-2011(健身器材选型与布置设计) </w:t>
      </w:r>
    </w:p>
    <w:p w14:paraId="755E7985">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《城市环境卫生设施规划标准》GB50337-2018(垃圾分类点、环卫配套设施设计) </w:t>
      </w:r>
    </w:p>
    <w:p w14:paraId="36A73B5B">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《住宅室外工程技术标准》JGJ292-2012(小区室外所有配套工程设计) </w:t>
      </w:r>
    </w:p>
    <w:p w14:paraId="524AE9CD">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7、消防与应急类依据 </w:t>
      </w:r>
    </w:p>
    <w:p w14:paraId="5537B6CC">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《消防设施通用规范》GB 55036-2022 </w:t>
      </w:r>
    </w:p>
    <w:p w14:paraId="4F8E5EA6">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《消防应急照明和疏散指示系统技术标准》GB51309-2018</w:t>
      </w:r>
    </w:p>
    <w:p w14:paraId="00F5255B">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8、工程勘察相关依据 </w:t>
      </w:r>
    </w:p>
    <w:p w14:paraId="7087BFBF">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《工程勘察通用规范》GB 55017-2021 </w:t>
      </w:r>
    </w:p>
    <w:p w14:paraId="074C9D02">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《建筑与市政地基基础通用规范》GB55003-2021 </w:t>
      </w:r>
    </w:p>
    <w:p w14:paraId="594BDE98">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《岩土工程勘察规范》GB 50021-2001(2009年版) </w:t>
      </w:r>
    </w:p>
    <w:p w14:paraId="02E76C0C">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《建筑工程地质勘探与取样技术标准》JGJ/T 87-2012 </w:t>
      </w:r>
    </w:p>
    <w:p w14:paraId="10DCADA3">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《软土地区岩土工程勘察规程》JGJ83-2011 </w:t>
      </w:r>
    </w:p>
    <w:p w14:paraId="3DABB84C">
      <w:pPr>
        <w:adjustRightInd w:val="0"/>
        <w:snapToGrid w:val="0"/>
        <w:spacing w:line="360" w:lineRule="auto"/>
        <w:ind w:firstLine="480" w:firstLineChars="200"/>
        <w:rPr>
          <w:color w:val="auto"/>
          <w:highlight w:val="none"/>
          <w:lang w:eastAsia="zh-CN"/>
        </w:rPr>
      </w:pPr>
      <w:r>
        <w:rPr>
          <w:rFonts w:hint="eastAsia" w:asciiTheme="minorEastAsia" w:hAnsiTheme="minorEastAsia"/>
          <w:sz w:val="24"/>
          <w:lang w:val="en-US" w:eastAsia="zh-CN"/>
        </w:rPr>
        <w:t>《工程岩体试验方法标准》GB/T50266-2013</w:t>
      </w:r>
    </w:p>
    <w:p w14:paraId="48D7B8A7">
      <w:pPr>
        <w:adjustRightInd w:val="0"/>
        <w:snapToGrid w:val="0"/>
        <w:spacing w:line="360" w:lineRule="auto"/>
        <w:ind w:firstLine="480" w:firstLineChars="200"/>
        <w:rPr>
          <w:rFonts w:hint="eastAsia" w:asciiTheme="minorEastAsia" w:hAnsiTheme="minorEastAsia"/>
          <w:b/>
          <w:bCs/>
          <w:sz w:val="24"/>
          <w:lang w:val="en-US" w:eastAsia="zh-CN"/>
        </w:rPr>
      </w:pPr>
      <w:r>
        <w:rPr>
          <w:rFonts w:hint="eastAsia" w:asciiTheme="minorEastAsia" w:hAnsiTheme="minorEastAsia"/>
          <w:b/>
          <w:bCs/>
          <w:sz w:val="24"/>
          <w:lang w:val="en-US" w:eastAsia="zh-CN"/>
        </w:rPr>
        <w:t>注：以上若有最新标准，按最新标准执行。</w:t>
      </w:r>
    </w:p>
    <w:p w14:paraId="35EFB5C2">
      <w:pPr>
        <w:pStyle w:val="6"/>
        <w:numPr>
          <w:ilvl w:val="0"/>
          <w:numId w:val="0"/>
        </w:numPr>
        <w:ind w:left="0" w:leftChars="0" w:firstLine="458" w:firstLineChars="200"/>
        <w:rPr>
          <w:color w:val="auto"/>
          <w:highlight w:val="none"/>
          <w:lang w:eastAsia="zh-CN"/>
        </w:rPr>
      </w:pPr>
      <w:r>
        <w:rPr>
          <w:rFonts w:hint="eastAsia" w:ascii="宋体" w:hAnsi="宋体" w:eastAsia="宋体" w:cs="宋体"/>
          <w:b/>
          <w:bCs/>
          <w:snapToGrid w:val="0"/>
          <w:color w:val="000000"/>
          <w:spacing w:val="4"/>
          <w:sz w:val="22"/>
          <w:szCs w:val="22"/>
          <w:lang w:val="en-US" w:eastAsia="en-US" w:bidi="ar-SA"/>
        </w:rPr>
        <w:t>（三）</w:t>
      </w:r>
      <w:r>
        <w:rPr>
          <w:rFonts w:hint="eastAsia" w:ascii="宋体" w:hAnsi="宋体" w:eastAsia="宋体" w:cs="宋体"/>
          <w:b/>
          <w:bCs/>
          <w:snapToGrid w:val="0"/>
          <w:color w:val="000000"/>
          <w:sz w:val="22"/>
          <w:szCs w:val="22"/>
          <w:lang w:val="en-US" w:eastAsia="en-US" w:bidi="ar-SA"/>
        </w:rPr>
        <w:t>服务内容及要求</w:t>
      </w:r>
    </w:p>
    <w:p w14:paraId="7FEF6EDB">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本次招标服务为项目前期及设计阶段全部相关服务，完成吉水县城南完整社区建设采购项目地形测绘、勘察、方案设计、初步设计、概算及预算编制、施工图阶段的设计、报建等项目前期须统筹推进各环节服务，方案至竣工阶段全过程设计技术服务，确保各环节衔接顺畅、成果连贯，满足项目后续实施需求。</w:t>
      </w:r>
    </w:p>
    <w:p w14:paraId="55BD09D3">
      <w:pPr>
        <w:adjustRightInd w:val="0"/>
        <w:snapToGrid w:val="0"/>
        <w:spacing w:line="360" w:lineRule="auto"/>
        <w:ind w:firstLine="480" w:firstLineChars="200"/>
        <w:rPr>
          <w:rFonts w:hint="eastAsia" w:asciiTheme="minorEastAsia" w:hAnsiTheme="minorEastAsia"/>
          <w:b/>
          <w:bCs/>
          <w:sz w:val="24"/>
          <w:lang w:val="en-US" w:eastAsia="zh-CN"/>
        </w:rPr>
      </w:pPr>
      <w:r>
        <w:rPr>
          <w:rFonts w:hint="eastAsia" w:asciiTheme="minorEastAsia" w:hAnsiTheme="minorEastAsia"/>
          <w:b/>
          <w:bCs/>
          <w:sz w:val="24"/>
          <w:lang w:val="en-US" w:eastAsia="zh-CN"/>
        </w:rPr>
        <w:t xml:space="preserve">1.勘察服务 </w:t>
      </w:r>
    </w:p>
    <w:p w14:paraId="41EFA5CC">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1）服务范围：涵盖本项目规划红线范围内全部区域的工程地质勘察、水文地质勘察、不良地质勘察及岩土工程评价等工作，包括但不限于查明区域内岩土体分布、性质、承载力，地下水分布、水位、水质，不良地质（如滑坡、崩塌、泥石流等）分布及危害程度，为项目设计、施工提供详细、准确的勘察资料。 </w:t>
      </w:r>
    </w:p>
    <w:p w14:paraId="4BB47BD4">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（2）服务标准及技术要求 </w:t>
      </w:r>
    </w:p>
    <w:p w14:paraId="53B00610">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①严格遵循《岩土工程勘察规范》（GB50021-2001，2009年版）、《建筑地基基础设计规范》（GB50007-2011）、《工程地质勘察规范》等国家、行业现行标准及规范，结合本项目城市更新特点，针对性开展勘察工作。 </w:t>
      </w:r>
    </w:p>
    <w:p w14:paraId="3AC71452">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②勘察等级：根据项目规模、场地条件及工程性质，确保勘察深度及精度满足可研、设计及施工要求。 </w:t>
      </w:r>
    </w:p>
    <w:p w14:paraId="5BE7DD4B">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③勘察工作量：根据项目实际情况，合理布设勘察钻孔（包括控制性钻孔、一般性钻孔），钻孔深度、间距须符合规范要求及项目实际需求，确保能够全面查明场地工程地质及水文地质条件；岩土物理力学性质试验组数须满足规范要求，确保试验数据准确可靠。 </w:t>
      </w:r>
    </w:p>
    <w:p w14:paraId="2B126D9B">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④不良地质勘察：重点查明项目区域内不良地质的分布范围、形态、成因及发展趋势，评估其对项目建设的影响，提出针对性的防治建议及措施，确保项目建设安全。 </w:t>
      </w:r>
    </w:p>
    <w:p w14:paraId="2607AFD1">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⑤水文地质勘察：查明地下水类型、分布、水位变化规律、水质情况，评价地下水对建筑物、构筑物及施工的影响，提出地下水控制、治理的建议及方案。 </w:t>
      </w:r>
    </w:p>
    <w:p w14:paraId="2E6A6CC5">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（3）成果要求 </w:t>
      </w:r>
    </w:p>
    <w:p w14:paraId="28217A25">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①勘察成果报告：</w:t>
      </w:r>
      <w:r>
        <w:rPr>
          <w:rFonts w:hint="eastAsia" w:asciiTheme="minorEastAsia" w:hAnsiTheme="minorEastAsia"/>
          <w:sz w:val="24"/>
          <w:highlight w:val="none"/>
          <w:lang w:val="en-US" w:eastAsia="zh-CN"/>
        </w:rPr>
        <w:t>编制完整的勘察报告，</w:t>
      </w:r>
      <w:r>
        <w:rPr>
          <w:rFonts w:hint="eastAsia" w:asciiTheme="minorEastAsia" w:hAnsiTheme="minorEastAsia"/>
          <w:sz w:val="24"/>
          <w:lang w:val="en-US" w:eastAsia="zh-CN"/>
        </w:rPr>
        <w:t xml:space="preserve">包括但不限于工程概况、勘察目的、勘察方法、场地工程地质条件、水文地质条件、不良地质评价、岩土工程评价、结论及建议等内容，报告须规范、完整、数据准确，具有可操作性，不少于8份 （纸质版）。 </w:t>
      </w:r>
    </w:p>
    <w:p w14:paraId="2045FA48">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②附件资料：包括勘察钻孔柱状图、岩土试验报告、地下水水位观测记录、不良地质勘察照片及说明、勘察点位平面图等，纸质版不少于4份，电子版不少于2份。 </w:t>
      </w:r>
    </w:p>
    <w:p w14:paraId="43F82821">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③成果验收：勘察成果须通过采购人组织的验收，同时配合采购人完成相关部门的审核，若成果不符合要求，投标人须无偿进行补充勘察、修改报告，直至验收合格；施工阶段，投标人须配合采购人及施工单位，提供勘察技术交底、现场指导等后续服务，及时解决施工中出现的勘察相关问题。 </w:t>
      </w:r>
    </w:p>
    <w:p w14:paraId="5C8CC841">
      <w:pPr>
        <w:adjustRightInd w:val="0"/>
        <w:snapToGrid w:val="0"/>
        <w:spacing w:line="360" w:lineRule="auto"/>
        <w:ind w:firstLine="480" w:firstLineChars="200"/>
        <w:rPr>
          <w:rFonts w:hint="eastAsia" w:asciiTheme="minorEastAsia" w:hAnsiTheme="minorEastAsia"/>
          <w:b/>
          <w:bCs/>
          <w:sz w:val="24"/>
          <w:lang w:val="en-US" w:eastAsia="zh-CN"/>
        </w:rPr>
      </w:pPr>
      <w:r>
        <w:rPr>
          <w:rFonts w:hint="eastAsia" w:asciiTheme="minorEastAsia" w:hAnsiTheme="minorEastAsia"/>
          <w:b/>
          <w:bCs/>
          <w:sz w:val="24"/>
          <w:lang w:val="en-US" w:eastAsia="zh-CN"/>
        </w:rPr>
        <w:t xml:space="preserve">2.地形测绘服务 </w:t>
      </w:r>
    </w:p>
    <w:p w14:paraId="6B3C837F">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1）服务范围：覆盖建峰片区城市更新项目规划红线范围内全部区域，包括但不限于区域内现状地形、地貌、建筑、构筑物、道路、管线、植被、水系等全部地上、地下（浅层）附着物及地形要素的测绘工作，具体范围以采购人提供的规划红线图及现场交底为准。 </w:t>
      </w:r>
    </w:p>
    <w:p w14:paraId="323C5681">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（2）服务标准及技术要求 </w:t>
      </w:r>
    </w:p>
    <w:p w14:paraId="7D828893">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①严格遵循《国家基本比例尺地形图测绘规范》（GB/T12323-2022）、《全球导航卫星系统（GNSS）测量规范》（GB/T18314-2021）、《数字测绘成果质量检查与验收》（GB/T18316-2022）、《测绘作业人员安全规范》（CH/T4016-2019）等国家、行业现行标准及规范。 </w:t>
      </w:r>
    </w:p>
    <w:p w14:paraId="30FA5031">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②测绘比例尺：采用1:500比例尺，若采购人有特殊要求，按采购人要求调整；平面坐标采用2000国家大地坐标系（CGCS2000），高程基准采用1985国家高程基准。 </w:t>
      </w:r>
    </w:p>
    <w:p w14:paraId="13AC8553">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③精度要求：地物点平面位置中误差≤0.15m，高程中误差≤0.07m，符合1:500地形图 </w:t>
      </w:r>
    </w:p>
    <w:p w14:paraId="4D742CFE">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测绘精度标准；测绘数据须准确无误，地形要素完整，无遗漏、无错测，能够真实反映项目区域现状地形地貌及附着物情况。 </w:t>
      </w:r>
    </w:p>
    <w:p w14:paraId="39CCF7E7">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④测绘方法：结合项目区域实际情况，采用全站仪极坐标法、GNSSRTK、无人机航测等适宜的测绘方法，对建筑物密集区域采用全站仪补测，开阔区域采用无人机航测，确保测绘效率及精度；测区踏勘需调查地形、交通条件、现有控制点分布及障碍物情况，形成《测区踏勘报告》。 </w:t>
      </w:r>
    </w:p>
    <w:p w14:paraId="531B5C89">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（3）成果要求 </w:t>
      </w:r>
    </w:p>
    <w:p w14:paraId="31D7692B">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①纸质成果：1:500地形测绘图（装订成册），不少于4份，标注清晰、规范，包含必要的图例、比例尺、坐标系统、高程基准等信息。 </w:t>
      </w:r>
    </w:p>
    <w:p w14:paraId="6FB0C239">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②电子成果：包括但不限于DWG格式地形图、SHP格式矢量数据、DOM正射影像、测绘数据库（符合GIS平台兼容性要求）、测绘成果说明文档、控制点成果及检定证书复印件等，电子成果须存储在U盘或光盘中，不少于2份，确保数据可编辑、可查阅。 </w:t>
      </w:r>
    </w:p>
    <w:p w14:paraId="788072B0">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③成果验收：测绘成果须通过采购人组织的验收，同时配合采购人完成相关部门的成果审核，若成果不符合要求，投标人须无偿进行修改、补测，直至验收合格。 </w:t>
      </w:r>
    </w:p>
    <w:p w14:paraId="2E880D6B">
      <w:pPr>
        <w:adjustRightInd w:val="0"/>
        <w:snapToGrid w:val="0"/>
        <w:spacing w:line="360" w:lineRule="auto"/>
        <w:ind w:firstLine="480" w:firstLineChars="200"/>
        <w:rPr>
          <w:rFonts w:hint="eastAsia" w:asciiTheme="minorEastAsia" w:hAnsiTheme="minorEastAsia"/>
          <w:b/>
          <w:bCs/>
          <w:sz w:val="24"/>
          <w:lang w:val="en-US" w:eastAsia="zh-CN"/>
        </w:rPr>
      </w:pPr>
      <w:r>
        <w:rPr>
          <w:rFonts w:hint="eastAsia" w:asciiTheme="minorEastAsia" w:hAnsiTheme="minorEastAsia"/>
          <w:b/>
          <w:bCs/>
          <w:sz w:val="24"/>
          <w:lang w:val="en-US" w:eastAsia="zh-CN"/>
        </w:rPr>
        <w:t xml:space="preserve">3.方案设计、初步设计及施工图设计服务 </w:t>
      </w:r>
    </w:p>
    <w:p w14:paraId="2AB00370">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1）服务范围：结合本项目可研报告、地形测绘及勘察成果，开展方案设计、初步设计及施工图设计全流程服务，包括但不限于项目总平面设计、园林设计、结构设计、给排水设计、供电设计、燃气设计、绿化设计、消防设计、无障碍设计等，涵盖项目全部建设内容的设计工作，确保设计成果符合项目需求及相关规范，能够直接用于施工。 </w:t>
      </w:r>
    </w:p>
    <w:p w14:paraId="0AF75671">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（2）服务标准及技术要求 </w:t>
      </w:r>
    </w:p>
    <w:p w14:paraId="637140BE">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①严格遵循《建筑工程设计文件编制深度规定》《城市更新规划技术指南》及建筑、结构、给排水、供电、消防等相关国家、行业及地方现行标准、规范、规程，确保设计成果合法、合规、安全、适用、经济、美观。 </w:t>
      </w:r>
    </w:p>
    <w:p w14:paraId="57C380DF">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②方案设计：结合项目可研报告及城市更新定位，提出2-3套合理的方案设计，明确项目总平面布局、建筑风格、功能分区、交通组织、绿化景观等核心内容，方案须符合城市规划、环保、消防等要求，充分考虑项目区域现状及居民需求，具有创新性及可行性；方案设计须包含设计说明、总平面图、主要建筑立面图、剖面图、效果图等。 </w:t>
      </w:r>
    </w:p>
    <w:p w14:paraId="50C384AD">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③初步设计：在确定的方案设计基础上，开展初步设计工作，深化设计内容，明确各专业设计参数、技术标准、材料选型等，编制初步设计说明书、初步设计图纸、投资概算等；初步设计深度须满足《建筑工程设计文件编制深度规定》要求，能够作为施工图设计的依据，同时满足项目审批、概算审批要求；投资概算须准确、全面，与可研报告投资估算衔接一致，控制在批准的投资估算范围内。 </w:t>
      </w:r>
    </w:p>
    <w:p w14:paraId="591C51DA">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④施工图设计：在初步设计审批通过后，开展施工图设计工作，进一步深化各专业设计，编制完整的施工图设计文件，包括但不限于设计说明、各专业施工图纸、节点详图、工程量清单、设计交底文件等；施工图设计深度须满足施工要求，确保图纸准确、规范、完整，无错漏、无矛盾，能够直接指导施工；施工图设计须符合消防、人防、环保、无障碍等相关规范要求，通过相关部门的审查。 </w:t>
      </w:r>
    </w:p>
    <w:p w14:paraId="670F6150">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⑤设计衔接：各阶段设计工作须衔接顺畅，方案设计、初步设计、施工图设计之间数据一致、内容连贯，同时结合地形测绘、勘察成果，充分考虑场地工程地质、水文地质条件，避免设计与现场实际脱节；设计过程中，须主动与采购人、勘察单位、施工单位沟通，及时调整优化设计方案。 </w:t>
      </w:r>
    </w:p>
    <w:p w14:paraId="72C36FF9">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⑥设计优化：在设计过程中，须结合项目实际情况及市场需求，对设计方案、技术参数进行优化，在保证设计质量及使用功能的前提下，降低工程造价，提高项目性价比；严格控制设计变更，若确需变更，须按规定程序报批，并提供变更说明及相关支撑材料。 </w:t>
      </w:r>
    </w:p>
    <w:p w14:paraId="5C55A364">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（3）成果要求 </w:t>
      </w:r>
    </w:p>
    <w:p w14:paraId="7505A99A">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①方案设计成果：包括方案设计说明书、总平面图、主要剖面图、效果图、设计说明及相关分析图表等，纸质版不少于4份，电子版不少于2份；方案设计须通过采购人组织的评审，投标人须根据评审意见无偿修改、完善，直至确定最终方案。 </w:t>
      </w:r>
    </w:p>
    <w:p w14:paraId="793FB90B">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②初步设计成果：包括初步设计说明书、初步设计图纸、投资概算书、设计计算书等，纸质版不少于8份，电子版不少于2份；初步设计须通过采购人及相关部门审批，投标人须根据审批意见无偿修改、完善，直至审批通过。 </w:t>
      </w:r>
    </w:p>
    <w:p w14:paraId="42AD1C48">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③施工图设计成果：包括施工图设计说明书、各专业施工图纸（装订成册）、节点详图、工程量清单、设计交底文件、设计计算书等，纸质版不少于8份（需加盖单位出图章、注册师执业印章），电子版不少于2份（CAD图纸、PDF格式及可编辑格式）；施工图设计须通过相关部门审查，投标人须配合审查工作，根据审查意见无偿修改、完善，直至审查合格。 </w:t>
      </w:r>
    </w:p>
    <w:p w14:paraId="5C80D098">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④后续服务：施工阶段，投标人须提供设计交底、现场指导、设计变更、竣工验收等后续服务，及时解决施工中出现的设计相关问题；配合采购人完成项目竣工验收，提供必要的设计技术支持，确保项目顺利竣工。</w:t>
      </w:r>
    </w:p>
    <w:p w14:paraId="0A277D38">
      <w:pPr>
        <w:adjustRightInd w:val="0"/>
        <w:snapToGrid w:val="0"/>
        <w:spacing w:line="360" w:lineRule="auto"/>
        <w:ind w:firstLine="480" w:firstLineChars="200"/>
        <w:rPr>
          <w:rFonts w:hint="eastAsia" w:asciiTheme="minorEastAsia" w:hAnsiTheme="minorEastAsia"/>
          <w:b/>
          <w:bCs/>
          <w:sz w:val="24"/>
          <w:lang w:val="en-US" w:eastAsia="zh-CN"/>
        </w:rPr>
      </w:pPr>
      <w:r>
        <w:rPr>
          <w:rFonts w:hint="eastAsia" w:asciiTheme="minorEastAsia" w:hAnsiTheme="minorEastAsia"/>
          <w:b/>
          <w:bCs/>
          <w:sz w:val="24"/>
          <w:lang w:val="en-US" w:eastAsia="zh-CN"/>
        </w:rPr>
        <w:t xml:space="preserve">4. 成本控制及设计要求 </w:t>
      </w:r>
    </w:p>
    <w:p w14:paraId="53D54608">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设计单位需确保提交设计成果控制在项目总体控制价范围内，超出部分需进行优华。 </w:t>
      </w:r>
    </w:p>
    <w:p w14:paraId="17C11216">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设计图纸内容和深度应同时满足政府职能部门对各设计阶段图纸的深度要求、《建筑工程设计文件编制深度规定》深度要求以及政府部门对方案、初步设计、施工图的设计要求，设计单位提交图纸同时需提供各专业计算书、结构计算模型，图纸电子档需包含CAD及PDF格式。在不同的报建、设计、施工阶段，设计单位应根据采购人要求安排相应专业设计人员积极配合相关工作。采购人组织的相关专业技术类会议设计单位需安排人员参加。 </w:t>
      </w:r>
    </w:p>
    <w:p w14:paraId="33A7955C">
      <w:pPr>
        <w:adjustRightInd w:val="0"/>
        <w:snapToGrid w:val="0"/>
        <w:spacing w:line="360" w:lineRule="auto"/>
        <w:ind w:firstLine="480" w:firstLineChars="200"/>
        <w:rPr>
          <w:rFonts w:hint="eastAsia" w:asciiTheme="minorEastAsia" w:hAnsiTheme="minorEastAsia"/>
          <w:b/>
          <w:bCs/>
          <w:sz w:val="24"/>
          <w:lang w:val="en-US" w:eastAsia="zh-CN"/>
        </w:rPr>
      </w:pPr>
      <w:r>
        <w:rPr>
          <w:rFonts w:hint="eastAsia" w:asciiTheme="minorEastAsia" w:hAnsiTheme="minorEastAsia"/>
          <w:b/>
          <w:bCs/>
          <w:sz w:val="24"/>
          <w:lang w:val="en-US" w:eastAsia="zh-CN"/>
        </w:rPr>
        <w:t xml:space="preserve">5. 设计成果要求 </w:t>
      </w:r>
    </w:p>
    <w:p w14:paraId="2FD9EE2A">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方案设计、初步设计及概算、施工图各阶段设计成果应满足国家及地方现行有关规范、规定的要求，及深度除满足国家建设部《建筑工程设计文件编制深度的规定》中有关的要求外，且设计成果必须保证完整性和准确性，并应取得符合性审查单位的批复。 </w:t>
      </w:r>
    </w:p>
    <w:p w14:paraId="345C84A0">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注:(1)本项目在设计过程中必须满足国家及地方有关规范、规定，江西省、吉安市颁布的相关要求及标准。 </w:t>
      </w:r>
    </w:p>
    <w:p w14:paraId="77730DF4">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(2)设计任务书中内容若与当地标准或习惯做法相冲突时，设计人员应以书面形式及时反馈意见，与采购人共同协商确认。</w:t>
      </w:r>
    </w:p>
    <w:p w14:paraId="52887CA2">
      <w:pPr>
        <w:adjustRightInd w:val="0"/>
        <w:snapToGrid w:val="0"/>
        <w:spacing w:line="360" w:lineRule="auto"/>
        <w:ind w:firstLine="480" w:firstLineChars="200"/>
        <w:rPr>
          <w:rFonts w:hint="eastAsia" w:asciiTheme="minorEastAsia" w:hAnsiTheme="minorEastAsia"/>
          <w:b/>
          <w:bCs/>
          <w:sz w:val="24"/>
          <w:lang w:val="en-US" w:eastAsia="zh-CN"/>
        </w:rPr>
      </w:pPr>
      <w:r>
        <w:rPr>
          <w:rFonts w:hint="eastAsia" w:asciiTheme="minorEastAsia" w:hAnsiTheme="minorEastAsia"/>
          <w:b/>
          <w:bCs/>
          <w:sz w:val="24"/>
          <w:lang w:val="en-US" w:eastAsia="zh-CN"/>
        </w:rPr>
        <w:t xml:space="preserve">二、商务要求 </w:t>
      </w:r>
    </w:p>
    <w:p w14:paraId="2333C89F">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firstLine="480" w:firstLineChars="200"/>
        <w:textAlignment w:val="baseline"/>
        <w:rPr>
          <w:rFonts w:hint="eastAsia" w:asciiTheme="minorEastAsia" w:hAnsiTheme="minorEastAsia"/>
          <w:sz w:val="24"/>
          <w:highlight w:val="none"/>
          <w:lang w:val="en-US" w:eastAsia="zh-CN"/>
        </w:rPr>
      </w:pPr>
      <w:r>
        <w:rPr>
          <w:rFonts w:hint="eastAsia" w:asciiTheme="minorEastAsia" w:hAnsiTheme="minorEastAsia"/>
          <w:sz w:val="24"/>
          <w:highlight w:val="none"/>
          <w:lang w:val="en-US" w:eastAsia="zh-CN"/>
        </w:rPr>
        <w:t xml:space="preserve">1、付款方式：初步设计通过评审后支付合同价款的30%，施工图设计完成并通过审查后支付合同价款的40%，项目竣工验收后支付合同价款的30%（不计息）。 </w:t>
      </w:r>
      <w:r>
        <w:rPr>
          <w:rFonts w:hint="eastAsia" w:ascii="宋体" w:hAnsi="宋体" w:eastAsia="宋体" w:cs="宋体"/>
          <w:color w:val="auto"/>
          <w:spacing w:val="0"/>
          <w:position w:val="0"/>
          <w:sz w:val="24"/>
          <w:szCs w:val="24"/>
          <w:highlight w:val="none"/>
          <w:lang w:val="en-US" w:eastAsia="zh-CN"/>
        </w:rPr>
        <w:t>（具体以签订合同为准）</w:t>
      </w:r>
    </w:p>
    <w:p w14:paraId="5F5C6F0B">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2、服务地点：采购人指定地点。 </w:t>
      </w:r>
    </w:p>
    <w:p w14:paraId="6213C3FE">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firstLine="480" w:firstLineChars="200"/>
        <w:textAlignment w:val="baseline"/>
        <w:rPr>
          <w:rFonts w:hint="eastAsia" w:asciiTheme="minorEastAsia" w:hAnsiTheme="minorEastAsia"/>
          <w:sz w:val="24"/>
          <w:highlight w:val="none"/>
          <w:lang w:val="en-US" w:eastAsia="zh-CN"/>
        </w:rPr>
      </w:pPr>
      <w:r>
        <w:rPr>
          <w:rFonts w:hint="eastAsia" w:asciiTheme="minorEastAsia" w:hAnsiTheme="minorEastAsia"/>
          <w:sz w:val="24"/>
          <w:highlight w:val="none"/>
          <w:lang w:val="en-US" w:eastAsia="zh-CN"/>
        </w:rPr>
        <w:t>3、服务期：</w:t>
      </w:r>
      <w:r>
        <w:rPr>
          <w:rFonts w:hint="eastAsia" w:ascii="宋体" w:hAnsi="宋体" w:eastAsia="宋体" w:cs="宋体"/>
          <w:color w:val="auto"/>
          <w:spacing w:val="0"/>
          <w:position w:val="0"/>
          <w:sz w:val="24"/>
          <w:szCs w:val="24"/>
          <w:highlight w:val="none"/>
          <w:lang w:val="en-US" w:eastAsia="zh-CN"/>
        </w:rPr>
        <w:t>签订合同之日起</w:t>
      </w:r>
      <w:r>
        <w:rPr>
          <w:rFonts w:hint="eastAsia" w:eastAsia="宋体" w:cs="宋体" w:asciiTheme="minorEastAsia" w:hAnsiTheme="minorEastAsia"/>
          <w:sz w:val="24"/>
          <w:highlight w:val="none"/>
          <w:lang w:val="en-US" w:eastAsia="zh-CN"/>
        </w:rPr>
        <w:t>15</w:t>
      </w:r>
      <w:r>
        <w:rPr>
          <w:rFonts w:hint="eastAsia" w:cs="宋体" w:asciiTheme="minorEastAsia" w:hAnsiTheme="minorEastAsia"/>
          <w:sz w:val="24"/>
          <w:highlight w:val="none"/>
        </w:rPr>
        <w:t>日内</w:t>
      </w:r>
      <w:r>
        <w:rPr>
          <w:rFonts w:hint="eastAsia" w:eastAsia="宋体" w:cs="宋体" w:asciiTheme="minorEastAsia" w:hAnsiTheme="minorEastAsia"/>
          <w:sz w:val="24"/>
          <w:highlight w:val="none"/>
          <w:lang w:val="en-US" w:eastAsia="zh-CN"/>
        </w:rPr>
        <w:t>完成</w:t>
      </w:r>
      <w:r>
        <w:rPr>
          <w:rFonts w:hint="eastAsia" w:eastAsia="宋体" w:cs="Times New Roman" w:asciiTheme="minorEastAsia" w:hAnsiTheme="minorEastAsia"/>
          <w:snapToGrid w:val="0"/>
          <w:color w:val="000000"/>
          <w:kern w:val="0"/>
          <w:sz w:val="24"/>
          <w:szCs w:val="21"/>
          <w:highlight w:val="none"/>
          <w:lang w:val="en-US" w:eastAsia="zh-CN" w:bidi="ar-SA"/>
        </w:rPr>
        <w:t>施工图设计</w:t>
      </w:r>
      <w:r>
        <w:rPr>
          <w:rFonts w:hint="eastAsia" w:eastAsia="宋体" w:cs="宋体" w:asciiTheme="minorEastAsia" w:hAnsiTheme="minorEastAsia"/>
          <w:sz w:val="24"/>
          <w:highlight w:val="none"/>
          <w:lang w:eastAsia="zh-CN"/>
        </w:rPr>
        <w:t>，</w:t>
      </w:r>
      <w:r>
        <w:rPr>
          <w:rFonts w:hint="eastAsia" w:cs="宋体" w:asciiTheme="minorEastAsia" w:hAnsiTheme="minorEastAsia"/>
          <w:sz w:val="24"/>
          <w:highlight w:val="none"/>
        </w:rPr>
        <w:t>根据</w:t>
      </w:r>
      <w:r>
        <w:rPr>
          <w:rFonts w:hint="eastAsia" w:eastAsia="宋体" w:cs="宋体" w:asciiTheme="minorEastAsia" w:hAnsiTheme="minorEastAsia"/>
          <w:sz w:val="24"/>
          <w:highlight w:val="none"/>
          <w:lang w:val="en-US" w:eastAsia="zh-CN"/>
        </w:rPr>
        <w:t>项目施工期间</w:t>
      </w:r>
      <w:r>
        <w:rPr>
          <w:rFonts w:hint="eastAsia" w:cs="宋体" w:asciiTheme="minorEastAsia" w:hAnsiTheme="minorEastAsia"/>
          <w:sz w:val="24"/>
          <w:highlight w:val="none"/>
        </w:rPr>
        <w:t>实际情况按采购人要求</w:t>
      </w:r>
      <w:r>
        <w:rPr>
          <w:rFonts w:hint="eastAsia" w:eastAsia="宋体" w:cs="宋体" w:asciiTheme="minorEastAsia" w:hAnsiTheme="minorEastAsia"/>
          <w:sz w:val="24"/>
          <w:highlight w:val="none"/>
          <w:lang w:val="en-US" w:eastAsia="zh-CN"/>
        </w:rPr>
        <w:t>进行跟</w:t>
      </w:r>
      <w:r>
        <w:rPr>
          <w:rFonts w:hint="eastAsia" w:ascii="宋体" w:hAnsi="宋体" w:eastAsia="宋体" w:cs="宋体"/>
          <w:color w:val="auto"/>
          <w:spacing w:val="0"/>
          <w:position w:val="0"/>
          <w:sz w:val="24"/>
          <w:szCs w:val="24"/>
          <w:highlight w:val="none"/>
          <w:lang w:val="en-US" w:eastAsia="zh-CN"/>
        </w:rPr>
        <w:t>踪施工至竣工阶段全过程设计技术服务及后续现场配合服务等。（具体以签订合同为准）</w:t>
      </w:r>
    </w:p>
    <w:p w14:paraId="2E36D92F">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4、人员配置要求： </w:t>
      </w:r>
    </w:p>
    <w:p w14:paraId="787D5293">
      <w:pPr>
        <w:adjustRightInd w:val="0"/>
        <w:snapToGrid w:val="0"/>
        <w:spacing w:line="360" w:lineRule="auto"/>
        <w:ind w:firstLine="480" w:firstLineChars="200"/>
        <w:rPr>
          <w:rFonts w:hint="eastAsia" w:asciiTheme="minorEastAsia" w:hAnsiTheme="minorEastAsia"/>
          <w:color w:val="auto"/>
          <w:sz w:val="24"/>
          <w:highlight w:val="none"/>
          <w:lang w:val="en-US" w:eastAsia="zh-CN"/>
        </w:rPr>
      </w:pPr>
      <w:r>
        <w:rPr>
          <w:rFonts w:hint="eastAsia" w:asciiTheme="minorEastAsia" w:hAnsiTheme="minorEastAsia"/>
          <w:color w:val="auto"/>
          <w:sz w:val="24"/>
          <w:highlight w:val="none"/>
          <w:lang w:val="en-US" w:eastAsia="zh-CN"/>
        </w:rPr>
        <w:t>4.1、项目负责人1人且具有道路或给排水相关专业中级工程师及以上职称；</w:t>
      </w:r>
    </w:p>
    <w:p w14:paraId="5E468949">
      <w:pPr>
        <w:adjustRightInd w:val="0"/>
        <w:snapToGrid w:val="0"/>
        <w:spacing w:line="360" w:lineRule="auto"/>
        <w:ind w:firstLine="480" w:firstLineChars="200"/>
        <w:rPr>
          <w:rFonts w:hint="eastAsia" w:asciiTheme="minorEastAsia" w:hAnsiTheme="minorEastAsia"/>
          <w:color w:val="auto"/>
          <w:sz w:val="24"/>
          <w:highlight w:val="none"/>
          <w:lang w:val="en-US" w:eastAsia="zh-CN"/>
        </w:rPr>
      </w:pPr>
      <w:r>
        <w:rPr>
          <w:rFonts w:hint="eastAsia" w:asciiTheme="minorEastAsia" w:hAnsiTheme="minorEastAsia"/>
          <w:color w:val="auto"/>
          <w:sz w:val="24"/>
          <w:highlight w:val="none"/>
          <w:lang w:val="en-US" w:eastAsia="zh-CN"/>
        </w:rPr>
        <w:t>4.2、技术负责人1人且具有建筑设计相关专业中级及以上职称；</w:t>
      </w:r>
    </w:p>
    <w:p w14:paraId="370FB59D">
      <w:pPr>
        <w:adjustRightInd w:val="0"/>
        <w:snapToGrid w:val="0"/>
        <w:spacing w:line="360" w:lineRule="auto"/>
        <w:ind w:firstLine="480" w:firstLineChars="200"/>
        <w:rPr>
          <w:rFonts w:hint="eastAsia" w:asciiTheme="minorEastAsia" w:hAnsiTheme="minorEastAsia"/>
          <w:color w:val="auto"/>
          <w:sz w:val="24"/>
          <w:highlight w:val="none"/>
          <w:lang w:val="en-US" w:eastAsia="zh-CN"/>
        </w:rPr>
      </w:pPr>
      <w:r>
        <w:rPr>
          <w:rFonts w:hint="eastAsia" w:asciiTheme="minorEastAsia" w:hAnsiTheme="minorEastAsia"/>
          <w:color w:val="auto"/>
          <w:sz w:val="24"/>
          <w:highlight w:val="none"/>
          <w:lang w:val="en-US" w:eastAsia="zh-CN"/>
        </w:rPr>
        <w:t>4.3、其他团队人员（不含项目负责人、技术负责人）不低于7人。</w:t>
      </w:r>
    </w:p>
    <w:p w14:paraId="67771684">
      <w:pPr>
        <w:adjustRightInd w:val="0"/>
        <w:snapToGrid w:val="0"/>
        <w:spacing w:line="360" w:lineRule="auto"/>
        <w:ind w:firstLine="480" w:firstLineChars="200"/>
        <w:rPr>
          <w:rFonts w:hint="eastAsia" w:asciiTheme="minorEastAsia" w:hAnsiTheme="minorEastAsia"/>
          <w:b w:val="0"/>
          <w:bCs w:val="0"/>
          <w:color w:val="auto"/>
          <w:sz w:val="24"/>
          <w:highlight w:val="none"/>
          <w:lang w:val="en-US" w:eastAsia="zh-CN"/>
        </w:rPr>
      </w:pPr>
      <w:r>
        <w:rPr>
          <w:rFonts w:hint="eastAsia" w:asciiTheme="minorEastAsia" w:hAnsiTheme="minorEastAsia"/>
          <w:color w:val="auto"/>
          <w:sz w:val="24"/>
          <w:highlight w:val="none"/>
          <w:lang w:val="en-US" w:eastAsia="zh-CN"/>
        </w:rPr>
        <w:t>其中设计专业5人具有中级工程师及以上职称或与设计相关注册资格证书，包含且不限于园林景观、结构、电气、给排水、道路等设计专业。另勘察专业人员1人，</w:t>
      </w:r>
      <w:r>
        <w:rPr>
          <w:rFonts w:hint="eastAsia" w:ascii="宋体" w:hAnsi="宋体"/>
          <w:b w:val="0"/>
          <w:bCs w:val="0"/>
          <w:color w:val="auto"/>
          <w:sz w:val="24"/>
          <w:highlight w:val="none"/>
          <w:lang w:val="en-US" w:eastAsia="zh-CN"/>
        </w:rPr>
        <w:t>具有注册岩土工程师证书</w:t>
      </w:r>
      <w:r>
        <w:rPr>
          <w:rFonts w:hint="eastAsia" w:asciiTheme="minorEastAsia" w:hAnsiTheme="minorEastAsia"/>
          <w:b w:val="0"/>
          <w:bCs w:val="0"/>
          <w:color w:val="auto"/>
          <w:sz w:val="24"/>
          <w:highlight w:val="none"/>
          <w:lang w:val="en-US" w:eastAsia="zh-CN"/>
        </w:rPr>
        <w:t>；造价专业人员1人，具有造价相关专业中级及以上职称或注册资格证书</w:t>
      </w:r>
    </w:p>
    <w:p w14:paraId="7AAE4605">
      <w:pPr>
        <w:adjustRightInd w:val="0"/>
        <w:snapToGrid w:val="0"/>
        <w:spacing w:line="360" w:lineRule="auto"/>
        <w:ind w:firstLine="480" w:firstLineChars="200"/>
        <w:rPr>
          <w:rFonts w:hint="eastAsia" w:asciiTheme="minorEastAsia" w:hAnsiTheme="minorEastAsia"/>
          <w:color w:val="auto"/>
          <w:sz w:val="24"/>
          <w:highlight w:val="none"/>
          <w:lang w:val="en-US" w:eastAsia="zh-CN"/>
        </w:rPr>
      </w:pPr>
      <w:r>
        <w:rPr>
          <w:rFonts w:hint="eastAsia" w:asciiTheme="minorEastAsia" w:hAnsiTheme="minorEastAsia"/>
          <w:b w:val="0"/>
          <w:bCs w:val="0"/>
          <w:color w:val="auto"/>
          <w:sz w:val="24"/>
          <w:highlight w:val="none"/>
          <w:lang w:val="en-US" w:eastAsia="zh-CN"/>
        </w:rPr>
        <w:t>（以上各专业人员不得兼任，并分别提供身份证、</w:t>
      </w:r>
      <w:r>
        <w:rPr>
          <w:rFonts w:hint="eastAsia" w:ascii="宋体" w:hAnsi="宋体"/>
          <w:b w:val="0"/>
          <w:bCs w:val="0"/>
          <w:color w:val="auto"/>
          <w:sz w:val="24"/>
          <w:highlight w:val="none"/>
          <w:lang w:val="en-US" w:eastAsia="zh-CN"/>
        </w:rPr>
        <w:t>职称证书（或注册证书）</w:t>
      </w:r>
      <w:r>
        <w:rPr>
          <w:rFonts w:hint="eastAsia" w:asciiTheme="minorEastAsia" w:hAnsiTheme="minorEastAsia"/>
          <w:b w:val="0"/>
          <w:bCs w:val="0"/>
          <w:color w:val="auto"/>
          <w:sz w:val="24"/>
          <w:highlight w:val="none"/>
          <w:lang w:val="en-US" w:eastAsia="zh-CN"/>
        </w:rPr>
        <w:t>、</w:t>
      </w:r>
      <w:r>
        <w:rPr>
          <w:rFonts w:hint="eastAsia" w:asciiTheme="minorEastAsia" w:hAnsiTheme="minorEastAsia"/>
          <w:color w:val="auto"/>
          <w:sz w:val="24"/>
          <w:highlight w:val="none"/>
          <w:lang w:val="en-US" w:eastAsia="zh-CN"/>
        </w:rPr>
        <w:t xml:space="preserve">开标前近六个月任意一个月（不含开标当月）为其缴纳的社保证明材料复印件加盖公章）。  </w:t>
      </w:r>
    </w:p>
    <w:p w14:paraId="1C3867D1">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5、设计单位应按时提交设计工作成果，因采购人变更方案、设计变更、图纸会审及技术交底、现场复核检查等情况需在8小时内派人员到场解决，并按采购人要求的相应时间完成( 除重大变更外，72 小时内必须提交书面成果)。 </w:t>
      </w:r>
    </w:p>
    <w:p w14:paraId="6538FE46">
      <w:pPr>
        <w:adjustRightInd w:val="0"/>
        <w:snapToGrid w:val="0"/>
        <w:spacing w:line="360" w:lineRule="auto"/>
        <w:ind w:firstLine="480" w:firstLineChars="200"/>
        <w:rPr>
          <w:rFonts w:hint="eastAsia" w:asciiTheme="minorEastAsia" w:hAnsiTheme="minorEastAsia"/>
          <w:b/>
          <w:bCs/>
          <w:sz w:val="24"/>
          <w:highlight w:val="none"/>
          <w:lang w:val="en-US" w:eastAsia="zh-CN"/>
        </w:rPr>
      </w:pPr>
      <w:r>
        <w:rPr>
          <w:rFonts w:hint="eastAsia" w:asciiTheme="minorEastAsia" w:hAnsiTheme="minorEastAsia"/>
          <w:b/>
          <w:bCs/>
          <w:sz w:val="24"/>
          <w:highlight w:val="none"/>
          <w:lang w:val="en-US" w:eastAsia="zh-CN"/>
        </w:rPr>
        <w:t xml:space="preserve">6、中标后中标方需派遣2名（其中1名为道路专业、1名为给排水专业）中级职称及以上的设计人员在项目实施地驻场至项目实施完工，期间产生的所有费用由中标方自理（提供承诺函，格式自拟）。 </w:t>
      </w:r>
    </w:p>
    <w:p w14:paraId="169111CF">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7、签订合同之日起按采购人要求完成规划方案设计、县规委会审核通过、完成初步设计和施工图设计，配合完成相关图审及图纸修改工作；配合现场施工，包括但不限于图纸交底、现场问题处理、新增事项设计变更等，直至项目竣工。 </w:t>
      </w:r>
    </w:p>
    <w:p w14:paraId="0CA1905D">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8、履约验收：服务商完成成果报告后，采购人组织对成果文件验收，由采购人或由采购人聘请行业内专家根据国家规定现行的规范、标准、合同、磋商文件、投标文件通过相关主管部门审查，满足施工要求等验收。 </w:t>
      </w:r>
    </w:p>
    <w:p w14:paraId="04DE75CB">
      <w:pPr>
        <w:adjustRightInd w:val="0"/>
        <w:snapToGrid w:val="0"/>
        <w:spacing w:line="360" w:lineRule="auto"/>
        <w:ind w:firstLine="480" w:firstLineChars="200"/>
        <w:rPr>
          <w:rFonts w:hint="eastAsia" w:asciiTheme="minorEastAsia" w:hAnsiTheme="minorEastAsia"/>
          <w:b/>
          <w:bCs/>
          <w:sz w:val="24"/>
          <w:highlight w:val="none"/>
          <w:lang w:val="en-US" w:eastAsia="zh-CN"/>
        </w:rPr>
      </w:pPr>
      <w:r>
        <w:rPr>
          <w:rFonts w:hint="eastAsia" w:asciiTheme="minorEastAsia" w:hAnsiTheme="minorEastAsia"/>
          <w:b/>
          <w:bCs/>
          <w:sz w:val="24"/>
          <w:highlight w:val="none"/>
          <w:lang w:val="en-US" w:eastAsia="zh-CN"/>
        </w:rPr>
        <w:t xml:space="preserve">(1) 服务商完成成果验收时，拟派本项目的项目负责人、道路专业负责人、给排水专业负责人、建筑专业负责人、勘察专业负责人每次验收必须到场参与验收，如未按采购人要求到场将扣除合同价款的20%（提供承诺函，格式自拟）。 </w:t>
      </w:r>
    </w:p>
    <w:p w14:paraId="1E785A64">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(2)在规定时间保质保量完成采购人交给的任务。 </w:t>
      </w:r>
    </w:p>
    <w:p w14:paraId="15719696">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(3)严格遵守采购人的所有的规定、制度，不给采购人造成经济和信誉的损失。 </w:t>
      </w:r>
    </w:p>
    <w:p w14:paraId="58D9C7E4">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(4)项目的执行能够达到采购人所要求的预期目标。 </w:t>
      </w:r>
    </w:p>
    <w:p w14:paraId="26BC8C55">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9、违约责任：中标人如未按规定的时间内完成全部招标服务事项（除不可抗力外），采购人可要求中标人支付违约金，按合同价款每日万分之五计算收取违约金，违约金达到合同价款千分之五时，采购人有权解除合同及没收履约保证金并承担发生和可能发生的一切损失、费用和法律责任。 </w:t>
      </w:r>
    </w:p>
    <w:p w14:paraId="7D722320">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10、如果成交服务商没有按照采购文件规定的时间完成本项目，采购人依据相关法律法规的规定可以解除合同，因此产生的一切损失由成交服务商自行承担，并承担相应的法律责任。 </w:t>
      </w:r>
    </w:p>
    <w:p w14:paraId="5FD76D44">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11、成交服务商应保证采购人在使用其成果或其任何一部分时不受第三方提出侵犯其专利权、商标权的起诉。如果任何第三方提出侵权指控或赔偿要求，成交服务商必须与第三方交涉，并承担发生和可能发生的一切损失、费用和法律责任。项目结束完成，该项目相关知识产权归采购人所有。 </w:t>
      </w:r>
    </w:p>
    <w:p w14:paraId="0354F668">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12、报价中必须包含完成本项目的所有外业、内业发生的人工费、设备使用费、材料费、交通费、文档和图档的打印、装订及寄送费用、成果编制(前期相关论证及相关成果评审费)、全额含税发票、合同实施过程中的应预见和不可预见费用等完成合同规定责任和义务、达到合同目的的一切费用及企业利润。 </w:t>
      </w:r>
    </w:p>
    <w:p w14:paraId="2AC2BD1A">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13、保密要求:成交服务商在项目实施过程中，对采购人所提供的所有相关资料、数据，未经采购人书面同意不得向任何第三人泄露，且保密责任不因合同的终止或解除而失效。如采购人提出要求，成交服务商须无条件与采购人签定保密协议。项目完成后，成交服务商须把采购人提供的所有资料、数据完整归还采购人，并不得留存任何复制品。 </w:t>
      </w:r>
    </w:p>
    <w:p w14:paraId="2BDAA0F7">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14、成交服务商应加强相应管理，若因成交服务商管理不善或操作不当等原因造成重大事故和损失的，由成交服务商承担责任并负责善后处理。采购人不承担任何法律及经济责任。 </w:t>
      </w:r>
    </w:p>
    <w:p w14:paraId="7C9C53E0">
      <w:pPr>
        <w:adjustRightInd w:val="0"/>
        <w:snapToGrid w:val="0"/>
        <w:spacing w:line="360" w:lineRule="auto"/>
        <w:ind w:firstLine="480" w:firstLineChars="200"/>
        <w:rPr>
          <w:rFonts w:hint="eastAsia" w:asciiTheme="minorEastAsia" w:hAnsiTheme="minorEastAsia"/>
          <w:sz w:val="24"/>
          <w:lang w:val="en-US" w:eastAsia="zh-CN"/>
        </w:rPr>
      </w:pPr>
      <w:r>
        <w:rPr>
          <w:rFonts w:hint="eastAsia" w:asciiTheme="minorEastAsia" w:hAnsiTheme="minorEastAsia"/>
          <w:sz w:val="24"/>
          <w:lang w:val="en-US" w:eastAsia="zh-CN"/>
        </w:rPr>
        <w:t xml:space="preserve">15、未尽事宜，以签订合同为准。 </w:t>
      </w:r>
    </w:p>
    <w:p w14:paraId="3C08D96F">
      <w:pPr>
        <w:adjustRightInd w:val="0"/>
        <w:snapToGrid w:val="0"/>
        <w:spacing w:line="360" w:lineRule="auto"/>
        <w:ind w:firstLine="480" w:firstLineChars="200"/>
        <w:rPr>
          <w:rFonts w:hint="eastAsia" w:asciiTheme="minorEastAsia" w:hAnsiTheme="minorEastAsia"/>
          <w:b/>
          <w:bCs/>
          <w:sz w:val="24"/>
          <w:lang w:val="en-US" w:eastAsia="zh-CN"/>
        </w:rPr>
      </w:pPr>
      <w:r>
        <w:rPr>
          <w:rFonts w:hint="eastAsia" w:asciiTheme="minorEastAsia" w:hAnsiTheme="minorEastAsia"/>
          <w:b/>
          <w:bCs/>
          <w:sz w:val="24"/>
          <w:lang w:val="en-US" w:eastAsia="zh-CN"/>
        </w:rPr>
        <w:t>注：投标人须满足或优于上述条款（项目整体情况需求、商务及其他要求），否则投标无效。</w:t>
      </w:r>
    </w:p>
    <w:p w14:paraId="7FE3210D">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FB66860"/>
    <w:multiLevelType w:val="singleLevel"/>
    <w:tmpl w:val="6FB66860"/>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74F16D7"/>
    <w:rsid w:val="674F16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customStyle="1" w:styleId="6">
    <w:name w:val="BodyText1I2"/>
    <w:basedOn w:val="7"/>
    <w:autoRedefine/>
    <w:qFormat/>
    <w:uiPriority w:val="0"/>
    <w:pPr>
      <w:spacing w:after="120" w:line="240" w:lineRule="auto"/>
      <w:ind w:left="420" w:leftChars="200" w:firstLine="420" w:firstLineChars="200"/>
    </w:pPr>
    <w:rPr>
      <w:rFonts w:ascii="Times New Roman"/>
      <w:sz w:val="21"/>
    </w:rPr>
  </w:style>
  <w:style w:type="paragraph" w:customStyle="1" w:styleId="7">
    <w:name w:val="BodyTextIndent"/>
    <w:basedOn w:val="1"/>
    <w:next w:val="6"/>
    <w:autoRedefine/>
    <w:qFormat/>
    <w:uiPriority w:val="0"/>
    <w:pPr>
      <w:spacing w:line="360" w:lineRule="auto"/>
      <w:ind w:firstLine="480"/>
      <w:textAlignment w:val="baseline"/>
    </w:pPr>
    <w:rPr>
      <w:rFonts w:ascii="宋体" w:hAnsi="宋体" w:eastAsia="仿宋_GB2312"/>
      <w:b/>
      <w:spacing w:val="4"/>
      <w:sz w:val="24"/>
      <w:szCs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2026-05-14T06:27:00Z</dcterms:created>
  <dc:creator>luo</dc:creator>
  <cp:lastModifiedBy>luo</cp:lastModifiedBy>
  <dcterms:modified xsi:type="dcterms:W3CDTF">2026-05-14T06:29:30Z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5087FDDE4F8C49AFBB1BDC5C6E0235F7_11</vt:lpwstr>
  </property>
  <property fmtid="{D5CDD505-2E9C-101B-9397-08002B2CF9AE}" pid="4" name="KSOTemplateDocerSaveRecord">
    <vt:lpwstr>eyJoZGlkIjoiODk0NjgyNzk3N2RlZWY5YjVhODljNjBlZDA4ZDU5YWIiLCJ1c2VySWQiOiIzMjA1MTc3OTMifQ==</vt:lpwstr>
  </property>
</Properties>
</file>