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8F05F">
      <w:pPr>
        <w:widowControl w:val="0"/>
        <w:numPr>
          <w:ilvl w:val="0"/>
          <w:numId w:val="1"/>
        </w:numPr>
        <w:spacing w:before="78" w:line="219" w:lineRule="auto"/>
        <w:rPr>
          <w:rFonts w:ascii="宋体" w:hAnsi="宋体" w:eastAsia="宋体" w:cs="宋体"/>
          <w:color w:val="auto"/>
          <w:spacing w:val="-5"/>
          <w:sz w:val="24"/>
          <w:szCs w:val="24"/>
        </w:rPr>
      </w:pPr>
      <w:r>
        <w:rPr>
          <w:rFonts w:hint="eastAsia" w:ascii="宋体" w:hAnsi="宋体" w:eastAsia="宋体" w:cs="宋体"/>
          <w:color w:val="auto"/>
          <w:spacing w:val="-5"/>
          <w:sz w:val="24"/>
          <w:szCs w:val="24"/>
          <w:lang w:eastAsia="zh-CN"/>
        </w:rPr>
        <w:t>服务</w:t>
      </w:r>
      <w:r>
        <w:rPr>
          <w:rFonts w:hint="eastAsia" w:ascii="宋体" w:hAnsi="宋体" w:eastAsia="宋体" w:cs="宋体"/>
          <w:color w:val="auto"/>
          <w:spacing w:val="-5"/>
          <w:sz w:val="24"/>
          <w:szCs w:val="24"/>
        </w:rPr>
        <w:t>需求</w:t>
      </w:r>
    </w:p>
    <w:p w14:paraId="42D293AD">
      <w:pPr>
        <w:widowControl w:val="0"/>
        <w:spacing w:before="78" w:line="219" w:lineRule="auto"/>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维保服务设备：</w:t>
      </w:r>
    </w:p>
    <w:tbl>
      <w:tblPr>
        <w:tblStyle w:val="3"/>
        <w:tblW w:w="0" w:type="auto"/>
        <w:tblInd w:w="-185"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75"/>
        <w:gridCol w:w="1918"/>
        <w:gridCol w:w="1670"/>
        <w:gridCol w:w="2201"/>
        <w:gridCol w:w="1756"/>
      </w:tblGrid>
      <w:tr w14:paraId="3D395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975" w:type="dxa"/>
            <w:tcBorders>
              <w:top w:val="single" w:color="000000" w:sz="6" w:space="0"/>
              <w:left w:val="single" w:color="000000" w:sz="6" w:space="0"/>
              <w:bottom w:val="single" w:color="000000" w:sz="6" w:space="0"/>
              <w:right w:val="single" w:color="000000" w:sz="6" w:space="0"/>
            </w:tcBorders>
            <w:noWrap/>
            <w:vAlign w:val="center"/>
          </w:tcPr>
          <w:p w14:paraId="76A41E9C">
            <w:pPr>
              <w:rPr>
                <w:rFonts w:ascii="宋体" w:hAnsi="宋体" w:eastAsia="宋体" w:cs="宋体"/>
                <w:sz w:val="24"/>
                <w:szCs w:val="24"/>
              </w:rPr>
            </w:pPr>
            <w:r>
              <w:rPr>
                <w:rFonts w:hint="eastAsia" w:ascii="宋体" w:hAnsi="宋体" w:eastAsia="宋体" w:cs="宋体"/>
                <w:sz w:val="24"/>
                <w:szCs w:val="24"/>
              </w:rPr>
              <w:t xml:space="preserve">序号 </w:t>
            </w:r>
          </w:p>
        </w:tc>
        <w:tc>
          <w:tcPr>
            <w:tcW w:w="1918" w:type="dxa"/>
            <w:tcBorders>
              <w:top w:val="single" w:color="000000" w:sz="6" w:space="0"/>
              <w:left w:val="single" w:color="000000" w:sz="6" w:space="0"/>
              <w:bottom w:val="single" w:color="000000" w:sz="6" w:space="0"/>
              <w:right w:val="single" w:color="000000" w:sz="6" w:space="0"/>
            </w:tcBorders>
            <w:noWrap/>
            <w:vAlign w:val="center"/>
          </w:tcPr>
          <w:p w14:paraId="25E9F3C3">
            <w:pPr>
              <w:rPr>
                <w:rFonts w:ascii="宋体" w:hAnsi="宋体" w:eastAsia="宋体" w:cs="宋体"/>
                <w:sz w:val="24"/>
                <w:szCs w:val="24"/>
              </w:rPr>
            </w:pPr>
            <w:r>
              <w:rPr>
                <w:rFonts w:hint="eastAsia" w:ascii="宋体" w:hAnsi="宋体" w:eastAsia="宋体" w:cs="宋体"/>
                <w:sz w:val="24"/>
                <w:szCs w:val="24"/>
              </w:rPr>
              <w:t xml:space="preserve">设备名称 </w:t>
            </w:r>
          </w:p>
        </w:tc>
        <w:tc>
          <w:tcPr>
            <w:tcW w:w="1670" w:type="dxa"/>
            <w:tcBorders>
              <w:top w:val="single" w:color="000000" w:sz="6" w:space="0"/>
              <w:left w:val="single" w:color="000000" w:sz="6" w:space="0"/>
              <w:bottom w:val="single" w:color="000000" w:sz="6" w:space="0"/>
              <w:right w:val="single" w:color="000000" w:sz="6" w:space="0"/>
            </w:tcBorders>
            <w:noWrap/>
            <w:vAlign w:val="center"/>
          </w:tcPr>
          <w:p w14:paraId="41E03DF9">
            <w:pPr>
              <w:rPr>
                <w:rFonts w:ascii="宋体" w:hAnsi="宋体" w:eastAsia="宋体" w:cs="宋体"/>
                <w:sz w:val="24"/>
                <w:szCs w:val="24"/>
              </w:rPr>
            </w:pPr>
            <w:r>
              <w:rPr>
                <w:rFonts w:hint="eastAsia" w:ascii="宋体" w:hAnsi="宋体" w:eastAsia="宋体" w:cs="宋体"/>
                <w:sz w:val="24"/>
                <w:szCs w:val="24"/>
              </w:rPr>
              <w:t xml:space="preserve">生产厂家 </w:t>
            </w:r>
          </w:p>
        </w:tc>
        <w:tc>
          <w:tcPr>
            <w:tcW w:w="2201" w:type="dxa"/>
            <w:tcBorders>
              <w:top w:val="single" w:color="000000" w:sz="6" w:space="0"/>
              <w:left w:val="single" w:color="000000" w:sz="6" w:space="0"/>
              <w:bottom w:val="single" w:color="000000" w:sz="6" w:space="0"/>
              <w:right w:val="single" w:color="000000" w:sz="6" w:space="0"/>
            </w:tcBorders>
            <w:noWrap/>
            <w:vAlign w:val="center"/>
          </w:tcPr>
          <w:p w14:paraId="58CB70D9">
            <w:pPr>
              <w:rPr>
                <w:rFonts w:ascii="宋体" w:hAnsi="宋体" w:eastAsia="宋体" w:cs="宋体"/>
                <w:sz w:val="24"/>
                <w:szCs w:val="24"/>
              </w:rPr>
            </w:pPr>
            <w:r>
              <w:rPr>
                <w:rFonts w:hint="eastAsia" w:ascii="宋体" w:hAnsi="宋体" w:eastAsia="宋体" w:cs="宋体"/>
                <w:sz w:val="24"/>
                <w:szCs w:val="24"/>
              </w:rPr>
              <w:t xml:space="preserve">产品型号 </w:t>
            </w:r>
          </w:p>
        </w:tc>
        <w:tc>
          <w:tcPr>
            <w:tcW w:w="1756" w:type="dxa"/>
            <w:tcBorders>
              <w:top w:val="single" w:color="000000" w:sz="6" w:space="0"/>
              <w:left w:val="single" w:color="000000" w:sz="6" w:space="0"/>
              <w:bottom w:val="single" w:color="000000" w:sz="6" w:space="0"/>
              <w:right w:val="single" w:color="000000" w:sz="6" w:space="0"/>
            </w:tcBorders>
            <w:noWrap/>
            <w:vAlign w:val="center"/>
          </w:tcPr>
          <w:p w14:paraId="40AD011F">
            <w:pPr>
              <w:rPr>
                <w:rFonts w:ascii="宋体" w:hAnsi="宋体" w:eastAsia="宋体" w:cs="宋体"/>
                <w:sz w:val="24"/>
                <w:szCs w:val="24"/>
              </w:rPr>
            </w:pPr>
            <w:r>
              <w:rPr>
                <w:rFonts w:hint="eastAsia" w:ascii="宋体" w:hAnsi="宋体" w:eastAsia="宋体" w:cs="宋体"/>
                <w:sz w:val="24"/>
                <w:szCs w:val="24"/>
              </w:rPr>
              <w:t>具体服务类型</w:t>
            </w:r>
          </w:p>
        </w:tc>
      </w:tr>
      <w:tr w14:paraId="40C2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92" w:hRule="atLeast"/>
        </w:trPr>
        <w:tc>
          <w:tcPr>
            <w:tcW w:w="975" w:type="dxa"/>
            <w:tcBorders>
              <w:top w:val="single" w:color="000000" w:sz="6" w:space="0"/>
              <w:left w:val="single" w:color="000000" w:sz="6" w:space="0"/>
              <w:bottom w:val="single" w:color="000000" w:sz="6" w:space="0"/>
              <w:right w:val="single" w:color="000000" w:sz="6" w:space="0"/>
            </w:tcBorders>
            <w:noWrap/>
            <w:vAlign w:val="center"/>
          </w:tcPr>
          <w:p w14:paraId="74DFF49F">
            <w:pPr>
              <w:rPr>
                <w:rFonts w:ascii="宋体" w:hAnsi="宋体" w:eastAsia="宋体" w:cs="宋体"/>
                <w:sz w:val="24"/>
                <w:szCs w:val="24"/>
              </w:rPr>
            </w:pPr>
            <w:r>
              <w:rPr>
                <w:rFonts w:hint="eastAsia" w:ascii="宋体" w:hAnsi="宋体" w:eastAsia="宋体" w:cs="宋体"/>
                <w:sz w:val="24"/>
                <w:szCs w:val="24"/>
              </w:rPr>
              <w:t>1</w:t>
            </w:r>
          </w:p>
        </w:tc>
        <w:tc>
          <w:tcPr>
            <w:tcW w:w="1918" w:type="dxa"/>
            <w:tcBorders>
              <w:top w:val="single" w:color="000000" w:sz="6" w:space="0"/>
              <w:left w:val="single" w:color="000000" w:sz="6" w:space="0"/>
              <w:bottom w:val="single" w:color="000000" w:sz="6" w:space="0"/>
              <w:right w:val="single" w:color="000000" w:sz="6" w:space="0"/>
            </w:tcBorders>
            <w:noWrap/>
            <w:vAlign w:val="center"/>
          </w:tcPr>
          <w:p w14:paraId="10F99770">
            <w:pPr>
              <w:rPr>
                <w:rFonts w:ascii="宋体" w:hAnsi="宋体" w:eastAsia="宋体" w:cs="宋体"/>
                <w:sz w:val="24"/>
                <w:szCs w:val="24"/>
              </w:rPr>
            </w:pPr>
            <w:r>
              <w:rPr>
                <w:rFonts w:hint="eastAsia" w:ascii="宋体" w:hAnsi="宋体" w:eastAsia="宋体" w:cs="宋体"/>
                <w:sz w:val="24"/>
                <w:szCs w:val="24"/>
              </w:rPr>
              <w:t>1.5T磁共振成像系统</w:t>
            </w:r>
          </w:p>
        </w:tc>
        <w:tc>
          <w:tcPr>
            <w:tcW w:w="1670" w:type="dxa"/>
            <w:tcBorders>
              <w:top w:val="single" w:color="000000" w:sz="6" w:space="0"/>
              <w:left w:val="single" w:color="000000" w:sz="6" w:space="0"/>
              <w:bottom w:val="single" w:color="000000" w:sz="6" w:space="0"/>
              <w:right w:val="single" w:color="000000" w:sz="6" w:space="0"/>
            </w:tcBorders>
            <w:noWrap/>
          </w:tcPr>
          <w:p w14:paraId="68FE4A8E">
            <w:pPr>
              <w:jc w:val="center"/>
              <w:rPr>
                <w:rFonts w:ascii="宋体" w:hAnsi="宋体" w:eastAsia="宋体" w:cs="宋体"/>
                <w:sz w:val="24"/>
                <w:szCs w:val="24"/>
              </w:rPr>
            </w:pPr>
            <w:r>
              <w:rPr>
                <w:rFonts w:hint="eastAsia" w:ascii="宋体" w:hAnsi="宋体" w:eastAsia="宋体" w:cs="宋体"/>
                <w:sz w:val="24"/>
                <w:szCs w:val="24"/>
              </w:rPr>
              <w:t>通用电气</w:t>
            </w:r>
          </w:p>
        </w:tc>
        <w:tc>
          <w:tcPr>
            <w:tcW w:w="2201" w:type="dxa"/>
            <w:tcBorders>
              <w:top w:val="single" w:color="000000" w:sz="6" w:space="0"/>
              <w:left w:val="single" w:color="000000" w:sz="6" w:space="0"/>
              <w:bottom w:val="single" w:color="000000" w:sz="6" w:space="0"/>
              <w:right w:val="single" w:color="000000" w:sz="6" w:space="0"/>
            </w:tcBorders>
            <w:noWrap/>
            <w:vAlign w:val="center"/>
          </w:tcPr>
          <w:p w14:paraId="7DDA272A">
            <w:pPr>
              <w:rPr>
                <w:rFonts w:ascii="宋体" w:hAnsi="宋体" w:eastAsia="宋体" w:cs="宋体"/>
                <w:sz w:val="24"/>
                <w:szCs w:val="24"/>
              </w:rPr>
            </w:pPr>
            <w:r>
              <w:rPr>
                <w:rFonts w:hint="eastAsia" w:ascii="宋体" w:hAnsi="宋体" w:eastAsia="宋体" w:cs="宋体"/>
                <w:sz w:val="24"/>
                <w:szCs w:val="24"/>
              </w:rPr>
              <w:t>SIGNA Creator</w:t>
            </w:r>
          </w:p>
        </w:tc>
        <w:tc>
          <w:tcPr>
            <w:tcW w:w="1756" w:type="dxa"/>
            <w:vMerge w:val="restart"/>
            <w:tcBorders>
              <w:top w:val="single" w:color="000000" w:sz="6" w:space="0"/>
              <w:left w:val="single" w:color="000000" w:sz="6" w:space="0"/>
              <w:right w:val="single" w:color="000000" w:sz="6" w:space="0"/>
            </w:tcBorders>
            <w:noWrap/>
            <w:vAlign w:val="center"/>
          </w:tcPr>
          <w:p w14:paraId="6C73D749">
            <w:pPr>
              <w:rPr>
                <w:rFonts w:ascii="宋体" w:hAnsi="宋体" w:eastAsia="宋体" w:cs="宋体"/>
                <w:sz w:val="24"/>
                <w:szCs w:val="24"/>
              </w:rPr>
            </w:pPr>
            <w:r>
              <w:rPr>
                <w:rFonts w:hint="eastAsia" w:ascii="宋体" w:hAnsi="宋体" w:eastAsia="宋体" w:cs="宋体"/>
                <w:sz w:val="24"/>
                <w:szCs w:val="24"/>
              </w:rPr>
              <w:t>全保</w:t>
            </w:r>
          </w:p>
        </w:tc>
      </w:tr>
      <w:tr w14:paraId="58F27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7" w:hRule="atLeast"/>
        </w:trPr>
        <w:tc>
          <w:tcPr>
            <w:tcW w:w="975" w:type="dxa"/>
            <w:tcBorders>
              <w:top w:val="single" w:color="000000" w:sz="6" w:space="0"/>
              <w:left w:val="single" w:color="000000" w:sz="6" w:space="0"/>
              <w:bottom w:val="single" w:color="000000" w:sz="6" w:space="0"/>
              <w:right w:val="single" w:color="000000" w:sz="6" w:space="0"/>
            </w:tcBorders>
            <w:noWrap/>
            <w:vAlign w:val="center"/>
          </w:tcPr>
          <w:p w14:paraId="0E19DBA6">
            <w:pPr>
              <w:rPr>
                <w:rFonts w:ascii="宋体" w:hAnsi="宋体" w:eastAsia="宋体" w:cs="宋体"/>
                <w:sz w:val="24"/>
                <w:szCs w:val="24"/>
              </w:rPr>
            </w:pPr>
            <w:r>
              <w:rPr>
                <w:rFonts w:hint="eastAsia" w:ascii="宋体" w:hAnsi="宋体" w:eastAsia="宋体" w:cs="宋体"/>
                <w:sz w:val="24"/>
                <w:szCs w:val="24"/>
              </w:rPr>
              <w:t>2</w:t>
            </w:r>
          </w:p>
        </w:tc>
        <w:tc>
          <w:tcPr>
            <w:tcW w:w="1918" w:type="dxa"/>
            <w:tcBorders>
              <w:top w:val="single" w:color="000000" w:sz="6" w:space="0"/>
              <w:left w:val="single" w:color="000000" w:sz="6" w:space="0"/>
              <w:bottom w:val="single" w:color="000000" w:sz="6" w:space="0"/>
              <w:right w:val="single" w:color="000000" w:sz="6" w:space="0"/>
            </w:tcBorders>
            <w:noWrap/>
            <w:vAlign w:val="center"/>
          </w:tcPr>
          <w:p w14:paraId="4419CD41">
            <w:pPr>
              <w:rPr>
                <w:rFonts w:ascii="宋体" w:hAnsi="宋体" w:eastAsia="宋体" w:cs="宋体"/>
                <w:sz w:val="24"/>
                <w:szCs w:val="24"/>
              </w:rPr>
            </w:pPr>
            <w:r>
              <w:rPr>
                <w:rFonts w:hint="eastAsia" w:ascii="宋体" w:hAnsi="宋体" w:eastAsia="宋体" w:cs="宋体"/>
                <w:sz w:val="24"/>
                <w:szCs w:val="24"/>
              </w:rPr>
              <w:t>C型臂X光机</w:t>
            </w:r>
          </w:p>
        </w:tc>
        <w:tc>
          <w:tcPr>
            <w:tcW w:w="1670" w:type="dxa"/>
            <w:tcBorders>
              <w:top w:val="single" w:color="000000" w:sz="6" w:space="0"/>
              <w:left w:val="single" w:color="000000" w:sz="6" w:space="0"/>
              <w:bottom w:val="single" w:color="000000" w:sz="6" w:space="0"/>
              <w:right w:val="single" w:color="000000" w:sz="6" w:space="0"/>
            </w:tcBorders>
            <w:noWrap/>
            <w:vAlign w:val="center"/>
          </w:tcPr>
          <w:p w14:paraId="6E2151A5">
            <w:pPr>
              <w:jc w:val="center"/>
              <w:rPr>
                <w:rFonts w:ascii="宋体" w:hAnsi="宋体" w:eastAsia="宋体" w:cs="宋体"/>
                <w:sz w:val="24"/>
                <w:szCs w:val="24"/>
              </w:rPr>
            </w:pPr>
            <w:r>
              <w:rPr>
                <w:rFonts w:hint="eastAsia" w:ascii="宋体" w:hAnsi="宋体" w:eastAsia="宋体" w:cs="宋体"/>
                <w:sz w:val="24"/>
                <w:szCs w:val="24"/>
              </w:rPr>
              <w:t>西门子</w:t>
            </w:r>
          </w:p>
        </w:tc>
        <w:tc>
          <w:tcPr>
            <w:tcW w:w="2201" w:type="dxa"/>
            <w:tcBorders>
              <w:top w:val="single" w:color="000000" w:sz="6" w:space="0"/>
              <w:left w:val="single" w:color="000000" w:sz="6" w:space="0"/>
              <w:bottom w:val="single" w:color="000000" w:sz="6" w:space="0"/>
              <w:right w:val="single" w:color="000000" w:sz="6" w:space="0"/>
            </w:tcBorders>
            <w:noWrap/>
            <w:vAlign w:val="center"/>
          </w:tcPr>
          <w:p w14:paraId="70B59A1D">
            <w:pPr>
              <w:rPr>
                <w:rFonts w:ascii="宋体" w:hAnsi="宋体" w:eastAsia="宋体" w:cs="宋体"/>
                <w:sz w:val="24"/>
                <w:szCs w:val="24"/>
              </w:rPr>
            </w:pPr>
            <w:r>
              <w:rPr>
                <w:rFonts w:hint="eastAsia" w:ascii="宋体" w:hAnsi="宋体" w:eastAsia="宋体" w:cs="宋体"/>
                <w:sz w:val="24"/>
                <w:szCs w:val="24"/>
              </w:rPr>
              <w:t>Cios Select S1</w:t>
            </w:r>
          </w:p>
        </w:tc>
        <w:tc>
          <w:tcPr>
            <w:tcW w:w="1756" w:type="dxa"/>
            <w:vMerge w:val="continue"/>
            <w:tcBorders>
              <w:left w:val="single" w:color="000000" w:sz="6" w:space="0"/>
              <w:right w:val="single" w:color="000000" w:sz="6" w:space="0"/>
            </w:tcBorders>
            <w:noWrap/>
            <w:vAlign w:val="center"/>
          </w:tcPr>
          <w:p w14:paraId="30066055">
            <w:pPr>
              <w:rPr>
                <w:rFonts w:ascii="宋体" w:hAnsi="宋体" w:eastAsia="宋体" w:cs="宋体"/>
                <w:sz w:val="24"/>
                <w:szCs w:val="24"/>
              </w:rPr>
            </w:pPr>
          </w:p>
        </w:tc>
      </w:tr>
      <w:tr w14:paraId="3B69E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3" w:hRule="atLeast"/>
        </w:trPr>
        <w:tc>
          <w:tcPr>
            <w:tcW w:w="975" w:type="dxa"/>
            <w:tcBorders>
              <w:top w:val="single" w:color="000000" w:sz="6" w:space="0"/>
              <w:left w:val="single" w:color="000000" w:sz="6" w:space="0"/>
              <w:bottom w:val="single" w:color="000000" w:sz="6" w:space="0"/>
              <w:right w:val="single" w:color="000000" w:sz="6" w:space="0"/>
            </w:tcBorders>
            <w:noWrap/>
            <w:vAlign w:val="center"/>
          </w:tcPr>
          <w:p w14:paraId="145A7EC1">
            <w:pPr>
              <w:rPr>
                <w:rFonts w:ascii="宋体" w:hAnsi="宋体" w:eastAsia="宋体" w:cs="宋体"/>
                <w:sz w:val="24"/>
                <w:szCs w:val="24"/>
              </w:rPr>
            </w:pPr>
            <w:r>
              <w:rPr>
                <w:rFonts w:hint="eastAsia" w:ascii="宋体" w:hAnsi="宋体" w:eastAsia="宋体" w:cs="宋体"/>
                <w:sz w:val="24"/>
                <w:szCs w:val="24"/>
              </w:rPr>
              <w:t>3</w:t>
            </w:r>
          </w:p>
        </w:tc>
        <w:tc>
          <w:tcPr>
            <w:tcW w:w="1918" w:type="dxa"/>
            <w:tcBorders>
              <w:top w:val="single" w:color="000000" w:sz="6" w:space="0"/>
              <w:left w:val="single" w:color="000000" w:sz="6" w:space="0"/>
              <w:bottom w:val="single" w:color="000000" w:sz="6" w:space="0"/>
              <w:right w:val="single" w:color="000000" w:sz="6" w:space="0"/>
            </w:tcBorders>
            <w:noWrap/>
            <w:vAlign w:val="center"/>
          </w:tcPr>
          <w:p w14:paraId="6AC272A9">
            <w:pPr>
              <w:rPr>
                <w:rFonts w:ascii="宋体" w:hAnsi="宋体" w:eastAsia="宋体" w:cs="宋体"/>
                <w:sz w:val="24"/>
                <w:szCs w:val="24"/>
              </w:rPr>
            </w:pPr>
            <w:r>
              <w:rPr>
                <w:rFonts w:hint="eastAsia" w:ascii="宋体" w:hAnsi="宋体" w:eastAsia="宋体" w:cs="宋体"/>
                <w:sz w:val="24"/>
                <w:szCs w:val="24"/>
              </w:rPr>
              <w:t>C型臂X光机</w:t>
            </w:r>
          </w:p>
        </w:tc>
        <w:tc>
          <w:tcPr>
            <w:tcW w:w="1670" w:type="dxa"/>
            <w:tcBorders>
              <w:top w:val="single" w:color="000000" w:sz="6" w:space="0"/>
              <w:left w:val="single" w:color="000000" w:sz="6" w:space="0"/>
              <w:bottom w:val="single" w:color="000000" w:sz="6" w:space="0"/>
              <w:right w:val="single" w:color="000000" w:sz="6" w:space="0"/>
            </w:tcBorders>
            <w:noWrap/>
            <w:vAlign w:val="center"/>
          </w:tcPr>
          <w:p w14:paraId="32591DFB">
            <w:pPr>
              <w:jc w:val="center"/>
              <w:rPr>
                <w:rFonts w:ascii="宋体" w:hAnsi="宋体" w:eastAsia="宋体" w:cs="宋体"/>
                <w:sz w:val="24"/>
                <w:szCs w:val="24"/>
              </w:rPr>
            </w:pPr>
            <w:r>
              <w:rPr>
                <w:rFonts w:hint="eastAsia" w:ascii="宋体" w:hAnsi="宋体" w:eastAsia="宋体" w:cs="宋体"/>
                <w:sz w:val="24"/>
                <w:szCs w:val="24"/>
              </w:rPr>
              <w:t>南京普爱</w:t>
            </w:r>
          </w:p>
        </w:tc>
        <w:tc>
          <w:tcPr>
            <w:tcW w:w="2201" w:type="dxa"/>
            <w:tcBorders>
              <w:top w:val="single" w:color="000000" w:sz="6" w:space="0"/>
              <w:left w:val="single" w:color="000000" w:sz="6" w:space="0"/>
              <w:bottom w:val="single" w:color="000000" w:sz="6" w:space="0"/>
              <w:right w:val="single" w:color="000000" w:sz="6" w:space="0"/>
            </w:tcBorders>
            <w:noWrap/>
            <w:vAlign w:val="center"/>
          </w:tcPr>
          <w:p w14:paraId="12DEA746">
            <w:pPr>
              <w:rPr>
                <w:rFonts w:ascii="宋体" w:hAnsi="宋体" w:eastAsia="宋体" w:cs="宋体"/>
                <w:sz w:val="24"/>
                <w:szCs w:val="24"/>
              </w:rPr>
            </w:pPr>
            <w:r>
              <w:rPr>
                <w:rFonts w:hint="eastAsia" w:ascii="宋体" w:hAnsi="宋体" w:eastAsia="宋体" w:cs="宋体"/>
                <w:sz w:val="24"/>
                <w:szCs w:val="24"/>
              </w:rPr>
              <w:t>PL112C</w:t>
            </w:r>
          </w:p>
        </w:tc>
        <w:tc>
          <w:tcPr>
            <w:tcW w:w="1756" w:type="dxa"/>
            <w:vMerge w:val="continue"/>
            <w:tcBorders>
              <w:left w:val="single" w:color="000000" w:sz="6" w:space="0"/>
              <w:right w:val="single" w:color="000000" w:sz="6" w:space="0"/>
            </w:tcBorders>
            <w:noWrap/>
            <w:vAlign w:val="center"/>
          </w:tcPr>
          <w:p w14:paraId="298ADC84">
            <w:pPr>
              <w:rPr>
                <w:rFonts w:ascii="宋体" w:hAnsi="宋体" w:eastAsia="宋体" w:cs="宋体"/>
                <w:sz w:val="24"/>
                <w:szCs w:val="24"/>
              </w:rPr>
            </w:pPr>
          </w:p>
        </w:tc>
      </w:tr>
      <w:tr w14:paraId="3AA0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38" w:hRule="atLeast"/>
        </w:trPr>
        <w:tc>
          <w:tcPr>
            <w:tcW w:w="975" w:type="dxa"/>
            <w:tcBorders>
              <w:top w:val="single" w:color="000000" w:sz="6" w:space="0"/>
              <w:left w:val="single" w:color="000000" w:sz="6" w:space="0"/>
              <w:bottom w:val="single" w:color="000000" w:sz="6" w:space="0"/>
              <w:right w:val="single" w:color="000000" w:sz="6" w:space="0"/>
            </w:tcBorders>
            <w:noWrap/>
            <w:vAlign w:val="center"/>
          </w:tcPr>
          <w:p w14:paraId="4CB6596D">
            <w:pPr>
              <w:rPr>
                <w:rFonts w:ascii="宋体" w:hAnsi="宋体" w:eastAsia="宋体" w:cs="宋体"/>
                <w:sz w:val="24"/>
                <w:szCs w:val="24"/>
              </w:rPr>
            </w:pPr>
            <w:r>
              <w:rPr>
                <w:rFonts w:hint="eastAsia" w:ascii="宋体" w:hAnsi="宋体" w:eastAsia="宋体" w:cs="宋体"/>
                <w:sz w:val="24"/>
                <w:szCs w:val="24"/>
              </w:rPr>
              <w:t>4</w:t>
            </w:r>
          </w:p>
        </w:tc>
        <w:tc>
          <w:tcPr>
            <w:tcW w:w="1918" w:type="dxa"/>
            <w:tcBorders>
              <w:top w:val="single" w:color="000000" w:sz="6" w:space="0"/>
              <w:left w:val="single" w:color="000000" w:sz="6" w:space="0"/>
              <w:bottom w:val="single" w:color="000000" w:sz="6" w:space="0"/>
              <w:right w:val="single" w:color="000000" w:sz="6" w:space="0"/>
            </w:tcBorders>
            <w:noWrap/>
            <w:vAlign w:val="center"/>
          </w:tcPr>
          <w:p w14:paraId="4C34DF8F">
            <w:pPr>
              <w:rPr>
                <w:rFonts w:ascii="宋体" w:hAnsi="宋体" w:eastAsia="宋体" w:cs="宋体"/>
                <w:sz w:val="24"/>
                <w:szCs w:val="24"/>
              </w:rPr>
            </w:pPr>
            <w:r>
              <w:rPr>
                <w:rFonts w:hint="eastAsia" w:ascii="宋体" w:hAnsi="宋体" w:eastAsia="宋体" w:cs="宋体"/>
                <w:sz w:val="24"/>
                <w:szCs w:val="24"/>
              </w:rPr>
              <w:t>乳腺钼靶机</w:t>
            </w:r>
          </w:p>
        </w:tc>
        <w:tc>
          <w:tcPr>
            <w:tcW w:w="1670" w:type="dxa"/>
            <w:tcBorders>
              <w:top w:val="single" w:color="000000" w:sz="6" w:space="0"/>
              <w:left w:val="single" w:color="000000" w:sz="6" w:space="0"/>
              <w:bottom w:val="single" w:color="000000" w:sz="6" w:space="0"/>
              <w:right w:val="single" w:color="000000" w:sz="6" w:space="0"/>
            </w:tcBorders>
            <w:noWrap/>
            <w:vAlign w:val="center"/>
          </w:tcPr>
          <w:p w14:paraId="38728283">
            <w:pPr>
              <w:jc w:val="center"/>
              <w:rPr>
                <w:rFonts w:ascii="宋体" w:hAnsi="宋体" w:eastAsia="宋体" w:cs="宋体"/>
                <w:sz w:val="24"/>
                <w:szCs w:val="24"/>
              </w:rPr>
            </w:pPr>
            <w:r>
              <w:rPr>
                <w:rFonts w:hint="eastAsia" w:ascii="宋体" w:hAnsi="宋体" w:eastAsia="宋体" w:cs="宋体"/>
                <w:sz w:val="24"/>
                <w:szCs w:val="24"/>
              </w:rPr>
              <w:t>南京普爱</w:t>
            </w:r>
          </w:p>
        </w:tc>
        <w:tc>
          <w:tcPr>
            <w:tcW w:w="2201" w:type="dxa"/>
            <w:tcBorders>
              <w:top w:val="single" w:color="000000" w:sz="6" w:space="0"/>
              <w:left w:val="single" w:color="000000" w:sz="6" w:space="0"/>
              <w:bottom w:val="single" w:color="000000" w:sz="6" w:space="0"/>
              <w:right w:val="single" w:color="000000" w:sz="6" w:space="0"/>
            </w:tcBorders>
            <w:noWrap/>
            <w:vAlign w:val="center"/>
          </w:tcPr>
          <w:p w14:paraId="5116B813">
            <w:pPr>
              <w:rPr>
                <w:rFonts w:ascii="宋体" w:hAnsi="宋体" w:eastAsia="宋体" w:cs="宋体"/>
                <w:sz w:val="24"/>
                <w:szCs w:val="24"/>
              </w:rPr>
            </w:pPr>
            <w:r>
              <w:rPr>
                <w:rFonts w:hint="eastAsia" w:ascii="宋体" w:hAnsi="宋体" w:eastAsia="宋体" w:cs="宋体"/>
                <w:sz w:val="24"/>
                <w:szCs w:val="24"/>
              </w:rPr>
              <w:t>Mega600A</w:t>
            </w:r>
          </w:p>
        </w:tc>
        <w:tc>
          <w:tcPr>
            <w:tcW w:w="1756" w:type="dxa"/>
            <w:vMerge w:val="continue"/>
            <w:tcBorders>
              <w:left w:val="single" w:color="000000" w:sz="6" w:space="0"/>
              <w:bottom w:val="single" w:color="000000" w:sz="6" w:space="0"/>
              <w:right w:val="single" w:color="000000" w:sz="6" w:space="0"/>
            </w:tcBorders>
            <w:noWrap/>
            <w:vAlign w:val="center"/>
          </w:tcPr>
          <w:p w14:paraId="371C935C">
            <w:pPr>
              <w:rPr>
                <w:rFonts w:ascii="宋体" w:hAnsi="宋体" w:eastAsia="宋体" w:cs="宋体"/>
                <w:sz w:val="24"/>
                <w:szCs w:val="24"/>
              </w:rPr>
            </w:pPr>
          </w:p>
        </w:tc>
      </w:tr>
    </w:tbl>
    <w:p w14:paraId="4FC5B142">
      <w:pPr>
        <w:tabs>
          <w:tab w:val="left" w:pos="0"/>
        </w:tabs>
        <w:rPr>
          <w:rFonts w:ascii="宋体" w:hAnsi="宋体" w:eastAsia="宋体" w:cs="宋体"/>
          <w:sz w:val="24"/>
          <w:szCs w:val="24"/>
          <w:lang w:eastAsia="zh-CN"/>
        </w:rPr>
      </w:pPr>
    </w:p>
    <w:p w14:paraId="1B518906">
      <w:pPr>
        <w:rPr>
          <w:rFonts w:ascii="宋体" w:hAnsi="宋体" w:eastAsia="宋体" w:cs="宋体"/>
          <w:sz w:val="24"/>
          <w:szCs w:val="24"/>
        </w:rPr>
      </w:pPr>
      <w:r>
        <w:rPr>
          <w:rFonts w:hint="eastAsia" w:ascii="宋体" w:hAnsi="宋体" w:eastAsia="宋体" w:cs="宋体"/>
          <w:sz w:val="24"/>
          <w:szCs w:val="24"/>
        </w:rPr>
        <w:t xml:space="preserve">2、服务内容及具体要求： </w:t>
      </w:r>
    </w:p>
    <w:p w14:paraId="72041AD3">
      <w:pPr>
        <w:rPr>
          <w:rFonts w:ascii="宋体" w:hAnsi="宋体" w:eastAsia="宋体" w:cs="宋体"/>
          <w:sz w:val="24"/>
          <w:szCs w:val="24"/>
        </w:rPr>
      </w:pPr>
      <w:r>
        <w:rPr>
          <w:rFonts w:hint="eastAsia" w:ascii="宋体" w:hAnsi="宋体" w:eastAsia="宋体" w:cs="宋体"/>
          <w:sz w:val="24"/>
          <w:szCs w:val="24"/>
        </w:rPr>
        <w:t>（1）设备整机全保服务。C型臂X光机、乳腺钼靶机包含球管、高压发生器、探测器等所有附属部件，磁共振包含梯度线圈、射频电源、冷头、磁体、液氦、精密空调、水冷系统等附属设备，所有维修维保服务采购人无需另付任何费用。</w:t>
      </w:r>
    </w:p>
    <w:p w14:paraId="7E7EDE60">
      <w:pPr>
        <w:rPr>
          <w:rFonts w:ascii="宋体" w:hAnsi="宋体" w:eastAsia="宋体" w:cs="宋体"/>
          <w:sz w:val="24"/>
          <w:szCs w:val="24"/>
        </w:rPr>
      </w:pPr>
      <w:r>
        <w:rPr>
          <w:rFonts w:hint="eastAsia" w:ascii="宋体" w:hAnsi="宋体" w:eastAsia="宋体" w:cs="宋体"/>
          <w:sz w:val="24"/>
          <w:szCs w:val="24"/>
        </w:rPr>
        <w:t>（2）中标人每年提供不限次数的人工上门维修服务；提供一年至少 4 次的定期维护与保养，定期的维护保养服务项目包括：设备的机械安全检查、电气安全检查、影像质量检查、设备除尘保养、运行状态检查等，保养中需要更换的损耗品由中标人免费提供。维修或保养完成后，中标人每季度向采购人提交设备维护保养及维修状况分析报告，每台次设备维修时，应详细记录故障现象、原因分析、处理方案、配件更换情况等，协助采购人相关科室规范医疗设备的使用，对医疗设备使用不当的，提出整改措施。</w:t>
      </w:r>
    </w:p>
    <w:p w14:paraId="68E30E1D">
      <w:pPr>
        <w:rPr>
          <w:rFonts w:ascii="宋体" w:hAnsi="宋体" w:eastAsia="宋体" w:cs="宋体"/>
          <w:sz w:val="24"/>
          <w:szCs w:val="24"/>
        </w:rPr>
      </w:pPr>
      <w:r>
        <w:rPr>
          <w:rFonts w:hint="eastAsia" w:ascii="宋体" w:hAnsi="宋体" w:eastAsia="宋体" w:cs="宋体"/>
          <w:sz w:val="24"/>
          <w:szCs w:val="24"/>
        </w:rPr>
        <w:t>（3）服务时间：周一至周日；电话响应时间：1小时；工程师24小时内现场响应，48小时内故障排除。具备400或800客户服务专线，24小时*365天有专人接听，服务期内，不限报修次数(包括节假日)，每次服务完成后工单有双方签字。</w:t>
      </w:r>
    </w:p>
    <w:p w14:paraId="36A4F9C8">
      <w:pPr>
        <w:rPr>
          <w:rFonts w:ascii="宋体" w:hAnsi="宋体" w:eastAsia="宋体" w:cs="宋体"/>
          <w:sz w:val="24"/>
          <w:szCs w:val="24"/>
        </w:rPr>
      </w:pPr>
      <w:r>
        <w:rPr>
          <w:rFonts w:hint="eastAsia" w:ascii="宋体" w:hAnsi="宋体" w:eastAsia="宋体" w:cs="宋体"/>
          <w:sz w:val="24"/>
          <w:szCs w:val="24"/>
        </w:rPr>
        <w:t>（4）所有配件免费提供，</w:t>
      </w:r>
      <w:r>
        <w:rPr>
          <w:rFonts w:hint="eastAsia" w:ascii="宋体" w:hAnsi="宋体" w:eastAsia="宋体" w:cs="宋体"/>
          <w:color w:val="36363D"/>
          <w:sz w:val="24"/>
          <w:szCs w:val="24"/>
          <w:shd w:val="clear" w:color="auto" w:fill="FFFFFF"/>
        </w:rPr>
        <w:t>所有更换备件必须为符合同机型安全使用要求的原厂备件，必须是合法合规，如果是进口配件则应提供相应的合法进口报关材料</w:t>
      </w:r>
      <w:r>
        <w:rPr>
          <w:rFonts w:hint="eastAsia" w:ascii="宋体" w:hAnsi="宋体" w:eastAsia="宋体" w:cs="宋体"/>
          <w:sz w:val="24"/>
          <w:szCs w:val="24"/>
        </w:rPr>
        <w:t>。（5）设备开机率全年须达到96%以上（以365天、每天24 小时计算），如果此开机率由于中标人的原因未能达到，每超过一天增加维保7天。</w:t>
      </w:r>
    </w:p>
    <w:p w14:paraId="442FA1CB">
      <w:pPr>
        <w:rPr>
          <w:rFonts w:ascii="宋体" w:hAnsi="宋体" w:eastAsia="宋体" w:cs="宋体"/>
          <w:sz w:val="24"/>
          <w:szCs w:val="24"/>
        </w:rPr>
      </w:pPr>
      <w:r>
        <w:rPr>
          <w:rFonts w:hint="eastAsia" w:ascii="宋体" w:hAnsi="宋体" w:eastAsia="宋体" w:cs="宋体"/>
          <w:sz w:val="24"/>
          <w:szCs w:val="24"/>
        </w:rPr>
        <w:t>（6）提供</w:t>
      </w:r>
      <w:r>
        <w:rPr>
          <w:rFonts w:hint="eastAsia" w:ascii="宋体" w:hAnsi="宋体" w:eastAsia="宋体" w:cs="宋体"/>
          <w:color w:val="000000" w:themeColor="text1"/>
          <w:sz w:val="24"/>
          <w:szCs w:val="24"/>
          <w14:textFill>
            <w14:solidFill>
              <w14:schemeClr w14:val="tx1"/>
            </w14:solidFill>
          </w14:textFill>
        </w:rPr>
        <w:t>每月</w:t>
      </w:r>
      <w:r>
        <w:rPr>
          <w:rFonts w:hint="eastAsia" w:ascii="宋体" w:hAnsi="宋体" w:eastAsia="宋体" w:cs="宋体"/>
          <w:sz w:val="24"/>
          <w:szCs w:val="24"/>
        </w:rPr>
        <w:t>定期巡检服务，应有详细记录，包括巡检的设备、内容、周期等，制定每月设备巡检计划，并经备案后实施，并对设备巡检发现的问题进行持续改进。</w:t>
      </w:r>
    </w:p>
    <w:p w14:paraId="652B7CB9">
      <w:pPr>
        <w:rPr>
          <w:rFonts w:ascii="宋体" w:hAnsi="宋体" w:eastAsia="宋体" w:cs="宋体"/>
          <w:sz w:val="24"/>
          <w:szCs w:val="24"/>
        </w:rPr>
      </w:pPr>
      <w:r>
        <w:rPr>
          <w:rFonts w:hint="eastAsia" w:ascii="宋体" w:hAnsi="宋体" w:eastAsia="宋体" w:cs="宋体"/>
          <w:sz w:val="24"/>
          <w:szCs w:val="24"/>
        </w:rPr>
        <w:t>（7）远程服务：投标人具备远程服务能力，能够提供365天*24小时远程诊断和维修技术支持。</w:t>
      </w:r>
    </w:p>
    <w:p w14:paraId="7C0DC2C0">
      <w:pPr>
        <w:rPr>
          <w:rFonts w:ascii="宋体" w:hAnsi="宋体" w:eastAsia="宋体" w:cs="宋体"/>
          <w:sz w:val="24"/>
          <w:szCs w:val="24"/>
        </w:rPr>
      </w:pPr>
      <w:r>
        <w:rPr>
          <w:rFonts w:hint="eastAsia" w:ascii="宋体" w:hAnsi="宋体" w:eastAsia="宋体" w:cs="宋体"/>
          <w:sz w:val="24"/>
          <w:szCs w:val="24"/>
        </w:rPr>
        <w:t>（8）在服务期内由于设备原因引发的人身损害或医疗事故，由采购人送具有资质的第三方检测机构鉴定，属于中标人对设备维修保养不当原因造成的，由中标人负责赔偿相关损失并负责承担相关检测费用；</w:t>
      </w:r>
    </w:p>
    <w:p w14:paraId="0C10DDE0">
      <w:pPr>
        <w:rPr>
          <w:rFonts w:ascii="宋体" w:hAnsi="宋体" w:eastAsia="宋体" w:cs="宋体"/>
          <w:sz w:val="24"/>
          <w:szCs w:val="24"/>
        </w:rPr>
      </w:pPr>
      <w:r>
        <w:rPr>
          <w:rFonts w:hint="eastAsia" w:ascii="宋体" w:hAnsi="宋体" w:eastAsia="宋体" w:cs="宋体"/>
          <w:sz w:val="24"/>
          <w:szCs w:val="24"/>
        </w:rPr>
        <w:t>（9）维保期内，若有设备停用或报废，则该设备的维保服务自动终止,维保费用按服务时长比例核减 。</w:t>
      </w:r>
    </w:p>
    <w:p w14:paraId="268C87F6">
      <w:pPr>
        <w:rPr>
          <w:rFonts w:ascii="宋体" w:hAnsi="宋体" w:eastAsia="宋体" w:cs="宋体"/>
          <w:sz w:val="24"/>
          <w:szCs w:val="24"/>
        </w:rPr>
      </w:pPr>
      <w:r>
        <w:rPr>
          <w:rFonts w:hint="eastAsia" w:ascii="宋体" w:hAnsi="宋体" w:eastAsia="宋体" w:cs="宋体"/>
          <w:sz w:val="24"/>
          <w:szCs w:val="24"/>
        </w:rPr>
        <w:t>（10）如维保内的设备厂家有新的系统更新，且医院设备满足软件升级条件时，投标人应在合同期内及时对医院设备主机软硬件系统升级到最新平台，按照设备原厂商的建议和要求，提供基于设备安全性的软件及硬件升级。</w:t>
      </w:r>
    </w:p>
    <w:p w14:paraId="4D4DB644">
      <w:pPr>
        <w:shd w:val="clear" w:color="auto" w:fill="FFFFFF"/>
        <w:spacing w:line="360" w:lineRule="atLeast"/>
        <w:ind w:firstLine="560"/>
        <w:rPr>
          <w:rFonts w:ascii="宋体" w:hAnsi="宋体" w:eastAsia="宋体" w:cs="宋体"/>
          <w:color w:val="36363D"/>
          <w:sz w:val="24"/>
          <w:szCs w:val="24"/>
          <w:shd w:val="clear" w:color="auto" w:fill="FFFFFF"/>
        </w:rPr>
      </w:pPr>
      <w:r>
        <w:rPr>
          <w:rFonts w:hint="eastAsia" w:ascii="宋体" w:hAnsi="宋体" w:eastAsia="宋体" w:cs="宋体"/>
          <w:sz w:val="24"/>
          <w:szCs w:val="24"/>
        </w:rPr>
        <w:t>（11）保证设备维护后达到符合厂家标准或相应的国家质量标准的要求，并能通过市级以上国家</w:t>
      </w:r>
      <w:r>
        <w:rPr>
          <w:rFonts w:hint="eastAsia" w:ascii="宋体" w:hAnsi="宋体" w:eastAsia="宋体" w:cs="宋体"/>
          <w:color w:val="36363D"/>
          <w:sz w:val="24"/>
          <w:szCs w:val="24"/>
          <w:shd w:val="clear" w:color="auto" w:fill="FFFFFF"/>
        </w:rPr>
        <w:t>质量技术监督部门检测机构的检测。院方有权对所维保设备所供应产品进行检验，若检验结果不符合行业通行标准、厂方出厂标准以及本招标（谈判）文件的要求，若检验结果不符合以上任意一条标准，中标人应承担合同总额20%的违约责任，同时医院有权解除合同。</w:t>
      </w:r>
    </w:p>
    <w:p w14:paraId="7FD9C3F0">
      <w:pPr>
        <w:shd w:val="clear" w:color="auto" w:fill="FFFFFF"/>
        <w:spacing w:line="360" w:lineRule="atLeast"/>
        <w:ind w:firstLine="560"/>
        <w:rPr>
          <w:rFonts w:ascii="宋体" w:hAnsi="宋体" w:eastAsia="宋体" w:cs="宋体"/>
          <w:color w:val="000000" w:themeColor="text1"/>
          <w:sz w:val="24"/>
          <w:szCs w:val="24"/>
          <w:shd w:val="clear" w:color="auto" w:fill="FFFFFF"/>
          <w14:textFill>
            <w14:solidFill>
              <w14:schemeClr w14:val="tx1"/>
            </w14:solidFill>
          </w14:textFill>
        </w:rPr>
      </w:pPr>
      <w:r>
        <w:rPr>
          <w:rFonts w:hint="eastAsia" w:ascii="宋体" w:hAnsi="宋体" w:eastAsia="宋体" w:cs="宋体"/>
          <w:color w:val="36363D"/>
          <w:sz w:val="24"/>
          <w:szCs w:val="24"/>
          <w:shd w:val="clear" w:color="auto" w:fill="FFFFFF"/>
        </w:rPr>
        <w:t>(12)维保结束</w:t>
      </w:r>
      <w:r>
        <w:rPr>
          <w:rFonts w:hint="eastAsia" w:ascii="宋体" w:hAnsi="宋体" w:eastAsia="宋体" w:cs="宋体"/>
          <w:color w:val="000000" w:themeColor="text1"/>
          <w:sz w:val="24"/>
          <w:szCs w:val="24"/>
          <w:shd w:val="clear" w:color="auto" w:fill="FFFFFF"/>
          <w14:textFill>
            <w14:solidFill>
              <w14:schemeClr w14:val="tx1"/>
            </w14:solidFill>
          </w14:textFill>
        </w:rPr>
        <w:t>时间止，</w:t>
      </w:r>
      <w:r>
        <w:rPr>
          <w:rFonts w:hint="eastAsia" w:ascii="宋体" w:hAnsi="宋体" w:eastAsia="宋体" w:cs="宋体"/>
          <w:color w:val="000000" w:themeColor="text1"/>
          <w:sz w:val="24"/>
          <w:szCs w:val="24"/>
          <w14:textFill>
            <w14:solidFill>
              <w14:schemeClr w14:val="tx1"/>
            </w14:solidFill>
          </w14:textFill>
        </w:rPr>
        <w:t>1.5T磁共振成像系统</w:t>
      </w:r>
      <w:r>
        <w:rPr>
          <w:rFonts w:hint="eastAsia" w:ascii="宋体" w:hAnsi="宋体" w:eastAsia="宋体" w:cs="宋体"/>
          <w:color w:val="000000" w:themeColor="text1"/>
          <w:sz w:val="24"/>
          <w:szCs w:val="24"/>
          <w:shd w:val="clear" w:color="auto" w:fill="FFFFFF"/>
          <w14:textFill>
            <w14:solidFill>
              <w14:schemeClr w14:val="tx1"/>
            </w14:solidFill>
          </w14:textFill>
        </w:rPr>
        <w:t>液氦量需达到80%。</w:t>
      </w:r>
    </w:p>
    <w:p w14:paraId="4EFA76B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4597AB"/>
    <w:multiLevelType w:val="singleLevel"/>
    <w:tmpl w:val="CE4597AB"/>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B1542C"/>
    <w:rsid w:val="3BB154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2026-05-14T06:27:00Z</dcterms:created>
  <dc:creator>Administrator</dc:creator>
  <cp:lastModifiedBy>Administrator</cp:lastModifiedBy>
  <dcterms:modified xsi:type="dcterms:W3CDTF">2026-05-14T06:27:46Z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1085AF289FA14D9ABCE6373B834DAF37_11</vt:lpwstr>
  </property>
  <property fmtid="{D5CDD505-2E9C-101B-9397-08002B2CF9AE}" pid="4" name="KSOTemplateDocerSaveRecord">
    <vt:lpwstr>eyJoZGlkIjoiMjJjYjg1NmJkNmNjZWMyN2M5NmNhYTlhZDE3MzI4NWQiLCJ1c2VySWQiOiI2NTk5MjMzNTAifQ==</vt:lpwstr>
  </property>
</Properties>
</file>