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00F135">
      <w:pPr>
        <w:pageBreakBefore w:val="0"/>
        <w:widowControl w:val="0"/>
        <w:kinsoku/>
        <w:wordWrap/>
        <w:overflowPunct/>
        <w:topLinePunct w:val="0"/>
        <w:bidi w:val="0"/>
        <w:spacing w:before="63" w:line="224" w:lineRule="auto"/>
        <w:jc w:val="center"/>
        <w:outlineLvl w:val="0"/>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bookmarkStart w:id="0" w:name="bookmark80"/>
      <w:bookmarkEnd w:id="0"/>
      <w:bookmarkStart w:id="1" w:name="bookmark79"/>
      <w:bookmarkEnd w:id="1"/>
      <w:bookmarkStart w:id="2" w:name="_Toc20804"/>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2"/>
    </w:p>
    <w:p w14:paraId="6A49C799">
      <w:pPr>
        <w:keepNext w:val="0"/>
        <w:keepLines w:val="0"/>
        <w:widowControl/>
        <w:suppressLineNumbers w:val="0"/>
        <w:jc w:val="left"/>
        <w:rPr>
          <w:rFonts w:hint="default"/>
          <w:lang w:val="en-US"/>
        </w:rPr>
      </w:pPr>
      <w:r>
        <w:rPr>
          <w:rFonts w:hint="eastAsia" w:ascii="仿宋" w:hAnsi="仿宋" w:eastAsia="仿宋" w:cs="仿宋"/>
          <w:b/>
          <w:bCs/>
          <w:color w:val="000000"/>
          <w:kern w:val="0"/>
          <w:sz w:val="24"/>
          <w:szCs w:val="24"/>
          <w:lang w:val="en-US" w:eastAsia="zh-CN" w:bidi="ar"/>
        </w:rPr>
        <w:t>一、采购需求及技术需求</w:t>
      </w:r>
    </w:p>
    <w:tbl>
      <w:tblPr>
        <w:tblStyle w:val="17"/>
        <w:tblW w:w="1102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41"/>
        <w:gridCol w:w="1537"/>
        <w:gridCol w:w="6315"/>
        <w:gridCol w:w="998"/>
        <w:gridCol w:w="817"/>
        <w:gridCol w:w="716"/>
      </w:tblGrid>
      <w:tr w14:paraId="08807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6AAF0">
            <w:pPr>
              <w:keepNext w:val="0"/>
              <w:keepLines w:val="0"/>
              <w:widowControl/>
              <w:suppressLineNumbers w:val="0"/>
              <w:jc w:val="center"/>
              <w:textAlignment w:val="center"/>
              <w:rPr>
                <w:rFonts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序号</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B53EA">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设备名称</w:t>
            </w:r>
          </w:p>
        </w:tc>
        <w:tc>
          <w:tcPr>
            <w:tcW w:w="6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2D9C7">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技术参数</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872CE">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数量</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C290A">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单位</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9A411">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备注</w:t>
            </w:r>
          </w:p>
        </w:tc>
      </w:tr>
      <w:tr w14:paraId="3EAD9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1024"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E6DF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一、室内全彩P2.0显示屏</w:t>
            </w:r>
          </w:p>
        </w:tc>
      </w:tr>
      <w:tr w14:paraId="764AA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98AB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9B47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室内P2全彩LED屏</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top"/>
          </w:tcPr>
          <w:p w14:paraId="6A7E77CE">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1．像素间距：≤2.0mm </w:t>
            </w:r>
          </w:p>
          <w:p w14:paraId="38027FDE">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2．模组尺寸： 320mm×160mm </w:t>
            </w:r>
          </w:p>
          <w:p w14:paraId="39CE37E5">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3．功耗：峰值功耗≤300W/㎡，平均功耗≤100W/㎡</w:t>
            </w:r>
            <w:r>
              <w:rPr>
                <w:rStyle w:val="52"/>
                <w:rFonts w:hint="eastAsia"/>
                <w:i w:val="0"/>
                <w:iCs w:val="0"/>
                <w:color w:val="000000"/>
                <w:lang w:val="en-US" w:eastAsia="zh-CN" w:bidi="ar"/>
              </w:rPr>
              <w:t>（</w:t>
            </w:r>
            <w:r>
              <w:rPr>
                <w:rStyle w:val="52"/>
                <w:i w:val="0"/>
                <w:iCs w:val="0"/>
                <w:color w:val="000000"/>
                <w:lang w:val="en-US" w:eastAsia="zh-CN" w:bidi="ar"/>
              </w:rPr>
              <w:t>提供</w:t>
            </w:r>
            <w:r>
              <w:rPr>
                <w:rStyle w:val="52"/>
                <w:lang w:val="en-US" w:eastAsia="zh-CN" w:bidi="ar"/>
              </w:rPr>
              <w:t>具有相应检测资质的第三方检测机构出具的带有CMA或CNAS标识的检验（测）报告原件扫描件加盖投标人公章佐证）</w:t>
            </w:r>
            <w:r>
              <w:rPr>
                <w:rFonts w:hint="eastAsia" w:ascii="仿宋" w:hAnsi="仿宋" w:eastAsia="仿宋" w:cs="仿宋"/>
                <w:i w:val="0"/>
                <w:iCs w:val="0"/>
                <w:color w:val="000000"/>
                <w:kern w:val="0"/>
                <w:sz w:val="20"/>
                <w:szCs w:val="20"/>
                <w:u w:val="none"/>
                <w:lang w:val="en-US" w:eastAsia="zh-CN" w:bidi="ar"/>
              </w:rPr>
              <w:t xml:space="preserve">    </w:t>
            </w:r>
          </w:p>
          <w:p w14:paraId="638B01F4">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4．亮度均匀≥99% </w:t>
            </w:r>
          </w:p>
          <w:p w14:paraId="59E43576">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5．亮度≥500cd/㎡，亮度调节自动/手动，0-100%可调 </w:t>
            </w:r>
          </w:p>
          <w:p w14:paraId="7A01E90E">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6．对比度≥5000:1 </w:t>
            </w:r>
          </w:p>
          <w:p w14:paraId="513E7419">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7．色温：1000-21000K可调  </w:t>
            </w:r>
          </w:p>
          <w:p w14:paraId="53ED81D3">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8．色度均匀性:±0.001之内 </w:t>
            </w:r>
          </w:p>
          <w:p w14:paraId="1FE0C490">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9．刷新率≥3840Hz </w:t>
            </w:r>
          </w:p>
          <w:p w14:paraId="30F96AAF">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10．模组供电：模组采用 4.2-4.5VDC 安全电压供电 </w:t>
            </w:r>
          </w:p>
          <w:p w14:paraId="4819BDD4">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11．智能节电：LED显示屏动态节能设计，具有智能(黑屏)节电功能，开启智能节电功能比没有开启节能60%以上 </w:t>
            </w:r>
          </w:p>
          <w:p w14:paraId="60050554">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12．电源平均效率:依据GB 20943-2013附录A的规定进行，在室温下，LED显示屏供电电源的功率因数不小于90%，转换效率不小于70% </w:t>
            </w:r>
          </w:p>
          <w:p w14:paraId="5C9E2584">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13．能源效率≥3.5cd/w，达到能效一级标准 </w:t>
            </w:r>
          </w:p>
          <w:p w14:paraId="22FAD721">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14．结构:可采用钢、铝、镀锌方管、塑料等材料，结构安全稳固 </w:t>
            </w:r>
          </w:p>
          <w:p w14:paraId="67DCB8B2">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15．工频磁场：满足工频磁场抗扰程度测试等级10A/m，测试中和测试结束后产品无异常，符合性能判据A </w:t>
            </w:r>
          </w:p>
          <w:p w14:paraId="73CF0199">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16．雾度：可见光投射比≥89.89%，因磨耗引起的雾度≤1.30%，抗磨性能符合标准中的技术要求，</w:t>
            </w:r>
            <w:r>
              <w:rPr>
                <w:rStyle w:val="52"/>
                <w:rFonts w:hint="eastAsia"/>
                <w:i w:val="0"/>
                <w:iCs w:val="0"/>
                <w:color w:val="000000"/>
                <w:lang w:val="en-US" w:eastAsia="zh-CN" w:bidi="ar"/>
              </w:rPr>
              <w:t>（</w:t>
            </w:r>
            <w:r>
              <w:rPr>
                <w:rStyle w:val="52"/>
                <w:i w:val="0"/>
                <w:iCs w:val="0"/>
                <w:color w:val="000000"/>
                <w:lang w:val="en-US" w:eastAsia="zh-CN" w:bidi="ar"/>
              </w:rPr>
              <w:t>提供</w:t>
            </w:r>
            <w:r>
              <w:rPr>
                <w:rStyle w:val="52"/>
                <w:lang w:val="en-US" w:eastAsia="zh-CN" w:bidi="ar"/>
              </w:rPr>
              <w:t>具有相应检测资质的第三方检测机构出具的带有CMA或CNAS标识的检验（测）报告原件扫描件加盖投标人公章佐证）</w:t>
            </w:r>
            <w:r>
              <w:rPr>
                <w:rFonts w:hint="eastAsia" w:ascii="仿宋" w:hAnsi="仿宋" w:eastAsia="仿宋" w:cs="仿宋"/>
                <w:i w:val="0"/>
                <w:iCs w:val="0"/>
                <w:color w:val="000000"/>
                <w:kern w:val="0"/>
                <w:sz w:val="20"/>
                <w:szCs w:val="20"/>
                <w:u w:val="none"/>
                <w:lang w:val="en-US" w:eastAsia="zh-CN" w:bidi="ar"/>
              </w:rPr>
              <w:t xml:space="preserve">    </w:t>
            </w:r>
          </w:p>
          <w:p w14:paraId="16E24C92">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17．具备旋转式灯板设计，弱化跨板耦合效应，保证更优质的显示效果；具有智能(黑屏)节电功能，开启智能节电功能比没有开启节能60%以上。 </w:t>
            </w:r>
          </w:p>
          <w:p w14:paraId="0C1EC7DA">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18．色温1000-21000K可调，色温误差≤200K；图像具有降噪、增强、运动补偿、色坐标变换处理、钝化处理、无几何失真和非线性失真现象、消除鬼影拖尾，无“毛毛虫”“鬼影”跟随现象；显示画面无几何畸变、扭曲、比例失调情况，无亮度、色温非线性失真，</w:t>
            </w:r>
            <w:r>
              <w:rPr>
                <w:rStyle w:val="52"/>
                <w:rFonts w:hint="eastAsia"/>
                <w:i w:val="0"/>
                <w:iCs w:val="0"/>
                <w:color w:val="000000"/>
                <w:lang w:val="en-US" w:eastAsia="zh-CN" w:bidi="ar"/>
              </w:rPr>
              <w:t>（</w:t>
            </w:r>
            <w:r>
              <w:rPr>
                <w:rStyle w:val="52"/>
                <w:i w:val="0"/>
                <w:iCs w:val="0"/>
                <w:color w:val="000000"/>
                <w:lang w:val="en-US" w:eastAsia="zh-CN" w:bidi="ar"/>
              </w:rPr>
              <w:t>提供</w:t>
            </w:r>
            <w:r>
              <w:rPr>
                <w:rStyle w:val="52"/>
                <w:lang w:val="en-US" w:eastAsia="zh-CN" w:bidi="ar"/>
              </w:rPr>
              <w:t>具有相应检测资质的第三方检测机构出具的带有CMA或CNAS标识的检验（测）报告原件扫描件加盖投标人公章佐证）</w:t>
            </w:r>
            <w:r>
              <w:rPr>
                <w:rFonts w:hint="eastAsia" w:ascii="仿宋" w:hAnsi="仿宋" w:eastAsia="仿宋" w:cs="仿宋"/>
                <w:i w:val="0"/>
                <w:iCs w:val="0"/>
                <w:color w:val="000000"/>
                <w:kern w:val="0"/>
                <w:sz w:val="20"/>
                <w:szCs w:val="20"/>
                <w:u w:val="none"/>
                <w:lang w:val="en-US" w:eastAsia="zh-CN" w:bidi="ar"/>
              </w:rPr>
              <w:t xml:space="preserve">    </w:t>
            </w:r>
          </w:p>
          <w:p w14:paraId="0274D20D">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 xml:space="preserve">19．为防止金属离子迁移、线路短路现象，PCB采用FR-4 四层板同等级或更高材料，PCB导线更宽、导线间距和过孔间距更大，能更好的杜绝模块黑屏、显示异常、灯珠缺色、毛毛虫等现象。 </w:t>
            </w:r>
          </w:p>
          <w:p w14:paraId="6CF1E91D">
            <w:pPr>
              <w:keepNext w:val="0"/>
              <w:keepLines w:val="0"/>
              <w:widowControl/>
              <w:suppressLineNumbers w:val="0"/>
              <w:jc w:val="left"/>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20．依据GB 20943-2013附录A的规定进行，在室温下，LED显示屏供电电源的功率因数不小于90%，转换效率不小于70%。并符合GB 4943.1-2022音视频、信息技术和通信技术设备第1部分:安全要求标准规定，符合安全性要求，</w:t>
            </w:r>
            <w:r>
              <w:rPr>
                <w:rStyle w:val="52"/>
                <w:rFonts w:hint="eastAsia"/>
                <w:i w:val="0"/>
                <w:iCs w:val="0"/>
                <w:color w:val="000000"/>
                <w:lang w:val="en-US" w:eastAsia="zh-CN" w:bidi="ar"/>
              </w:rPr>
              <w:t>（</w:t>
            </w:r>
            <w:r>
              <w:rPr>
                <w:rStyle w:val="52"/>
                <w:i w:val="0"/>
                <w:iCs w:val="0"/>
                <w:color w:val="000000"/>
                <w:lang w:val="en-US" w:eastAsia="zh-CN" w:bidi="ar"/>
              </w:rPr>
              <w:t>提供</w:t>
            </w:r>
            <w:r>
              <w:rPr>
                <w:rStyle w:val="52"/>
                <w:lang w:val="en-US" w:eastAsia="zh-CN" w:bidi="ar"/>
              </w:rPr>
              <w:t>具有相应检测资质的第三方检测机构出具的带有CMA或CNAS标识的检验（测）报告原件扫描件加盖投标人公章佐证）</w:t>
            </w:r>
            <w:r>
              <w:rPr>
                <w:rFonts w:hint="eastAsia" w:ascii="仿宋" w:hAnsi="仿宋" w:eastAsia="仿宋" w:cs="仿宋"/>
                <w:i w:val="0"/>
                <w:iCs w:val="0"/>
                <w:color w:val="000000"/>
                <w:kern w:val="0"/>
                <w:sz w:val="20"/>
                <w:szCs w:val="20"/>
                <w:u w:val="none"/>
                <w:lang w:val="en-US" w:eastAsia="zh-CN" w:bidi="ar"/>
              </w:rPr>
              <w:t xml:space="preserve">    </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2004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14.7456</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305B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平方</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B5767">
            <w:pPr>
              <w:jc w:val="center"/>
              <w:rPr>
                <w:rFonts w:hint="eastAsia" w:ascii="仿宋" w:hAnsi="仿宋" w:eastAsia="仿宋" w:cs="仿宋"/>
                <w:i w:val="0"/>
                <w:iCs w:val="0"/>
                <w:color w:val="000000"/>
                <w:sz w:val="20"/>
                <w:szCs w:val="20"/>
                <w:u w:val="none"/>
              </w:rPr>
            </w:pPr>
          </w:p>
        </w:tc>
      </w:tr>
      <w:tr w14:paraId="47E1F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B55D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BBD9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LED电源</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7B84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1.额定输入电压范围：200-240VAC</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2.输入频率范围：47-63HZ</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3.空载功耗 5W</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4.额定输出电压范围：4.36V-4.64V</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5.额定输出电流范围：0-40A</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6.电压过冲 5%Vout</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7.纹波噪音 ≤200mV</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8.动态负载 10%-100%Load：≤800mV(峰值）</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9.过流保护：48-76A故障消除后自动恢复工作</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10.低温启动:-40℃，220Vac输入，热机5分钟，带载40A，可以启动</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11.工作温度:-40℃～70℃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12.存储温度:-40℃～85℃</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13.工作湿度:20%RH～90%RH</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14.存储湿度:10%RH～95%RH</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15.散热方式:自然对流散热，需紧贴客户金属机箱外壳散热</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C417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48</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38CB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B16E5">
            <w:pPr>
              <w:jc w:val="center"/>
              <w:rPr>
                <w:rFonts w:hint="eastAsia" w:ascii="仿宋" w:hAnsi="仿宋" w:eastAsia="仿宋" w:cs="仿宋"/>
                <w:i w:val="0"/>
                <w:iCs w:val="0"/>
                <w:color w:val="000000"/>
                <w:sz w:val="20"/>
                <w:szCs w:val="20"/>
                <w:u w:val="none"/>
              </w:rPr>
            </w:pPr>
          </w:p>
        </w:tc>
      </w:tr>
      <w:tr w14:paraId="5B2F0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EDB7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3977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接收卡</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4DDBB">
            <w:pPr>
              <w:keepNext w:val="0"/>
              <w:keepLines w:val="0"/>
              <w:widowControl/>
              <w:suppressLineNumbers w:val="0"/>
              <w:jc w:val="left"/>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1．软件支持逐级调整LED帧间隔，匹配手机相机的高快门速度模式，调整范围0-50消除手机相机在高快门速度模式下拍摄带来的黑场闪屏，</w:t>
            </w:r>
            <w:r>
              <w:rPr>
                <w:rStyle w:val="52"/>
                <w:rFonts w:hint="eastAsia"/>
                <w:i w:val="0"/>
                <w:iCs w:val="0"/>
                <w:color w:val="000000"/>
                <w:lang w:val="en-US" w:eastAsia="zh-CN" w:bidi="ar"/>
              </w:rPr>
              <w:t>（</w:t>
            </w:r>
            <w:r>
              <w:rPr>
                <w:rStyle w:val="52"/>
                <w:i w:val="0"/>
                <w:iCs w:val="0"/>
                <w:color w:val="000000"/>
                <w:lang w:val="en-US" w:eastAsia="zh-CN" w:bidi="ar"/>
              </w:rPr>
              <w:t>提供</w:t>
            </w:r>
            <w:r>
              <w:rPr>
                <w:rStyle w:val="52"/>
                <w:lang w:val="en-US" w:eastAsia="zh-CN" w:bidi="ar"/>
              </w:rPr>
              <w:t>具有相应检测资质的第三方检测机构出具的带有CMA或CNAS标识的检验（测）报告原件扫描件加盖投标人公章佐证）</w:t>
            </w:r>
            <w:r>
              <w:rPr>
                <w:rFonts w:hint="eastAsia" w:ascii="仿宋" w:hAnsi="仿宋" w:eastAsia="仿宋" w:cs="仿宋"/>
                <w:i w:val="0"/>
                <w:iCs w:val="0"/>
                <w:color w:val="000000"/>
                <w:kern w:val="0"/>
                <w:sz w:val="20"/>
                <w:szCs w:val="20"/>
                <w:u w:val="none"/>
                <w:lang w:val="en-US" w:eastAsia="zh-CN" w:bidi="ar"/>
              </w:rPr>
              <w:t xml:space="preserve">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2．支持软件自动在LED大屏显示一套编码图，通过手机拍照并将照片载入软件，即可自动完成屏体连接。</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3．针对不同手机的拍摄频率，软件支持1-16逐级调节倍频数，消除手机拍摄带来的扫描线。</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4．环境湿度过大时或者屏幕长时间未使用时候，为了保护LED大屏的使用寿命。支持通过软件一键实现30-600分钟以灰度渐变方式回温除湿。</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5．支持向导式设置，用户根据软件提示即可完成操作，便于完成模组的点亮，</w:t>
            </w:r>
            <w:r>
              <w:rPr>
                <w:rStyle w:val="52"/>
                <w:rFonts w:hint="eastAsia"/>
                <w:i w:val="0"/>
                <w:iCs w:val="0"/>
                <w:color w:val="000000"/>
                <w:lang w:val="en-US" w:eastAsia="zh-CN" w:bidi="ar"/>
              </w:rPr>
              <w:t>（</w:t>
            </w:r>
            <w:r>
              <w:rPr>
                <w:rStyle w:val="52"/>
                <w:i w:val="0"/>
                <w:iCs w:val="0"/>
                <w:color w:val="000000"/>
                <w:lang w:val="en-US" w:eastAsia="zh-CN" w:bidi="ar"/>
              </w:rPr>
              <w:t>提供</w:t>
            </w:r>
            <w:r>
              <w:rPr>
                <w:rStyle w:val="52"/>
                <w:lang w:val="en-US" w:eastAsia="zh-CN" w:bidi="ar"/>
              </w:rPr>
              <w:t>具有相应检测资质的第三方检测机构出具的带有CMA或CNAS标识的检验（测）报告原件扫描件加盖投标人公章佐证）</w:t>
            </w:r>
            <w:r>
              <w:rPr>
                <w:rFonts w:hint="eastAsia" w:ascii="仿宋" w:hAnsi="仿宋" w:eastAsia="仿宋" w:cs="仿宋"/>
                <w:i w:val="0"/>
                <w:iCs w:val="0"/>
                <w:color w:val="000000"/>
                <w:kern w:val="0"/>
                <w:sz w:val="20"/>
                <w:szCs w:val="20"/>
                <w:u w:val="none"/>
                <w:lang w:val="en-US" w:eastAsia="zh-CN" w:bidi="ar"/>
              </w:rPr>
              <w:t xml:space="preserve">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6．支持高灰高刷，低亮高灰显示，可消除某行偏暗、低灰、偏红、鬼影等细节问题。</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7．支持各种PWM芯片、双锁存芯片、通用芯片。</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BD78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9FED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张</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073CA">
            <w:pPr>
              <w:jc w:val="center"/>
              <w:rPr>
                <w:rFonts w:hint="eastAsia" w:ascii="仿宋" w:hAnsi="仿宋" w:eastAsia="仿宋" w:cs="仿宋"/>
                <w:i w:val="0"/>
                <w:iCs w:val="0"/>
                <w:color w:val="000000"/>
                <w:sz w:val="20"/>
                <w:szCs w:val="20"/>
                <w:u w:val="none"/>
              </w:rPr>
            </w:pPr>
          </w:p>
        </w:tc>
      </w:tr>
      <w:tr w14:paraId="6BEC5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5"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8020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C3B2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视频处理器</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967A7">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1.支持常见的视频接口，包括2路 HDMI1.3，1路 DVI。</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2.支持3.5mm音频输入和3.5mm音频输出。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3.支持3个窗口和1路OSD。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4.支持快捷配屏和高级配屏功能。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5.支持HDMI、DVI输入分辨率自定义调节。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6.支持设备间备份设置。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7.视频输出最大带载高达390万像素，最大宽度10240，最大高度8192。</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8.支持一键将优先级最低的窗口全屏自动缩放，增强产品实用性能。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9.支持创建10个用户场景作为模板保存，方便使用。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设备的接地和连接保护措施，可触及导体部件已经可靠接入保护接地，设备内的保护接地导体和保护连接导体中的元器件未串接开关或过流保护装置，并且所有的接地装置通过耐腐蚀性测试。</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52B0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1695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72790">
            <w:pPr>
              <w:jc w:val="center"/>
              <w:rPr>
                <w:rFonts w:hint="eastAsia" w:ascii="仿宋" w:hAnsi="仿宋" w:eastAsia="仿宋" w:cs="仿宋"/>
                <w:i w:val="0"/>
                <w:iCs w:val="0"/>
                <w:color w:val="000000"/>
                <w:sz w:val="20"/>
                <w:szCs w:val="20"/>
                <w:u w:val="none"/>
              </w:rPr>
            </w:pPr>
          </w:p>
        </w:tc>
      </w:tr>
      <w:tr w14:paraId="1FA0E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8655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0935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智能保护系统</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3B9E9">
            <w:pPr>
              <w:keepNext w:val="0"/>
              <w:keepLines w:val="0"/>
              <w:widowControl/>
              <w:suppressLineNumbers w:val="0"/>
              <w:jc w:val="left"/>
              <w:textAlignment w:val="center"/>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1、尺寸≤300mm*400mm*150mm，内置显示屏，标配网络防雷接口≥2路、RS485接口≥6路、漏电监测接口≥6路、开关量接口≥3路、HDMI接口≥1路、USB接口≥2路、电源输出接口≥2路16A国标五孔插座，通讯接口包含RJ45、4G、WIFI；提供产品完整实物且体现接口的清晰照片并加投标人公章</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2、具有电涌保护功能支持网络和电源系统防雷击防浪涌；</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3、产品符合GB/T 18802.21-2016《低压电涌保护器第21部分:电信和信号网络的电涌保护器(SPD)性能要求和试验方法》：冲击耐受能力(1.2/50us-8/20us)≥10kV/5kA；</w:t>
            </w:r>
            <w:r>
              <w:rPr>
                <w:rFonts w:hint="eastAsia" w:ascii="仿宋" w:hAnsi="仿宋" w:eastAsia="仿宋" w:cs="仿宋"/>
                <w:b/>
                <w:bCs/>
                <w:i w:val="0"/>
                <w:iCs w:val="0"/>
                <w:color w:val="000000"/>
                <w:kern w:val="0"/>
                <w:sz w:val="20"/>
                <w:szCs w:val="20"/>
                <w:u w:val="none"/>
                <w:lang w:val="en-US" w:eastAsia="zh-CN" w:bidi="ar"/>
              </w:rPr>
              <w:t>（</w:t>
            </w:r>
            <w:r>
              <w:rPr>
                <w:rStyle w:val="52"/>
                <w:b/>
                <w:bCs/>
                <w:i w:val="0"/>
                <w:iCs w:val="0"/>
                <w:color w:val="000000"/>
                <w:lang w:val="en-US" w:eastAsia="zh-CN" w:bidi="ar"/>
              </w:rPr>
              <w:t>提供</w:t>
            </w:r>
            <w:r>
              <w:rPr>
                <w:rStyle w:val="52"/>
                <w:b/>
                <w:bCs/>
                <w:lang w:val="en-US" w:eastAsia="zh-CN" w:bidi="ar"/>
              </w:rPr>
              <w:t>具有相应检测资质的第三方检测机构出具的带有CMA或CNAS标识的</w:t>
            </w:r>
            <w:r>
              <w:rPr>
                <w:rFonts w:hint="eastAsia" w:ascii="仿宋" w:hAnsi="仿宋" w:eastAsia="仿宋" w:cs="仿宋"/>
                <w:b/>
                <w:bCs/>
                <w:i w:val="0"/>
                <w:iCs w:val="0"/>
                <w:color w:val="000000"/>
                <w:kern w:val="0"/>
                <w:sz w:val="20"/>
                <w:szCs w:val="20"/>
                <w:u w:val="none"/>
                <w:lang w:val="en-US" w:eastAsia="zh-CN" w:bidi="ar"/>
              </w:rPr>
              <w:t>依据GB/T 18802.21-2016标准出具的完整检测报告并加盖投标人公章</w:t>
            </w:r>
            <w:r>
              <w:rPr>
                <w:rStyle w:val="52"/>
                <w:b/>
                <w:bCs/>
                <w:lang w:val="en-US" w:eastAsia="zh-CN" w:bidi="ar"/>
              </w:rPr>
              <w:t>佐证</w:t>
            </w:r>
            <w:r>
              <w:rPr>
                <w:rFonts w:hint="eastAsia" w:ascii="仿宋" w:hAnsi="仿宋" w:eastAsia="仿宋" w:cs="仿宋"/>
                <w:b/>
                <w:bCs/>
                <w:i w:val="0"/>
                <w:iCs w:val="0"/>
                <w:color w:val="000000"/>
                <w:kern w:val="0"/>
                <w:sz w:val="20"/>
                <w:szCs w:val="20"/>
                <w:u w:val="none"/>
                <w:lang w:val="en-US" w:eastAsia="zh-CN" w:bidi="ar"/>
              </w:rPr>
              <w:t>）</w:t>
            </w:r>
            <w:r>
              <w:rPr>
                <w:rFonts w:hint="eastAsia" w:ascii="仿宋" w:hAnsi="仿宋" w:eastAsia="仿宋" w:cs="仿宋"/>
                <w:b/>
                <w:bCs/>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4、产品符合GB/T 18802.11-2020《低压电涌保护器(SPD)第11部分:低压电源系统的电涌保护器性能要求和试验方法》：标称放电电流In(8/20μs)≥20kA，最大放电电流Imax(8/20μs)≥40kA，电压保护水平Up≤1.6kV；</w:t>
            </w:r>
            <w:r>
              <w:rPr>
                <w:rFonts w:hint="eastAsia" w:ascii="仿宋" w:hAnsi="仿宋" w:eastAsia="仿宋" w:cs="仿宋"/>
                <w:b/>
                <w:bCs/>
                <w:i w:val="0"/>
                <w:iCs w:val="0"/>
                <w:color w:val="000000"/>
                <w:kern w:val="0"/>
                <w:sz w:val="20"/>
                <w:szCs w:val="20"/>
                <w:u w:val="none"/>
                <w:lang w:val="en-US" w:eastAsia="zh-CN" w:bidi="ar"/>
              </w:rPr>
              <w:t>（</w:t>
            </w:r>
            <w:r>
              <w:rPr>
                <w:rStyle w:val="52"/>
                <w:b/>
                <w:bCs/>
                <w:i w:val="0"/>
                <w:iCs w:val="0"/>
                <w:color w:val="000000"/>
                <w:lang w:val="en-US" w:eastAsia="zh-CN" w:bidi="ar"/>
              </w:rPr>
              <w:t>提供</w:t>
            </w:r>
            <w:r>
              <w:rPr>
                <w:rStyle w:val="52"/>
                <w:b/>
                <w:bCs/>
                <w:lang w:val="en-US" w:eastAsia="zh-CN" w:bidi="ar"/>
              </w:rPr>
              <w:t>具有相应检测资质的第三方检测机构出具的带有CMA或CNAS标识的</w:t>
            </w:r>
            <w:r>
              <w:rPr>
                <w:rFonts w:hint="eastAsia" w:ascii="仿宋" w:hAnsi="仿宋" w:eastAsia="仿宋" w:cs="仿宋"/>
                <w:b/>
                <w:bCs/>
                <w:i w:val="0"/>
                <w:iCs w:val="0"/>
                <w:color w:val="000000"/>
                <w:kern w:val="0"/>
                <w:sz w:val="20"/>
                <w:szCs w:val="20"/>
                <w:u w:val="none"/>
                <w:lang w:val="en-US" w:eastAsia="zh-CN" w:bidi="ar"/>
              </w:rPr>
              <w:t>依据GB/T 18802.21-2016标准出具的完整检测报告并加盖投标人公章</w:t>
            </w:r>
            <w:r>
              <w:rPr>
                <w:rStyle w:val="52"/>
                <w:b/>
                <w:bCs/>
                <w:lang w:val="en-US" w:eastAsia="zh-CN" w:bidi="ar"/>
              </w:rPr>
              <w:t>佐证</w:t>
            </w:r>
            <w:r>
              <w:rPr>
                <w:rFonts w:hint="eastAsia" w:ascii="仿宋" w:hAnsi="仿宋" w:eastAsia="仿宋" w:cs="仿宋"/>
                <w:b/>
                <w:bCs/>
                <w:i w:val="0"/>
                <w:iCs w:val="0"/>
                <w:color w:val="000000"/>
                <w:kern w:val="0"/>
                <w:sz w:val="20"/>
                <w:szCs w:val="20"/>
                <w:u w:val="none"/>
                <w:lang w:val="en-US" w:eastAsia="zh-CN" w:bidi="ar"/>
              </w:rPr>
              <w:t>）</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5、内置触控显示屏≥7英寸，</w:t>
            </w:r>
          </w:p>
          <w:p w14:paraId="3DA441CA">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6、可显示监测状态、设备信息和告警信息等，屏显内容包含：防雷器状态、防雷器温度、防雷器寿命、雷击浪涌次数、接地通断、漏电流、温度、湿度、烟雾、水浸、告警信息、安装单位、联系人、联系电话，</w:t>
            </w:r>
            <w:r>
              <w:rPr>
                <w:rFonts w:hint="eastAsia" w:ascii="仿宋" w:hAnsi="仿宋" w:eastAsia="仿宋" w:cs="仿宋"/>
                <w:b/>
                <w:bCs/>
                <w:i w:val="0"/>
                <w:iCs w:val="0"/>
                <w:color w:val="000000"/>
                <w:kern w:val="0"/>
                <w:sz w:val="20"/>
                <w:szCs w:val="20"/>
                <w:u w:val="none"/>
                <w:lang w:val="en-US" w:eastAsia="zh-CN" w:bidi="ar"/>
              </w:rPr>
              <w:t>（提供以上各项屏显内容的清晰照片并加盖投标人公章</w:t>
            </w:r>
            <w:r>
              <w:rPr>
                <w:rStyle w:val="52"/>
                <w:b/>
                <w:bCs/>
                <w:lang w:val="en-US" w:eastAsia="zh-CN" w:bidi="ar"/>
              </w:rPr>
              <w:t>佐证</w:t>
            </w:r>
            <w:r>
              <w:rPr>
                <w:rFonts w:hint="eastAsia" w:ascii="仿宋" w:hAnsi="仿宋" w:eastAsia="仿宋" w:cs="仿宋"/>
                <w:b/>
                <w:bCs/>
                <w:i w:val="0"/>
                <w:iCs w:val="0"/>
                <w:color w:val="000000"/>
                <w:kern w:val="0"/>
                <w:sz w:val="20"/>
                <w:szCs w:val="20"/>
                <w:u w:val="none"/>
                <w:lang w:val="en-US" w:eastAsia="zh-CN" w:bidi="ar"/>
              </w:rPr>
              <w:t>）</w:t>
            </w:r>
            <w:r>
              <w:rPr>
                <w:rFonts w:hint="eastAsia" w:ascii="仿宋" w:hAnsi="仿宋" w:eastAsia="仿宋" w:cs="仿宋"/>
                <w:b/>
                <w:bCs/>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7、支持监测指标实时查询、数据分析、视频监控、设备管理、告警阈值管理、触发器管理、工单管理、多级用户权限管理；</w:t>
            </w:r>
            <w:r>
              <w:rPr>
                <w:rFonts w:hint="eastAsia" w:ascii="仿宋" w:hAnsi="仿宋" w:eastAsia="仿宋" w:cs="仿宋"/>
                <w:b/>
                <w:bCs/>
                <w:i w:val="0"/>
                <w:iCs w:val="0"/>
                <w:color w:val="000000"/>
                <w:kern w:val="0"/>
                <w:sz w:val="20"/>
                <w:szCs w:val="20"/>
                <w:u w:val="none"/>
                <w:lang w:val="en-US" w:eastAsia="zh-CN" w:bidi="ar"/>
              </w:rPr>
              <w:t>（提供以上各项软件功能截图并加盖投标人公章</w:t>
            </w:r>
            <w:r>
              <w:rPr>
                <w:rStyle w:val="52"/>
                <w:b/>
                <w:bCs/>
                <w:lang w:val="en-US" w:eastAsia="zh-CN" w:bidi="ar"/>
              </w:rPr>
              <w:t>佐证</w:t>
            </w:r>
            <w:r>
              <w:rPr>
                <w:rFonts w:hint="eastAsia" w:ascii="仿宋" w:hAnsi="仿宋" w:eastAsia="仿宋" w:cs="仿宋"/>
                <w:b/>
                <w:bCs/>
                <w:i w:val="0"/>
                <w:iCs w:val="0"/>
                <w:color w:val="000000"/>
                <w:kern w:val="0"/>
                <w:sz w:val="20"/>
                <w:szCs w:val="20"/>
                <w:u w:val="none"/>
                <w:lang w:val="en-US" w:eastAsia="zh-CN" w:bidi="ar"/>
              </w:rPr>
              <w:t>）</w:t>
            </w:r>
            <w:r>
              <w:rPr>
                <w:rFonts w:hint="eastAsia" w:ascii="仿宋" w:hAnsi="仿宋" w:eastAsia="仿宋" w:cs="仿宋"/>
                <w:b/>
                <w:bCs/>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8、网络防雷接口支持POE供电，可为监控摄像头远程供电，管理平台可实时查看监控画面，支持对视频流的网络传输进行优化整形，降低网络传输引发的视频卡顿风险；</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9、支持设备漏电监测，当漏电监测接口所连接设备的漏电流≤25mA时就可触发报警；</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10、内置1个告警扬声器，消音键1个，告警方式支持设备端扬声器告警、管理平台告警，运维方式支持管理平台查询、故障报修、管理派发工单；</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11、电源输入AC380V，电源接线端口5PIN；</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F8FC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F6D7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07BC7">
            <w:pPr>
              <w:jc w:val="center"/>
              <w:rPr>
                <w:rFonts w:hint="eastAsia" w:ascii="仿宋" w:hAnsi="仿宋" w:eastAsia="仿宋" w:cs="仿宋"/>
                <w:i w:val="0"/>
                <w:iCs w:val="0"/>
                <w:color w:val="000000"/>
                <w:sz w:val="20"/>
                <w:szCs w:val="20"/>
                <w:u w:val="none"/>
              </w:rPr>
            </w:pPr>
          </w:p>
        </w:tc>
      </w:tr>
      <w:tr w14:paraId="0671B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D309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7F48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钢结构</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4FB9D">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行业标准壁挂钢结构，上下左右各包边5公分</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3A01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 xml:space="preserve">15.5556 </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98C5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平方</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EE245">
            <w:pPr>
              <w:jc w:val="center"/>
              <w:rPr>
                <w:rFonts w:hint="eastAsia" w:ascii="仿宋" w:hAnsi="仿宋" w:eastAsia="仿宋" w:cs="仿宋"/>
                <w:i w:val="0"/>
                <w:iCs w:val="0"/>
                <w:color w:val="000000"/>
                <w:sz w:val="20"/>
                <w:szCs w:val="20"/>
                <w:u w:val="none"/>
              </w:rPr>
            </w:pPr>
          </w:p>
        </w:tc>
      </w:tr>
      <w:tr w14:paraId="30035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B0A8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37C9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备用模组</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top"/>
          </w:tcPr>
          <w:p w14:paraId="10A347AE">
            <w:pPr>
              <w:keepNext w:val="0"/>
              <w:keepLines w:val="0"/>
              <w:widowControl/>
              <w:suppressLineNumbers w:val="0"/>
              <w:jc w:val="left"/>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1、像素结构：表贴三合一</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2、像素间距 （mm）：2</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3、模组分辨率（W*H）：160*80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4、模组尺寸(mm)(W*H*D）：320*160*14.3</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5、模组重量 （Kg）：0.37±0.01</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6、单元面积 （㎡）：0.0512</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7、像素密度 （点/㎡）：250000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8、白平衡亮度（nits）：≥450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9、模组平整度：&lt;0.2</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10、水平视角 （ °）：160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11、垂直视角 （ °）：140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12、亮度均匀性：≥95%</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13、对比度：5000:1</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14、输入电压（直流）：4.2~4.5</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15、单模组功耗（W）：≤20.25</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16、单模组最大电流(A)：4.5</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17、供电要求(V)：DC:4.5</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18、驱动方式：恒流驱动40S</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19、换帧频率(Hz)：50&amp;60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20、刷新率(Hz)：≥3840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21、寿命典型值(hrs)：100,000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22、工作温度范围(℃)：-20~40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23、工作湿度范围(RH)：10~65%无凝露</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53F0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255D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张</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6C7D3">
            <w:pPr>
              <w:jc w:val="center"/>
              <w:rPr>
                <w:rFonts w:hint="eastAsia" w:ascii="仿宋" w:hAnsi="仿宋" w:eastAsia="仿宋" w:cs="仿宋"/>
                <w:i w:val="0"/>
                <w:iCs w:val="0"/>
                <w:color w:val="000000"/>
                <w:sz w:val="20"/>
                <w:szCs w:val="20"/>
                <w:u w:val="none"/>
              </w:rPr>
            </w:pPr>
          </w:p>
        </w:tc>
      </w:tr>
      <w:tr w14:paraId="0A097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91DE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79F1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布线</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E0194">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根据现场实际情况布线</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A088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720C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套</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5B990">
            <w:pPr>
              <w:jc w:val="center"/>
              <w:rPr>
                <w:rFonts w:hint="eastAsia" w:ascii="仿宋" w:hAnsi="仿宋" w:eastAsia="仿宋" w:cs="仿宋"/>
                <w:i w:val="0"/>
                <w:iCs w:val="0"/>
                <w:color w:val="000000"/>
                <w:sz w:val="20"/>
                <w:szCs w:val="20"/>
                <w:u w:val="none"/>
              </w:rPr>
            </w:pPr>
          </w:p>
        </w:tc>
      </w:tr>
      <w:tr w14:paraId="44C9C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1024"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4FD3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二、室内会标屏</w:t>
            </w:r>
          </w:p>
        </w:tc>
      </w:tr>
      <w:tr w14:paraId="76F17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77A8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A863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会标屏</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DD19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像素点间距：4.75mm</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基色：红色</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发光点颜色组合：1R</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物理密度：44300 点/m2</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显示模块分辨率：≥长64高32点</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显示模块尺寸：≥长304mm×高152mm</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B439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2.072</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A5A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36198">
            <w:pPr>
              <w:jc w:val="center"/>
              <w:rPr>
                <w:rFonts w:hint="eastAsia" w:ascii="仿宋" w:hAnsi="仿宋" w:eastAsia="仿宋" w:cs="仿宋"/>
                <w:i w:val="0"/>
                <w:iCs w:val="0"/>
                <w:color w:val="000000"/>
                <w:sz w:val="20"/>
                <w:szCs w:val="20"/>
                <w:u w:val="none"/>
              </w:rPr>
            </w:pPr>
          </w:p>
        </w:tc>
      </w:tr>
      <w:tr w14:paraId="06A8D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1024"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CAE3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三、报告厅背景墙和主席台改造装修</w:t>
            </w:r>
          </w:p>
        </w:tc>
      </w:tr>
      <w:tr w14:paraId="6EAD0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F7F5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9BB9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拆除报告厅主席台</w:t>
            </w:r>
          </w:p>
        </w:tc>
        <w:tc>
          <w:tcPr>
            <w:tcW w:w="6315" w:type="dxa"/>
            <w:tcBorders>
              <w:top w:val="single" w:color="000000" w:sz="4" w:space="0"/>
              <w:left w:val="single" w:color="000000" w:sz="4" w:space="0"/>
              <w:bottom w:val="single" w:color="000000" w:sz="4" w:space="0"/>
              <w:right w:val="nil"/>
            </w:tcBorders>
            <w:shd w:val="clear" w:color="auto" w:fill="auto"/>
            <w:vAlign w:val="center"/>
          </w:tcPr>
          <w:p w14:paraId="372F238F">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单价包含机械，人工拆除</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8866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40.95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88E1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F3727">
            <w:pPr>
              <w:jc w:val="center"/>
              <w:rPr>
                <w:rFonts w:hint="eastAsia" w:ascii="仿宋" w:hAnsi="仿宋" w:eastAsia="仿宋" w:cs="仿宋"/>
                <w:i w:val="0"/>
                <w:iCs w:val="0"/>
                <w:color w:val="000000"/>
                <w:sz w:val="20"/>
                <w:szCs w:val="20"/>
                <w:u w:val="none"/>
              </w:rPr>
            </w:pPr>
          </w:p>
        </w:tc>
      </w:tr>
      <w:tr w14:paraId="11527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36DD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456C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背景墙面轻钢龙骨欧松板基层</w:t>
            </w:r>
          </w:p>
        </w:tc>
        <w:tc>
          <w:tcPr>
            <w:tcW w:w="6315" w:type="dxa"/>
            <w:tcBorders>
              <w:top w:val="single" w:color="000000" w:sz="4" w:space="0"/>
              <w:left w:val="single" w:color="000000" w:sz="4" w:space="0"/>
              <w:bottom w:val="single" w:color="000000" w:sz="4" w:space="0"/>
              <w:right w:val="nil"/>
            </w:tcBorders>
            <w:shd w:val="clear" w:color="auto" w:fill="auto"/>
            <w:vAlign w:val="center"/>
          </w:tcPr>
          <w:p w14:paraId="708707D9">
            <w:pPr>
              <w:keepNext w:val="0"/>
              <w:keepLines w:val="0"/>
              <w:widowControl/>
              <w:suppressLineNumbers w:val="0"/>
              <w:jc w:val="left"/>
              <w:textAlignment w:val="center"/>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1、规格：≥30mm*40mm木龙骨，轻钢龙骨，欧松板板，配件和辅材</w:t>
            </w:r>
          </w:p>
          <w:p w14:paraId="0690AA4C">
            <w:pPr>
              <w:keepNext w:val="0"/>
              <w:keepLines w:val="0"/>
              <w:widowControl/>
              <w:suppressLineNumbers w:val="0"/>
              <w:jc w:val="left"/>
              <w:textAlignment w:val="center"/>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2、测量方式：按实际展开面积计算（门、窗面积不减）</w:t>
            </w:r>
          </w:p>
          <w:p w14:paraId="105B1A6B">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3、施工工艺：先整平轻钢龙骨架再按顺序安装欧松板</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4、工艺标准：基层稳固，平整，垂直</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51B2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141.75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492E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A0772">
            <w:pPr>
              <w:jc w:val="center"/>
              <w:rPr>
                <w:rFonts w:hint="eastAsia" w:ascii="仿宋" w:hAnsi="仿宋" w:eastAsia="仿宋" w:cs="仿宋"/>
                <w:i w:val="0"/>
                <w:iCs w:val="0"/>
                <w:color w:val="000000"/>
                <w:sz w:val="20"/>
                <w:szCs w:val="20"/>
                <w:u w:val="none"/>
              </w:rPr>
            </w:pPr>
          </w:p>
        </w:tc>
      </w:tr>
      <w:tr w14:paraId="56CE5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065F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878A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聚酯纤维吸音板饰面安装</w:t>
            </w:r>
          </w:p>
        </w:tc>
        <w:tc>
          <w:tcPr>
            <w:tcW w:w="6315" w:type="dxa"/>
            <w:tcBorders>
              <w:top w:val="single" w:color="000000" w:sz="4" w:space="0"/>
              <w:left w:val="single" w:color="000000" w:sz="4" w:space="0"/>
              <w:bottom w:val="single" w:color="000000" w:sz="4" w:space="0"/>
              <w:right w:val="nil"/>
            </w:tcBorders>
            <w:shd w:val="clear" w:color="auto" w:fill="auto"/>
            <w:vAlign w:val="center"/>
          </w:tcPr>
          <w:p w14:paraId="7D04E0C1">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1、9厘聚酯吸音板及现场加工，专业胶，辅材，小五金，人工，损耗</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2、测量方式：按实际展开面计算（门窗面积不减）</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3、施工工艺：现场加工，顺序工字密拼</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4、工艺标准：固定牢固，板面平整，无异味</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2497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141.75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7DF1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6EE3F">
            <w:pPr>
              <w:jc w:val="center"/>
              <w:rPr>
                <w:rFonts w:hint="eastAsia" w:ascii="仿宋" w:hAnsi="仿宋" w:eastAsia="仿宋" w:cs="仿宋"/>
                <w:i w:val="0"/>
                <w:iCs w:val="0"/>
                <w:color w:val="000000"/>
                <w:sz w:val="20"/>
                <w:szCs w:val="20"/>
                <w:u w:val="none"/>
              </w:rPr>
            </w:pPr>
          </w:p>
        </w:tc>
      </w:tr>
      <w:tr w14:paraId="70688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927F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2D37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主席台地面钢架</w:t>
            </w:r>
          </w:p>
        </w:tc>
        <w:tc>
          <w:tcPr>
            <w:tcW w:w="6315" w:type="dxa"/>
            <w:tcBorders>
              <w:top w:val="single" w:color="000000" w:sz="4" w:space="0"/>
              <w:left w:val="single" w:color="000000" w:sz="4" w:space="0"/>
              <w:bottom w:val="single" w:color="000000" w:sz="4" w:space="0"/>
              <w:right w:val="nil"/>
            </w:tcBorders>
            <w:shd w:val="clear" w:color="auto" w:fill="auto"/>
            <w:vAlign w:val="center"/>
          </w:tcPr>
          <w:p w14:paraId="076EC16D">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含：方管角铁现场焊接制作，膨胀螺栓固定铺贴人工，耗损及其他收边</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931A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40.95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F8AB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36587">
            <w:pPr>
              <w:jc w:val="center"/>
              <w:rPr>
                <w:rFonts w:hint="eastAsia" w:ascii="仿宋" w:hAnsi="仿宋" w:eastAsia="仿宋" w:cs="仿宋"/>
                <w:i w:val="0"/>
                <w:iCs w:val="0"/>
                <w:color w:val="000000"/>
                <w:sz w:val="20"/>
                <w:szCs w:val="20"/>
                <w:u w:val="none"/>
              </w:rPr>
            </w:pPr>
          </w:p>
        </w:tc>
      </w:tr>
      <w:tr w14:paraId="63C08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1376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B450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主席台台面瓦楞板</w:t>
            </w:r>
          </w:p>
        </w:tc>
        <w:tc>
          <w:tcPr>
            <w:tcW w:w="6315" w:type="dxa"/>
            <w:tcBorders>
              <w:top w:val="single" w:color="000000" w:sz="4" w:space="0"/>
              <w:left w:val="single" w:color="000000" w:sz="4" w:space="0"/>
              <w:bottom w:val="single" w:color="000000" w:sz="4" w:space="0"/>
              <w:right w:val="nil"/>
            </w:tcBorders>
            <w:shd w:val="clear" w:color="auto" w:fill="auto"/>
            <w:vAlign w:val="center"/>
          </w:tcPr>
          <w:p w14:paraId="308202ED">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含：成品安装，切割，辅材，人工，损耗</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EFB0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ABD1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A1D48">
            <w:pPr>
              <w:jc w:val="center"/>
              <w:rPr>
                <w:rFonts w:hint="eastAsia" w:ascii="仿宋" w:hAnsi="仿宋" w:eastAsia="仿宋" w:cs="仿宋"/>
                <w:i w:val="0"/>
                <w:iCs w:val="0"/>
                <w:color w:val="000000"/>
                <w:sz w:val="20"/>
                <w:szCs w:val="20"/>
                <w:u w:val="none"/>
              </w:rPr>
            </w:pPr>
          </w:p>
        </w:tc>
      </w:tr>
      <w:tr w14:paraId="2A3B8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BB6A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7D1A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主席台找平</w:t>
            </w:r>
          </w:p>
        </w:tc>
        <w:tc>
          <w:tcPr>
            <w:tcW w:w="6315" w:type="dxa"/>
            <w:tcBorders>
              <w:top w:val="single" w:color="000000" w:sz="4" w:space="0"/>
              <w:left w:val="single" w:color="000000" w:sz="4" w:space="0"/>
              <w:bottom w:val="single" w:color="000000" w:sz="4" w:space="0"/>
              <w:right w:val="nil"/>
            </w:tcBorders>
            <w:shd w:val="clear" w:color="auto" w:fill="auto"/>
            <w:vAlign w:val="center"/>
          </w:tcPr>
          <w:p w14:paraId="2590464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含：水泥找平含钢丝网</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DF55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59</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D1BB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4BF19">
            <w:pPr>
              <w:jc w:val="center"/>
              <w:rPr>
                <w:rFonts w:hint="eastAsia" w:ascii="仿宋" w:hAnsi="仿宋" w:eastAsia="仿宋" w:cs="仿宋"/>
                <w:i w:val="0"/>
                <w:iCs w:val="0"/>
                <w:color w:val="000000"/>
                <w:sz w:val="20"/>
                <w:szCs w:val="20"/>
                <w:u w:val="none"/>
              </w:rPr>
            </w:pPr>
          </w:p>
        </w:tc>
      </w:tr>
      <w:tr w14:paraId="12794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9DF3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6827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地板条</w:t>
            </w:r>
          </w:p>
        </w:tc>
        <w:tc>
          <w:tcPr>
            <w:tcW w:w="6315" w:type="dxa"/>
            <w:tcBorders>
              <w:top w:val="single" w:color="000000" w:sz="4" w:space="0"/>
              <w:left w:val="single" w:color="000000" w:sz="4" w:space="0"/>
              <w:bottom w:val="single" w:color="000000" w:sz="4" w:space="0"/>
              <w:right w:val="nil"/>
            </w:tcBorders>
            <w:shd w:val="clear" w:color="auto" w:fill="auto"/>
            <w:vAlign w:val="center"/>
          </w:tcPr>
          <w:p w14:paraId="4B096EC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1、强化地板条，配件和人工工资</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2、按实际长度计算</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3、基层使用聚酯纤维衬底后铺贴地板条</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4、板面要求拉成水平，石膏板之间留0.3-0.5cm均匀缝隙</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51A6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48.5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FDD7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00B0E">
            <w:pPr>
              <w:jc w:val="center"/>
              <w:rPr>
                <w:rFonts w:hint="eastAsia" w:ascii="仿宋" w:hAnsi="仿宋" w:eastAsia="仿宋" w:cs="仿宋"/>
                <w:i w:val="0"/>
                <w:iCs w:val="0"/>
                <w:color w:val="000000"/>
                <w:sz w:val="20"/>
                <w:szCs w:val="20"/>
                <w:u w:val="none"/>
              </w:rPr>
            </w:pPr>
          </w:p>
        </w:tc>
      </w:tr>
      <w:tr w14:paraId="0C92C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FD36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2E91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封边</w:t>
            </w:r>
          </w:p>
        </w:tc>
        <w:tc>
          <w:tcPr>
            <w:tcW w:w="6315" w:type="dxa"/>
            <w:tcBorders>
              <w:top w:val="single" w:color="000000" w:sz="4" w:space="0"/>
              <w:left w:val="single" w:color="000000" w:sz="4" w:space="0"/>
              <w:bottom w:val="single" w:color="000000" w:sz="4" w:space="0"/>
              <w:right w:val="nil"/>
            </w:tcBorders>
            <w:shd w:val="clear" w:color="auto" w:fill="auto"/>
            <w:vAlign w:val="center"/>
          </w:tcPr>
          <w:p w14:paraId="371886F4">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1、不锈钢封条，配件和辅材、损耗及人工工资</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2、按实际长度计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3、基层稳固，平整，垂直</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91EC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92DE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ｍ</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1B765">
            <w:pPr>
              <w:jc w:val="center"/>
              <w:rPr>
                <w:rFonts w:hint="eastAsia" w:ascii="仿宋" w:hAnsi="仿宋" w:eastAsia="仿宋" w:cs="仿宋"/>
                <w:i w:val="0"/>
                <w:iCs w:val="0"/>
                <w:color w:val="000000"/>
                <w:sz w:val="20"/>
                <w:szCs w:val="20"/>
                <w:u w:val="none"/>
              </w:rPr>
            </w:pPr>
          </w:p>
        </w:tc>
      </w:tr>
      <w:tr w14:paraId="29CBB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48C0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2CC9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设备拆除</w:t>
            </w:r>
          </w:p>
        </w:tc>
        <w:tc>
          <w:tcPr>
            <w:tcW w:w="6315" w:type="dxa"/>
            <w:tcBorders>
              <w:top w:val="single" w:color="000000" w:sz="4" w:space="0"/>
              <w:left w:val="single" w:color="000000" w:sz="4" w:space="0"/>
              <w:bottom w:val="single" w:color="000000" w:sz="4" w:space="0"/>
              <w:right w:val="nil"/>
            </w:tcBorders>
            <w:shd w:val="clear" w:color="auto" w:fill="auto"/>
            <w:vAlign w:val="center"/>
          </w:tcPr>
          <w:p w14:paraId="7D20BE08">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9-10米高空作业，脚手架人工拆除投影仪，投影吊架及投影幕布，搬运</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F21B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DEA4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项</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5E572">
            <w:pPr>
              <w:jc w:val="center"/>
              <w:rPr>
                <w:rFonts w:hint="eastAsia" w:ascii="仿宋" w:hAnsi="仿宋" w:eastAsia="仿宋" w:cs="仿宋"/>
                <w:i w:val="0"/>
                <w:iCs w:val="0"/>
                <w:color w:val="000000"/>
                <w:sz w:val="20"/>
                <w:szCs w:val="20"/>
                <w:u w:val="none"/>
              </w:rPr>
            </w:pPr>
          </w:p>
        </w:tc>
      </w:tr>
      <w:tr w14:paraId="64266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2E3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0428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垃圾清理费</w:t>
            </w:r>
          </w:p>
        </w:tc>
        <w:tc>
          <w:tcPr>
            <w:tcW w:w="6315" w:type="dxa"/>
            <w:tcBorders>
              <w:top w:val="single" w:color="000000" w:sz="4" w:space="0"/>
              <w:left w:val="single" w:color="000000" w:sz="4" w:space="0"/>
              <w:bottom w:val="single" w:color="000000" w:sz="4" w:space="0"/>
              <w:right w:val="nil"/>
            </w:tcBorders>
            <w:shd w:val="clear" w:color="auto" w:fill="auto"/>
            <w:vAlign w:val="center"/>
          </w:tcPr>
          <w:p w14:paraId="7D39E61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 将垃圾从施工现场运至学校指定堆放处</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 此价格只限有电梯使用或5层以下无电梯使用</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 校区指定堆放处离电梯∕楼梯口100米以内(如需打墙按实际工程量另计费用)</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9434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C630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项</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F1437">
            <w:pPr>
              <w:jc w:val="center"/>
              <w:rPr>
                <w:rFonts w:hint="eastAsia" w:ascii="仿宋" w:hAnsi="仿宋" w:eastAsia="仿宋" w:cs="仿宋"/>
                <w:i w:val="0"/>
                <w:iCs w:val="0"/>
                <w:color w:val="000000"/>
                <w:sz w:val="20"/>
                <w:szCs w:val="20"/>
                <w:u w:val="none"/>
              </w:rPr>
            </w:pPr>
          </w:p>
        </w:tc>
      </w:tr>
      <w:tr w14:paraId="5F7EC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3810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B19C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材料搬运费</w:t>
            </w:r>
          </w:p>
        </w:tc>
        <w:tc>
          <w:tcPr>
            <w:tcW w:w="6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FDF53">
            <w:pPr>
              <w:jc w:val="left"/>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材料搬运费</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3461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1ED3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项</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4BE7C">
            <w:pPr>
              <w:jc w:val="center"/>
              <w:rPr>
                <w:rFonts w:hint="eastAsia" w:ascii="仿宋" w:hAnsi="仿宋" w:eastAsia="仿宋" w:cs="仿宋"/>
                <w:i w:val="0"/>
                <w:iCs w:val="0"/>
                <w:color w:val="000000"/>
                <w:sz w:val="20"/>
                <w:szCs w:val="20"/>
                <w:u w:val="none"/>
              </w:rPr>
            </w:pPr>
          </w:p>
        </w:tc>
      </w:tr>
      <w:tr w14:paraId="546CF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1024"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99F9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四、教学办公电脑</w:t>
            </w:r>
          </w:p>
        </w:tc>
      </w:tr>
      <w:tr w14:paraId="0EFCA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30C4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3608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台式整机</w:t>
            </w:r>
          </w:p>
        </w:tc>
        <w:tc>
          <w:tcPr>
            <w:tcW w:w="6315" w:type="dxa"/>
            <w:tcBorders>
              <w:top w:val="single" w:color="000000" w:sz="4" w:space="0"/>
              <w:left w:val="single" w:color="000000" w:sz="4" w:space="0"/>
              <w:bottom w:val="single" w:color="000000" w:sz="4" w:space="0"/>
              <w:right w:val="nil"/>
            </w:tcBorders>
            <w:shd w:val="clear" w:color="auto" w:fill="auto"/>
            <w:vAlign w:val="top"/>
          </w:tcPr>
          <w:p w14:paraId="7771953B">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1、CPU：Intel 12代 I5-12400处理器及以上；</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2、主板：Intel B760芯片组系列及以上；</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3、内存：配置≥8DDR4 3200内存，2根内存插槽；</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4、显卡： 集成显卡；</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5、声卡：集成声卡，支持5.1声道（提供前2后3共5个音频接口，其中前置包含1个2合1接口）；</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6、硬盘：≥512GB G M.2 PCI-E 4.0 x4 Nvme 固态硬盘；</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7、网卡：集成10／100／1000M 自适应以太网卡；可选配WIFI；</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8、键鼠：防水抗菌键盘、抗菌鼠标；</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9、I/O扩展槽：≥1个PCIe x16，≥2个PCIe x1,≥1个PCI，≥2个M.2插槽；</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10、IO接口：≥10个USB接口，其中不少于4个USB3.2 Gen1、1个USB3.2 Gen2及1个USB3.2 Gen2 Type-C；VGA＋HDMI+DP接口（VGA非转接）、1个原生串口、1组PS/2接口、1个RJ-45接口；</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11、电源：≥180W 节能电源；</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12、机箱：机箱≥17L，顶置电源开关键，方便使用；</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13、USB屏蔽技术：BIOS中可设置仅识别USB键盘、鼠标，无法识别USB读取设备，有效防止数据泄露；</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14、操作系统：出厂预装正版windows 11 home操作系统；</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15、提供原厂3年整机上门保修服务（含显示器）；</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16、显示器：23.8英寸显示器，显示器质保优先更换，分辨率≥1920x1080、亮度≥250cd/m²、静态对比度≥3000：1、可视角度≥178°/178°、VGA + HDMI+DP口，带原厂HDMI 线缆、VESA标准安装孔，具备TUV低蓝光认证；</w:t>
            </w:r>
          </w:p>
          <w:p w14:paraId="7468F1F9">
            <w:pPr>
              <w:keepNext w:val="0"/>
              <w:keepLines w:val="0"/>
              <w:widowControl/>
              <w:suppressLineNumbers w:val="0"/>
              <w:jc w:val="left"/>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提供售后服务承诺函及参数确认函</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8513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0267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1A8EB">
            <w:pPr>
              <w:jc w:val="center"/>
              <w:rPr>
                <w:rFonts w:hint="eastAsia" w:ascii="仿宋" w:hAnsi="仿宋" w:eastAsia="仿宋" w:cs="仿宋"/>
                <w:i w:val="0"/>
                <w:iCs w:val="0"/>
                <w:color w:val="000000"/>
                <w:sz w:val="20"/>
                <w:szCs w:val="20"/>
                <w:u w:val="none"/>
              </w:rPr>
            </w:pPr>
          </w:p>
        </w:tc>
      </w:tr>
      <w:tr w14:paraId="084CE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1024"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55EB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五、台式电脑</w:t>
            </w:r>
          </w:p>
        </w:tc>
      </w:tr>
      <w:tr w14:paraId="411EC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42E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F14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台式计算机</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top"/>
          </w:tcPr>
          <w:p w14:paraId="5383D047">
            <w:pPr>
              <w:keepNext w:val="0"/>
              <w:keepLines w:val="0"/>
              <w:widowControl/>
              <w:suppressLineNumbers w:val="0"/>
              <w:jc w:val="left"/>
              <w:textAlignment w:val="top"/>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1、CPU：KX-U6780A；主频不低于2.7GHz；</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2、主板：支持KX-U6780A处理器的自研主板、BIOS界面下支持鼠标点击操作或优于；</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3、内存：≧8GB DDR4 3200、≧2个内存插槽，最大可扩展支持32GB DDR4内存；</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4、硬盘：≧512G  SATA SSD 固态硬盘，主板上集成不低于4个SATA 3.0接口，1个M.2接口，便于后续扩展；</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5、总计不少于5个音频接口，其中后置≧1个IN接口、≧1个OUT接口、≧1个MIC接口，前置前置≧1个MIC接口、≧1个耳机接口；</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6、支持超高清4K、8K解码实景播放;支持多显卡调度，可在相同应用里使用双显卡，双显卡同时工作；支持应用软件向导式启动，支持更新升级;支持windows应用虚拟化;支持双系统同时开机同时使用;支持对操作系统进行镜像备份和恢复；</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7、网卡：集成自适应10/100/1000M网卡或优于；</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8、显示器：≧23.8英寸；</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9、显卡：集成显卡；</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10、</w:t>
            </w:r>
            <w:r>
              <w:rPr>
                <w:rFonts w:hint="eastAsia" w:ascii="仿宋" w:hAnsi="仿宋" w:eastAsia="仿宋" w:cs="仿宋"/>
                <w:i w:val="0"/>
                <w:iCs w:val="0"/>
                <w:color w:val="auto"/>
                <w:kern w:val="0"/>
                <w:sz w:val="20"/>
                <w:szCs w:val="20"/>
                <w:highlight w:val="none"/>
                <w:u w:val="none"/>
                <w:lang w:val="en-US" w:eastAsia="zh-CN" w:bidi="ar"/>
              </w:rPr>
              <w:t>显示器、键盘、鼠标与主机同品牌</w:t>
            </w:r>
            <w:r>
              <w:rPr>
                <w:rFonts w:hint="eastAsia" w:ascii="仿宋" w:hAnsi="仿宋" w:eastAsia="仿宋" w:cs="仿宋"/>
                <w:i w:val="0"/>
                <w:iCs w:val="0"/>
                <w:color w:val="0000FF"/>
                <w:kern w:val="0"/>
                <w:sz w:val="20"/>
                <w:szCs w:val="20"/>
                <w:highlight w:val="none"/>
                <w:u w:val="none"/>
                <w:lang w:val="en-US" w:eastAsia="zh-CN" w:bidi="ar"/>
              </w:rPr>
              <w:t>，</w:t>
            </w:r>
            <w:r>
              <w:rPr>
                <w:rFonts w:hint="eastAsia" w:ascii="仿宋" w:hAnsi="仿宋" w:eastAsia="仿宋" w:cs="仿宋"/>
                <w:i w:val="0"/>
                <w:iCs w:val="0"/>
                <w:color w:val="000000"/>
                <w:kern w:val="0"/>
                <w:sz w:val="20"/>
                <w:szCs w:val="20"/>
                <w:u w:val="none"/>
                <w:lang w:val="en-US" w:eastAsia="zh-CN" w:bidi="ar"/>
              </w:rPr>
              <w:t>防水抗菌键盘，USB光电鼠标；</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11、操作系统兼容性：支持windows系统、UOS系统、麒麟系统、CentOS系统、Windows7系统、LINUX系统安装；支持双系统、三系统、四系统安装；可支持远程开关机，支持远程唤醒；</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12、支持GA/T1154.2-2014中4.4.2.1规定的70种视频格式文件等多种安防视频格式文件功能，支持全屏、单屏、2分屏、4分屏、9分屏、16分屏播放；系统支持对GA/T1154.2-2014中4.4.2.1规定的70种视频格式文件转码成MP4，AVI，WMV，GIF；</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13、可支持硬盘数据及时还原，还原到指定还原点;支持硬盘断电保护;支持双网口绑定、双网口使用；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14、售后服务：主机与显示器均提供原厂三年免费上门服务；</w:t>
            </w:r>
          </w:p>
          <w:p w14:paraId="3C869B53">
            <w:pPr>
              <w:keepNext w:val="0"/>
              <w:keepLines w:val="0"/>
              <w:widowControl/>
              <w:suppressLineNumbers w:val="0"/>
              <w:jc w:val="left"/>
              <w:textAlignment w:val="top"/>
              <w:rPr>
                <w:rStyle w:val="44"/>
                <w:rFonts w:hint="default"/>
                <w:lang w:val="en-US" w:eastAsia="zh-CN" w:bidi="ar"/>
              </w:rPr>
            </w:pPr>
            <w:r>
              <w:rPr>
                <w:rFonts w:hint="eastAsia" w:ascii="仿宋" w:hAnsi="仿宋" w:eastAsia="仿宋" w:cs="仿宋"/>
                <w:i w:val="0"/>
                <w:iCs w:val="0"/>
                <w:color w:val="000000"/>
                <w:kern w:val="0"/>
                <w:sz w:val="20"/>
                <w:szCs w:val="20"/>
                <w:u w:val="none"/>
                <w:lang w:val="en-US" w:eastAsia="zh-CN" w:bidi="ar"/>
              </w:rPr>
              <w:t>提供售后服务承诺函及参数确认函</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A763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92B0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07B4B">
            <w:pPr>
              <w:jc w:val="center"/>
              <w:rPr>
                <w:rFonts w:hint="eastAsia" w:ascii="仿宋" w:hAnsi="仿宋" w:eastAsia="仿宋" w:cs="仿宋"/>
                <w:i w:val="0"/>
                <w:iCs w:val="0"/>
                <w:color w:val="000000"/>
                <w:sz w:val="20"/>
                <w:szCs w:val="20"/>
                <w:u w:val="none"/>
              </w:rPr>
            </w:pPr>
          </w:p>
        </w:tc>
      </w:tr>
      <w:tr w14:paraId="6FDAE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1024"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F036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六、钢膜结构停车棚</w:t>
            </w:r>
          </w:p>
        </w:tc>
      </w:tr>
      <w:tr w14:paraId="48245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4CB1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A12D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钢膜结构车棚</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top"/>
          </w:tcPr>
          <w:p w14:paraId="42BE78C7">
            <w:pPr>
              <w:keepNext w:val="0"/>
              <w:keepLines w:val="0"/>
              <w:widowControl/>
              <w:suppressLineNumbers w:val="0"/>
              <w:jc w:val="left"/>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高度:靠近立柱处最低点一般需保证2.1米的净空高度，前端或悬挑部分高度约3.2米，以便车辆进出和人员操作。</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长度:单车位一般为6-6.5米，若为多车位相连，需根据实际场地和停车数量确定，如双车位可能在12-13米左右。</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宽度:通常为5-6米，若考虑车辆开门及人员上下车空间，可适当增加至6.5米。</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悬挑长度:一般在2-3米，为车辆提供足够的遮阳挡雨空间。</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材料参数</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钢材:常用钢型号为Q235。钢板厚度在6-20mm。如大梁立柱采用≥480x120x6mm的规格，挑梁采用250x110x6mm的规格。</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膜材:如选用PVDF膜材，克重有1250克/平方米。</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其他配件:基础板采用≥350mmx650mmx14mm的规格。底漆常环氧富锌底漆，面涂可用丙烯酸聚氨漆。</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力学参数</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抗拉强度:钢材的抗拉强度一般为370MPa-480MPa。</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抗风能力:通过合理的结构设计和张拉,般可抗8-10级风，如增加斜撑等构件可提高抗风性能。</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抗震性能:通常能达到当地抗震设防烈度要求，一般为6-8度。</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16F0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198.6</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61DF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平方米</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AA902">
            <w:pPr>
              <w:jc w:val="center"/>
              <w:rPr>
                <w:rFonts w:hint="eastAsia" w:ascii="仿宋" w:hAnsi="仿宋" w:eastAsia="仿宋" w:cs="仿宋"/>
                <w:i w:val="0"/>
                <w:iCs w:val="0"/>
                <w:color w:val="000000"/>
                <w:sz w:val="20"/>
                <w:szCs w:val="20"/>
                <w:u w:val="none"/>
              </w:rPr>
            </w:pPr>
          </w:p>
        </w:tc>
      </w:tr>
      <w:tr w14:paraId="13FB7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22A8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5D9F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地面切割（四边）</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top"/>
          </w:tcPr>
          <w:p w14:paraId="600F36A7">
            <w:pPr>
              <w:keepNext w:val="0"/>
              <w:keepLines w:val="0"/>
              <w:widowControl/>
              <w:suppressLineNumbers w:val="0"/>
              <w:jc w:val="left"/>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地面沿四边切割，切割深度≥20mm，切缝顺直，切缝宽度均匀，边缘无崩边</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F734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 xml:space="preserve">13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E251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5B354">
            <w:pPr>
              <w:jc w:val="center"/>
              <w:rPr>
                <w:rFonts w:hint="eastAsia" w:ascii="仿宋" w:hAnsi="仿宋" w:eastAsia="仿宋" w:cs="仿宋"/>
                <w:i w:val="0"/>
                <w:iCs w:val="0"/>
                <w:color w:val="000000"/>
                <w:sz w:val="20"/>
                <w:szCs w:val="20"/>
                <w:u w:val="none"/>
              </w:rPr>
            </w:pPr>
          </w:p>
        </w:tc>
      </w:tr>
      <w:tr w14:paraId="136E0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A6C9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5D7B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地面开挖（（炮机）</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top"/>
          </w:tcPr>
          <w:p w14:paraId="38816765">
            <w:pPr>
              <w:keepNext w:val="0"/>
              <w:keepLines w:val="0"/>
              <w:widowControl/>
              <w:suppressLineNumbers w:val="0"/>
              <w:jc w:val="left"/>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采用炮机破碎开挖，开挖深度符合设计要求，基底平整，无超挖、扰动。</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649A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 xml:space="preserve">13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7A43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0A49F">
            <w:pPr>
              <w:jc w:val="center"/>
              <w:rPr>
                <w:rFonts w:hint="eastAsia" w:ascii="仿宋" w:hAnsi="仿宋" w:eastAsia="仿宋" w:cs="仿宋"/>
                <w:i w:val="0"/>
                <w:iCs w:val="0"/>
                <w:color w:val="000000"/>
                <w:sz w:val="20"/>
                <w:szCs w:val="20"/>
                <w:u w:val="none"/>
              </w:rPr>
            </w:pPr>
          </w:p>
        </w:tc>
      </w:tr>
      <w:tr w14:paraId="10E90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7764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1603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开挖配置两个粗工</w:t>
            </w:r>
          </w:p>
        </w:tc>
        <w:tc>
          <w:tcPr>
            <w:tcW w:w="6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C1EE7">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清运及现场配合、修边及辅助施工、协助清理及整平</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8AB3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 xml:space="preserve">4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DCEF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B2A6A">
            <w:pPr>
              <w:jc w:val="center"/>
              <w:rPr>
                <w:rFonts w:hint="eastAsia" w:ascii="仿宋" w:hAnsi="仿宋" w:eastAsia="仿宋" w:cs="仿宋"/>
                <w:i w:val="0"/>
                <w:iCs w:val="0"/>
                <w:color w:val="000000"/>
                <w:sz w:val="20"/>
                <w:szCs w:val="20"/>
                <w:u w:val="none"/>
              </w:rPr>
            </w:pPr>
          </w:p>
        </w:tc>
      </w:tr>
      <w:tr w14:paraId="2FD26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C9E8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7EEF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土方清运</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658B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负责场内土方挖掘、装车、密闭运输及合规消纳处置；运输车辆密闭完好、合规上路，全程无遗撒扬尘，按指定路线及工期完成清运，服从现场管理，承担运输安全及环保责任</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3012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 xml:space="preserve">8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9D47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车</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AC761">
            <w:pPr>
              <w:jc w:val="center"/>
              <w:rPr>
                <w:rFonts w:hint="eastAsia" w:ascii="仿宋" w:hAnsi="仿宋" w:eastAsia="仿宋" w:cs="仿宋"/>
                <w:i w:val="0"/>
                <w:iCs w:val="0"/>
                <w:color w:val="000000"/>
                <w:sz w:val="20"/>
                <w:szCs w:val="20"/>
                <w:u w:val="none"/>
              </w:rPr>
            </w:pPr>
          </w:p>
        </w:tc>
      </w:tr>
      <w:tr w14:paraId="30C0A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EEE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307F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水钻</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C2B7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规格：200以上，水钻成孔，孔径满足设计，定位准确，切口规整。</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B922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 xml:space="preserve">3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9528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74A64">
            <w:pPr>
              <w:jc w:val="center"/>
              <w:rPr>
                <w:rFonts w:hint="eastAsia" w:ascii="仿宋" w:hAnsi="仿宋" w:eastAsia="仿宋" w:cs="仿宋"/>
                <w:i w:val="0"/>
                <w:iCs w:val="0"/>
                <w:color w:val="000000"/>
                <w:sz w:val="20"/>
                <w:szCs w:val="20"/>
                <w:u w:val="none"/>
              </w:rPr>
            </w:pPr>
          </w:p>
        </w:tc>
      </w:tr>
      <w:tr w14:paraId="693A3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D021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3B08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C30混凝土（商砼）</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B24C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强度等级：C30</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混凝土类型：商品混凝土（商砼）</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5D3A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 xml:space="preserve">13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0621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方</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C4318">
            <w:pPr>
              <w:jc w:val="center"/>
              <w:rPr>
                <w:rFonts w:hint="eastAsia" w:ascii="仿宋" w:hAnsi="仿宋" w:eastAsia="仿宋" w:cs="仿宋"/>
                <w:i w:val="0"/>
                <w:iCs w:val="0"/>
                <w:color w:val="000000"/>
                <w:sz w:val="20"/>
                <w:szCs w:val="20"/>
                <w:u w:val="none"/>
              </w:rPr>
            </w:pPr>
          </w:p>
        </w:tc>
      </w:tr>
      <w:tr w14:paraId="570BB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1024"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9F23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七、宣传栏</w:t>
            </w:r>
          </w:p>
        </w:tc>
      </w:tr>
      <w:tr w14:paraId="0EE49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6" w:hRule="atLeast"/>
          <w:jc w:val="center"/>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0B83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B929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宣传栏</w:t>
            </w:r>
          </w:p>
        </w:tc>
        <w:tc>
          <w:tcPr>
            <w:tcW w:w="6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8ED6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立柱≥200*200*3㎜镀锌方管；雨棚大梁≥200*200*3㎜镀锌方管；雨棚横档规格≥100*20*5㎝，镀锌板折弯焊接，材料厚度≥1㎜；箱体采用≥50*100*2㎜镀锌方管制作，复古造型风格，带耐力板液压门开启；成品整体高温烤漆热转印木纹，经久耐用高档，规格≥12*2.5米。</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D605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FA64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平方米</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13AEF">
            <w:pPr>
              <w:jc w:val="center"/>
              <w:rPr>
                <w:rFonts w:hint="eastAsia" w:ascii="仿宋" w:hAnsi="仿宋" w:eastAsia="仿宋" w:cs="仿宋"/>
                <w:i w:val="0"/>
                <w:iCs w:val="0"/>
                <w:color w:val="000000"/>
                <w:sz w:val="20"/>
                <w:szCs w:val="20"/>
                <w:u w:val="none"/>
              </w:rPr>
            </w:pPr>
          </w:p>
        </w:tc>
      </w:tr>
      <w:tr w14:paraId="0683E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1024"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D2842">
            <w:pPr>
              <w:jc w:val="center"/>
              <w:rPr>
                <w:rFonts w:hint="default" w:ascii="仿宋" w:hAnsi="仿宋" w:eastAsia="仿宋" w:cs="仿宋"/>
                <w:i w:val="0"/>
                <w:iCs w:val="0"/>
                <w:color w:val="000000"/>
                <w:sz w:val="20"/>
                <w:szCs w:val="20"/>
                <w:u w:val="none"/>
                <w:lang w:val="en-US" w:eastAsia="zh-CN"/>
              </w:rPr>
            </w:pPr>
            <w:r>
              <w:rPr>
                <w:rFonts w:hint="eastAsia" w:ascii="仿宋" w:hAnsi="仿宋" w:eastAsia="仿宋" w:cs="仿宋"/>
                <w:b/>
                <w:bCs/>
                <w:i w:val="0"/>
                <w:iCs w:val="0"/>
                <w:color w:val="000000"/>
                <w:sz w:val="21"/>
                <w:szCs w:val="21"/>
                <w:u w:val="none"/>
                <w:lang w:val="en-US" w:eastAsia="zh-CN"/>
              </w:rPr>
              <w:t>本项目核心产品：</w:t>
            </w:r>
            <w:r>
              <w:rPr>
                <w:rFonts w:hint="eastAsia" w:ascii="仿宋" w:hAnsi="仿宋" w:eastAsia="仿宋" w:cs="仿宋"/>
                <w:b/>
                <w:bCs/>
                <w:i w:val="0"/>
                <w:iCs w:val="0"/>
                <w:color w:val="000000"/>
                <w:kern w:val="0"/>
                <w:sz w:val="21"/>
                <w:szCs w:val="21"/>
                <w:u w:val="none"/>
                <w:lang w:val="en-US" w:eastAsia="zh-CN" w:bidi="ar"/>
              </w:rPr>
              <w:t>室内P2全彩LED屏、台式计算机、智能保护系统。</w:t>
            </w:r>
          </w:p>
        </w:tc>
      </w:tr>
    </w:tbl>
    <w:p w14:paraId="5D63F759">
      <w:pPr>
        <w:keepNext w:val="0"/>
        <w:keepLines w:val="0"/>
        <w:widowControl/>
        <w:suppressLineNumbers w:val="0"/>
        <w:spacing w:line="240" w:lineRule="auto"/>
        <w:jc w:val="left"/>
        <w:rPr>
          <w:rFonts w:hint="eastAsia" w:ascii="仿宋" w:hAnsi="仿宋" w:eastAsia="仿宋" w:cs="仿宋"/>
          <w:b/>
          <w:bCs/>
          <w:i w:val="0"/>
          <w:iCs w:val="0"/>
          <w:color w:val="000000"/>
          <w:sz w:val="24"/>
          <w:szCs w:val="24"/>
          <w:u w:val="none"/>
          <w:lang w:val="en-US" w:eastAsia="zh-CN"/>
        </w:rPr>
      </w:pPr>
      <w:r>
        <w:rPr>
          <w:rFonts w:hint="eastAsia" w:ascii="仿宋" w:hAnsi="仿宋" w:eastAsia="仿宋" w:cs="仿宋"/>
          <w:b/>
          <w:bCs/>
          <w:i w:val="0"/>
          <w:iCs w:val="0"/>
          <w:color w:val="000000"/>
          <w:sz w:val="24"/>
          <w:szCs w:val="24"/>
          <w:u w:val="none"/>
          <w:lang w:val="en-US" w:eastAsia="zh-CN"/>
        </w:rPr>
        <w:t>注：投标人出具的佐证材料需真实有效。在结果公示后三天内，预中标单位需提交所有相关材料纸质版原件供采购人核查。采购人有权对投标内容的真实性与符合性进行核查确认，确保与招标文件要求相符；如确认存在弄虚作假的情形，取消中标资格，并按照法律法规追究投标人相关法律责任。</w:t>
      </w:r>
    </w:p>
    <w:p w14:paraId="397A0D8A">
      <w:pPr>
        <w:keepNext w:val="0"/>
        <w:keepLines w:val="0"/>
        <w:widowControl/>
        <w:suppressLineNumbers w:val="0"/>
        <w:spacing w:line="240" w:lineRule="auto"/>
        <w:jc w:val="left"/>
        <w:rPr>
          <w:rFonts w:hint="eastAsia" w:ascii="仿宋" w:hAnsi="仿宋" w:eastAsia="仿宋" w:cs="仿宋"/>
          <w:b/>
          <w:bCs/>
          <w:i w:val="0"/>
          <w:iCs w:val="0"/>
          <w:color w:val="000000"/>
          <w:sz w:val="24"/>
          <w:szCs w:val="24"/>
          <w:u w:val="none"/>
          <w:lang w:val="en-US" w:eastAsia="zh-CN"/>
        </w:rPr>
      </w:pPr>
    </w:p>
    <w:p w14:paraId="151105D9">
      <w:pPr>
        <w:keepNext w:val="0"/>
        <w:keepLines w:val="0"/>
        <w:widowControl/>
        <w:suppressLineNumbers w:val="0"/>
        <w:jc w:val="left"/>
      </w:pPr>
    </w:p>
    <w:p w14:paraId="4838563E">
      <w:pPr>
        <w:pageBreakBefore w:val="0"/>
        <w:widowControl w:val="0"/>
        <w:kinsoku/>
        <w:wordWrap/>
        <w:overflowPunct/>
        <w:topLinePunct w:val="0"/>
        <w:bidi w:val="0"/>
        <w:spacing w:before="78" w:line="219" w:lineRule="auto"/>
        <w:jc w:val="both"/>
        <w:rPr>
          <w:rFonts w:hint="eastAsia" w:ascii="黑体" w:hAnsi="宋体" w:eastAsia="黑体" w:cs="黑体"/>
          <w:b/>
          <w:bCs/>
          <w:i w:val="0"/>
          <w:iCs w:val="0"/>
          <w:color w:val="auto"/>
          <w:kern w:val="0"/>
          <w:sz w:val="24"/>
          <w:szCs w:val="24"/>
          <w:u w:val="none"/>
          <w:lang w:val="en-US" w:eastAsia="zh-CN" w:bidi="ar"/>
        </w:rPr>
      </w:pPr>
    </w:p>
    <w:p w14:paraId="169EE4FA">
      <w:pPr>
        <w:pageBreakBefore w:val="0"/>
        <w:widowControl w:val="0"/>
        <w:kinsoku/>
        <w:wordWrap/>
        <w:overflowPunct/>
        <w:topLinePunct w:val="0"/>
        <w:bidi w:val="0"/>
        <w:spacing w:before="78" w:line="219" w:lineRule="auto"/>
        <w:jc w:val="both"/>
        <w:rPr>
          <w:rFonts w:ascii="宋体" w:hAnsi="宋体" w:eastAsia="宋体" w:cs="宋体"/>
          <w:b/>
          <w:bCs/>
          <w:color w:val="auto"/>
          <w:spacing w:val="-6"/>
          <w:sz w:val="24"/>
          <w:szCs w:val="24"/>
          <w:highlight w:val="none"/>
          <w:lang w:eastAsia="zh-CN"/>
        </w:rPr>
      </w:pPr>
    </w:p>
    <w:p w14:paraId="7FB2803E">
      <w:pPr>
        <w:pageBreakBefore w:val="0"/>
        <w:widowControl w:val="0"/>
        <w:kinsoku/>
        <w:wordWrap/>
        <w:overflowPunct/>
        <w:topLinePunct w:val="0"/>
        <w:bidi w:val="0"/>
        <w:spacing w:before="78" w:line="219" w:lineRule="auto"/>
        <w:jc w:val="both"/>
        <w:rPr>
          <w:rFonts w:ascii="宋体" w:hAnsi="宋体" w:eastAsia="宋体" w:cs="宋体"/>
          <w:b/>
          <w:bCs/>
          <w:color w:val="auto"/>
          <w:spacing w:val="-6"/>
          <w:sz w:val="24"/>
          <w:szCs w:val="24"/>
          <w:highlight w:val="none"/>
          <w:lang w:eastAsia="zh-CN"/>
        </w:rPr>
      </w:pPr>
    </w:p>
    <w:p w14:paraId="4C3E14D4">
      <w:pPr>
        <w:pageBreakBefore w:val="0"/>
        <w:widowControl w:val="0"/>
        <w:kinsoku/>
        <w:wordWrap/>
        <w:overflowPunct/>
        <w:topLinePunct w:val="0"/>
        <w:bidi w:val="0"/>
        <w:spacing w:before="78" w:line="219" w:lineRule="auto"/>
        <w:jc w:val="both"/>
        <w:rPr>
          <w:rFonts w:ascii="宋体" w:hAnsi="宋体" w:eastAsia="宋体" w:cs="宋体"/>
          <w:b/>
          <w:bCs/>
          <w:color w:val="auto"/>
          <w:spacing w:val="-6"/>
          <w:sz w:val="24"/>
          <w:szCs w:val="24"/>
          <w:highlight w:val="none"/>
          <w:lang w:eastAsia="zh-CN"/>
        </w:rPr>
      </w:pPr>
    </w:p>
    <w:p w14:paraId="3A314FE4">
      <w:pPr>
        <w:pageBreakBefore w:val="0"/>
        <w:widowControl w:val="0"/>
        <w:kinsoku/>
        <w:wordWrap/>
        <w:overflowPunct/>
        <w:topLinePunct w:val="0"/>
        <w:bidi w:val="0"/>
        <w:spacing w:before="78" w:line="219" w:lineRule="auto"/>
        <w:jc w:val="both"/>
        <w:rPr>
          <w:rFonts w:ascii="宋体" w:hAnsi="宋体" w:eastAsia="宋体" w:cs="宋体"/>
          <w:b/>
          <w:bCs/>
          <w:color w:val="auto"/>
          <w:spacing w:val="-6"/>
          <w:sz w:val="24"/>
          <w:szCs w:val="24"/>
          <w:highlight w:val="none"/>
          <w:lang w:eastAsia="zh-CN"/>
        </w:rPr>
      </w:pPr>
    </w:p>
    <w:p w14:paraId="4B076CA9">
      <w:pPr>
        <w:pageBreakBefore w:val="0"/>
        <w:widowControl w:val="0"/>
        <w:kinsoku/>
        <w:wordWrap/>
        <w:overflowPunct/>
        <w:topLinePunct w:val="0"/>
        <w:bidi w:val="0"/>
        <w:spacing w:before="78" w:line="219" w:lineRule="auto"/>
        <w:jc w:val="both"/>
        <w:rPr>
          <w:rFonts w:ascii="宋体" w:hAnsi="宋体" w:eastAsia="宋体" w:cs="宋体"/>
          <w:b/>
          <w:bCs/>
          <w:color w:val="auto"/>
          <w:spacing w:val="-6"/>
          <w:sz w:val="24"/>
          <w:szCs w:val="24"/>
          <w:highlight w:val="none"/>
          <w:lang w:eastAsia="zh-CN"/>
        </w:rPr>
      </w:pPr>
    </w:p>
    <w:p w14:paraId="5CF6ED2C">
      <w:pPr>
        <w:pageBreakBefore w:val="0"/>
        <w:widowControl w:val="0"/>
        <w:kinsoku/>
        <w:wordWrap/>
        <w:overflowPunct/>
        <w:topLinePunct w:val="0"/>
        <w:bidi w:val="0"/>
        <w:spacing w:before="78" w:line="219" w:lineRule="auto"/>
        <w:jc w:val="both"/>
        <w:rPr>
          <w:rFonts w:ascii="宋体" w:hAnsi="宋体" w:eastAsia="宋体" w:cs="宋体"/>
          <w:b/>
          <w:bCs/>
          <w:color w:val="auto"/>
          <w:spacing w:val="-6"/>
          <w:sz w:val="24"/>
          <w:szCs w:val="24"/>
          <w:highlight w:val="none"/>
          <w:lang w:eastAsia="zh-CN"/>
        </w:rPr>
      </w:pPr>
    </w:p>
    <w:p w14:paraId="17E5D73E">
      <w:pPr>
        <w:pageBreakBefore w:val="0"/>
        <w:widowControl w:val="0"/>
        <w:kinsoku/>
        <w:wordWrap/>
        <w:overflowPunct/>
        <w:topLinePunct w:val="0"/>
        <w:bidi w:val="0"/>
        <w:spacing w:before="78" w:line="219" w:lineRule="auto"/>
        <w:jc w:val="both"/>
        <w:rPr>
          <w:rFonts w:ascii="宋体" w:hAnsi="宋体" w:eastAsia="宋体" w:cs="宋体"/>
          <w:b/>
          <w:bCs/>
          <w:color w:val="auto"/>
          <w:spacing w:val="-6"/>
          <w:sz w:val="24"/>
          <w:szCs w:val="24"/>
          <w:highlight w:val="none"/>
          <w:lang w:eastAsia="zh-CN"/>
        </w:rPr>
      </w:pPr>
    </w:p>
    <w:p w14:paraId="1CEFF5E4">
      <w:pPr>
        <w:pageBreakBefore w:val="0"/>
        <w:widowControl w:val="0"/>
        <w:kinsoku/>
        <w:wordWrap/>
        <w:overflowPunct/>
        <w:topLinePunct w:val="0"/>
        <w:bidi w:val="0"/>
        <w:spacing w:before="78" w:line="219" w:lineRule="auto"/>
        <w:jc w:val="both"/>
        <w:rPr>
          <w:rFonts w:ascii="宋体" w:hAnsi="宋体" w:eastAsia="宋体" w:cs="宋体"/>
          <w:b/>
          <w:bCs/>
          <w:color w:val="auto"/>
          <w:spacing w:val="-6"/>
          <w:sz w:val="24"/>
          <w:szCs w:val="24"/>
          <w:highlight w:val="none"/>
          <w:lang w:eastAsia="zh-CN"/>
        </w:rPr>
      </w:pPr>
    </w:p>
    <w:p w14:paraId="579584F0">
      <w:pPr>
        <w:pageBreakBefore w:val="0"/>
        <w:widowControl w:val="0"/>
        <w:kinsoku/>
        <w:wordWrap/>
        <w:overflowPunct/>
        <w:topLinePunct w:val="0"/>
        <w:bidi w:val="0"/>
        <w:spacing w:before="78" w:line="219" w:lineRule="auto"/>
        <w:jc w:val="both"/>
        <w:rPr>
          <w:rFonts w:ascii="宋体" w:hAnsi="宋体" w:eastAsia="宋体" w:cs="宋体"/>
          <w:b/>
          <w:bCs/>
          <w:color w:val="auto"/>
          <w:spacing w:val="-6"/>
          <w:sz w:val="24"/>
          <w:szCs w:val="24"/>
          <w:highlight w:val="none"/>
          <w:lang w:eastAsia="zh-CN"/>
        </w:rPr>
      </w:pPr>
    </w:p>
    <w:p w14:paraId="0C268124">
      <w:pPr>
        <w:pageBreakBefore w:val="0"/>
        <w:widowControl w:val="0"/>
        <w:kinsoku/>
        <w:wordWrap/>
        <w:overflowPunct/>
        <w:topLinePunct w:val="0"/>
        <w:bidi w:val="0"/>
        <w:spacing w:before="78" w:line="219" w:lineRule="auto"/>
        <w:jc w:val="both"/>
        <w:rPr>
          <w:rFonts w:ascii="宋体" w:hAnsi="宋体" w:eastAsia="宋体" w:cs="宋体"/>
          <w:b/>
          <w:bCs/>
          <w:color w:val="auto"/>
          <w:sz w:val="24"/>
          <w:szCs w:val="24"/>
          <w:highlight w:val="none"/>
          <w:lang w:eastAsia="zh-CN"/>
        </w:rPr>
      </w:pPr>
      <w:r>
        <w:rPr>
          <w:rFonts w:ascii="宋体" w:hAnsi="宋体" w:eastAsia="宋体" w:cs="宋体"/>
          <w:b/>
          <w:bCs/>
          <w:color w:val="auto"/>
          <w:spacing w:val="-6"/>
          <w:sz w:val="24"/>
          <w:szCs w:val="24"/>
          <w:highlight w:val="none"/>
          <w:lang w:eastAsia="zh-CN"/>
        </w:rPr>
        <w:t>（二）</w:t>
      </w:r>
      <w:r>
        <w:rPr>
          <w:rFonts w:ascii="宋体" w:hAnsi="宋体" w:eastAsia="宋体" w:cs="宋体"/>
          <w:b/>
          <w:bCs/>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w:t>
      </w:r>
      <w:r>
        <w:rPr>
          <w:rFonts w:hint="eastAsia" w:ascii="宋体" w:hAnsi="宋体" w:eastAsia="宋体" w:cs="宋体"/>
          <w:b/>
          <w:bCs/>
          <w:color w:val="auto"/>
          <w:spacing w:val="-6"/>
          <w:sz w:val="24"/>
          <w:szCs w:val="24"/>
          <w:highlight w:val="none"/>
          <w:lang w:val="en-US" w:eastAsia="zh-CN"/>
        </w:rPr>
        <w:t>需求</w:t>
      </w:r>
    </w:p>
    <w:tbl>
      <w:tblPr>
        <w:tblStyle w:val="17"/>
        <w:tblW w:w="9041" w:type="dxa"/>
        <w:tblCellSpacing w:w="0" w:type="dxa"/>
        <w:tblInd w:w="0" w:type="dxa"/>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Layout w:type="fixed"/>
        <w:tblCellMar>
          <w:top w:w="0" w:type="dxa"/>
          <w:left w:w="108" w:type="dxa"/>
          <w:bottom w:w="0" w:type="dxa"/>
          <w:right w:w="108" w:type="dxa"/>
        </w:tblCellMar>
      </w:tblPr>
      <w:tblGrid>
        <w:gridCol w:w="767"/>
        <w:gridCol w:w="1384"/>
        <w:gridCol w:w="6890"/>
      </w:tblGrid>
      <w:tr w14:paraId="51D7A665">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767" w:type="dxa"/>
            <w:tcBorders>
              <w:top w:val="outset" w:color="DDDDDD" w:sz="6" w:space="0"/>
              <w:left w:val="outset" w:color="DDDDDD" w:sz="6" w:space="0"/>
              <w:bottom w:val="outset" w:color="DDDDDD" w:sz="6" w:space="0"/>
              <w:right w:val="outset" w:color="DDDDDD" w:sz="6" w:space="0"/>
            </w:tcBorders>
            <w:shd w:val="clear" w:color="auto" w:fill="EEEEEE"/>
            <w:noWrap w:val="0"/>
            <w:tcMar>
              <w:top w:w="15" w:type="dxa"/>
              <w:left w:w="15" w:type="dxa"/>
              <w:bottom w:w="15" w:type="dxa"/>
              <w:right w:w="15" w:type="dxa"/>
            </w:tcMar>
            <w:vAlign w:val="center"/>
          </w:tcPr>
          <w:p w14:paraId="63CEDD8C">
            <w:pPr>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color w:val="auto"/>
                <w:sz w:val="24"/>
                <w:szCs w:val="24"/>
                <w:highlight w:val="none"/>
              </w:rPr>
            </w:pPr>
            <w:r>
              <w:rPr>
                <w:rFonts w:hint="eastAsia" w:ascii="宋体" w:hAnsi="宋体"/>
                <w:color w:val="auto"/>
                <w:sz w:val="24"/>
                <w:szCs w:val="24"/>
                <w:highlight w:val="none"/>
              </w:rPr>
              <w:t>序号</w:t>
            </w:r>
          </w:p>
        </w:tc>
        <w:tc>
          <w:tcPr>
            <w:tcW w:w="1384" w:type="dxa"/>
            <w:tcBorders>
              <w:top w:val="outset" w:color="DDDDDD" w:sz="6" w:space="0"/>
              <w:left w:val="outset" w:color="DDDDDD" w:sz="6" w:space="0"/>
              <w:bottom w:val="outset" w:color="DDDDDD" w:sz="6" w:space="0"/>
              <w:right w:val="outset" w:color="DDDDDD" w:sz="6" w:space="0"/>
            </w:tcBorders>
            <w:shd w:val="clear" w:color="auto" w:fill="EEEEEE"/>
            <w:noWrap w:val="0"/>
            <w:tcMar>
              <w:top w:w="15" w:type="dxa"/>
              <w:left w:w="15" w:type="dxa"/>
              <w:bottom w:w="15" w:type="dxa"/>
              <w:right w:w="15" w:type="dxa"/>
            </w:tcMar>
            <w:vAlign w:val="center"/>
          </w:tcPr>
          <w:p w14:paraId="20E1DF62">
            <w:pPr>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color w:val="auto"/>
                <w:sz w:val="24"/>
                <w:szCs w:val="24"/>
                <w:highlight w:val="none"/>
              </w:rPr>
            </w:pPr>
            <w:r>
              <w:rPr>
                <w:rFonts w:hint="eastAsia" w:ascii="宋体" w:hAnsi="宋体"/>
                <w:color w:val="auto"/>
                <w:sz w:val="24"/>
                <w:szCs w:val="24"/>
                <w:highlight w:val="none"/>
              </w:rPr>
              <w:t>需求名称</w:t>
            </w:r>
          </w:p>
        </w:tc>
        <w:tc>
          <w:tcPr>
            <w:tcW w:w="6890" w:type="dxa"/>
            <w:tcBorders>
              <w:top w:val="outset" w:color="DDDDDD" w:sz="6" w:space="0"/>
              <w:left w:val="outset" w:color="DDDDDD" w:sz="6" w:space="0"/>
              <w:bottom w:val="outset" w:color="DDDDDD" w:sz="6" w:space="0"/>
              <w:right w:val="outset" w:color="auto" w:sz="6" w:space="0"/>
            </w:tcBorders>
            <w:shd w:val="clear" w:color="auto" w:fill="EEEEEE"/>
            <w:noWrap w:val="0"/>
            <w:tcMar>
              <w:top w:w="15" w:type="dxa"/>
              <w:left w:w="15" w:type="dxa"/>
              <w:bottom w:w="15" w:type="dxa"/>
              <w:right w:w="15" w:type="dxa"/>
            </w:tcMar>
            <w:vAlign w:val="center"/>
          </w:tcPr>
          <w:p w14:paraId="6F204DA6">
            <w:pPr>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color w:val="auto"/>
                <w:sz w:val="24"/>
                <w:szCs w:val="24"/>
                <w:highlight w:val="none"/>
              </w:rPr>
            </w:pPr>
            <w:r>
              <w:rPr>
                <w:rFonts w:hint="eastAsia" w:ascii="宋体" w:hAnsi="宋体"/>
                <w:color w:val="auto"/>
                <w:sz w:val="24"/>
                <w:szCs w:val="24"/>
                <w:highlight w:val="none"/>
              </w:rPr>
              <w:t>需求说明</w:t>
            </w:r>
          </w:p>
        </w:tc>
      </w:tr>
      <w:tr w14:paraId="7200B929">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rHeight w:val="90" w:hRule="atLeast"/>
          <w:tblCellSpacing w:w="0" w:type="dxa"/>
        </w:trPr>
        <w:tc>
          <w:tcPr>
            <w:tcW w:w="767"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13348F4B">
            <w:pPr>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color w:val="auto"/>
                <w:sz w:val="24"/>
                <w:szCs w:val="24"/>
                <w:highlight w:val="none"/>
              </w:rPr>
            </w:pPr>
            <w:r>
              <w:rPr>
                <w:rFonts w:hint="eastAsia" w:ascii="宋体" w:hAnsi="宋体"/>
                <w:color w:val="auto"/>
                <w:sz w:val="24"/>
                <w:szCs w:val="24"/>
                <w:highlight w:val="none"/>
              </w:rPr>
              <w:t>1</w:t>
            </w:r>
          </w:p>
        </w:tc>
        <w:tc>
          <w:tcPr>
            <w:tcW w:w="1384"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36936A98">
            <w:pPr>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color w:val="auto"/>
                <w:sz w:val="24"/>
                <w:szCs w:val="24"/>
                <w:highlight w:val="none"/>
              </w:rPr>
            </w:pPr>
            <w:r>
              <w:rPr>
                <w:rFonts w:hint="eastAsia" w:ascii="宋体" w:hAnsi="宋体"/>
                <w:color w:val="auto"/>
                <w:sz w:val="24"/>
                <w:szCs w:val="24"/>
                <w:highlight w:val="none"/>
              </w:rPr>
              <w:t>交货地点</w:t>
            </w:r>
          </w:p>
        </w:tc>
        <w:tc>
          <w:tcPr>
            <w:tcW w:w="6890" w:type="dxa"/>
            <w:tcBorders>
              <w:top w:val="outset" w:color="DDDDDD" w:sz="6" w:space="0"/>
              <w:left w:val="outset" w:color="DDDDDD" w:sz="6" w:space="0"/>
              <w:bottom w:val="outset" w:color="DDDDDD" w:sz="6" w:space="0"/>
              <w:right w:val="outset" w:color="auto" w:sz="6" w:space="0"/>
            </w:tcBorders>
            <w:noWrap w:val="0"/>
            <w:tcMar>
              <w:top w:w="15" w:type="dxa"/>
              <w:left w:w="15" w:type="dxa"/>
              <w:bottom w:w="15" w:type="dxa"/>
              <w:right w:w="15" w:type="dxa"/>
            </w:tcMar>
            <w:vAlign w:val="center"/>
          </w:tcPr>
          <w:p w14:paraId="1560BD73">
            <w:pPr>
              <w:pageBreakBefore w:val="0"/>
              <w:widowControl w:val="0"/>
              <w:kinsoku/>
              <w:wordWrap/>
              <w:overflowPunct/>
              <w:topLinePunct w:val="0"/>
              <w:autoSpaceDE/>
              <w:autoSpaceDN/>
              <w:bidi w:val="0"/>
              <w:adjustRightInd/>
              <w:snapToGrid w:val="0"/>
              <w:spacing w:line="360" w:lineRule="auto"/>
              <w:textAlignment w:val="auto"/>
              <w:rPr>
                <w:rFonts w:ascii="宋体" w:hAnsi="宋体"/>
                <w:color w:val="auto"/>
                <w:sz w:val="24"/>
                <w:szCs w:val="24"/>
                <w:highlight w:val="none"/>
              </w:rPr>
            </w:pPr>
            <w:r>
              <w:rPr>
                <w:rFonts w:hint="eastAsia" w:ascii="宋体" w:hAnsi="宋体"/>
                <w:color w:val="auto"/>
                <w:sz w:val="24"/>
                <w:szCs w:val="24"/>
                <w:highlight w:val="none"/>
              </w:rPr>
              <w:t>采购人指定</w:t>
            </w:r>
            <w:r>
              <w:rPr>
                <w:rFonts w:hint="eastAsia" w:ascii="宋体" w:hAnsi="宋体"/>
                <w:color w:val="auto"/>
                <w:sz w:val="24"/>
                <w:szCs w:val="24"/>
                <w:highlight w:val="none"/>
                <w:lang w:eastAsia="zh-CN"/>
              </w:rPr>
              <w:t>的地点</w:t>
            </w:r>
            <w:r>
              <w:rPr>
                <w:rFonts w:hint="eastAsia" w:ascii="宋体" w:hAnsi="宋体"/>
                <w:color w:val="auto"/>
                <w:sz w:val="24"/>
                <w:szCs w:val="24"/>
                <w:highlight w:val="none"/>
              </w:rPr>
              <w:t>。</w:t>
            </w:r>
          </w:p>
        </w:tc>
      </w:tr>
      <w:tr w14:paraId="40337DB3">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767"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5AFC701C">
            <w:pPr>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color w:val="auto"/>
                <w:sz w:val="24"/>
                <w:szCs w:val="24"/>
                <w:highlight w:val="none"/>
              </w:rPr>
            </w:pPr>
            <w:r>
              <w:rPr>
                <w:rFonts w:hint="eastAsia" w:ascii="宋体" w:hAnsi="宋体"/>
                <w:color w:val="auto"/>
                <w:sz w:val="24"/>
                <w:szCs w:val="24"/>
                <w:highlight w:val="none"/>
              </w:rPr>
              <w:t>2</w:t>
            </w:r>
          </w:p>
        </w:tc>
        <w:tc>
          <w:tcPr>
            <w:tcW w:w="1384"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25A32474">
            <w:pPr>
              <w:pageBreakBefore w:val="0"/>
              <w:widowControl w:val="0"/>
              <w:kinsoku/>
              <w:wordWrap/>
              <w:overflowPunct/>
              <w:topLinePunct w:val="0"/>
              <w:autoSpaceDE/>
              <w:autoSpaceDN/>
              <w:bidi w:val="0"/>
              <w:adjustRightInd/>
              <w:snapToGrid w:val="0"/>
              <w:spacing w:line="360" w:lineRule="auto"/>
              <w:ind w:left="420" w:hanging="480" w:hangingChars="200"/>
              <w:jc w:val="center"/>
              <w:textAlignment w:val="auto"/>
              <w:rPr>
                <w:rFonts w:ascii="宋体" w:hAnsi="宋体"/>
                <w:color w:val="auto"/>
                <w:sz w:val="24"/>
                <w:szCs w:val="24"/>
                <w:highlight w:val="none"/>
              </w:rPr>
            </w:pPr>
            <w:r>
              <w:rPr>
                <w:rFonts w:hint="eastAsia" w:ascii="宋体" w:hAnsi="宋体"/>
                <w:color w:val="auto"/>
                <w:sz w:val="24"/>
                <w:szCs w:val="24"/>
                <w:highlight w:val="none"/>
              </w:rPr>
              <w:t>交货期</w:t>
            </w:r>
          </w:p>
        </w:tc>
        <w:tc>
          <w:tcPr>
            <w:tcW w:w="6890" w:type="dxa"/>
            <w:tcBorders>
              <w:top w:val="outset" w:color="DDDDDD" w:sz="6" w:space="0"/>
              <w:left w:val="outset" w:color="DDDDDD" w:sz="6" w:space="0"/>
              <w:bottom w:val="outset" w:color="DDDDDD" w:sz="6" w:space="0"/>
              <w:right w:val="outset" w:color="auto" w:sz="6" w:space="0"/>
            </w:tcBorders>
            <w:noWrap w:val="0"/>
            <w:tcMar>
              <w:top w:w="15" w:type="dxa"/>
              <w:left w:w="15" w:type="dxa"/>
              <w:bottom w:w="15" w:type="dxa"/>
              <w:right w:w="15" w:type="dxa"/>
            </w:tcMar>
            <w:vAlign w:val="center"/>
          </w:tcPr>
          <w:p w14:paraId="656B07C7">
            <w:pPr>
              <w:pageBreakBefore w:val="0"/>
              <w:widowControl w:val="0"/>
              <w:kinsoku/>
              <w:wordWrap/>
              <w:overflowPunct/>
              <w:topLinePunct w:val="0"/>
              <w:autoSpaceDE/>
              <w:autoSpaceDN/>
              <w:bidi w:val="0"/>
              <w:adjustRightInd/>
              <w:snapToGrid w:val="0"/>
              <w:spacing w:line="360" w:lineRule="auto"/>
              <w:ind w:left="478" w:leftChars="-1" w:hanging="480" w:hangingChars="200"/>
              <w:textAlignment w:val="auto"/>
              <w:rPr>
                <w:rFonts w:hint="eastAsia" w:ascii="宋体" w:hAnsi="宋体" w:eastAsia="宋体"/>
                <w:color w:val="auto"/>
                <w:sz w:val="24"/>
                <w:szCs w:val="24"/>
                <w:highlight w:val="none"/>
                <w:lang w:eastAsia="zh-CN"/>
              </w:rPr>
            </w:pPr>
            <w:r>
              <w:rPr>
                <w:rFonts w:hint="eastAsia" w:ascii="宋体" w:hAnsi="宋体"/>
                <w:color w:val="auto"/>
                <w:sz w:val="24"/>
                <w:szCs w:val="24"/>
                <w:highlight w:val="none"/>
                <w:lang w:val="en-US" w:eastAsia="zh-CN"/>
              </w:rPr>
              <w:t>1</w:t>
            </w:r>
            <w:r>
              <w:rPr>
                <w:rFonts w:hint="eastAsia" w:ascii="宋体" w:hAnsi="宋体"/>
                <w:color w:val="auto"/>
                <w:sz w:val="24"/>
                <w:szCs w:val="24"/>
                <w:highlight w:val="none"/>
              </w:rPr>
              <w:t>.1本项目交货周期为</w:t>
            </w:r>
            <w:r>
              <w:rPr>
                <w:rFonts w:hint="eastAsia" w:ascii="宋体" w:hAnsi="宋体"/>
                <w:color w:val="auto"/>
                <w:sz w:val="24"/>
                <w:szCs w:val="24"/>
                <w:highlight w:val="none"/>
                <w:lang w:val="en-US" w:eastAsia="zh-CN"/>
              </w:rPr>
              <w:t>35</w:t>
            </w:r>
            <w:r>
              <w:rPr>
                <w:rFonts w:hint="eastAsia" w:ascii="宋体" w:hAnsi="宋体"/>
                <w:color w:val="auto"/>
                <w:sz w:val="24"/>
                <w:szCs w:val="24"/>
                <w:highlight w:val="none"/>
              </w:rPr>
              <w:t>天，自合同生效之日计算</w:t>
            </w:r>
            <w:r>
              <w:rPr>
                <w:rFonts w:hint="eastAsia" w:ascii="宋体" w:hAnsi="宋体" w:eastAsia="宋体"/>
                <w:color w:val="auto"/>
                <w:sz w:val="24"/>
                <w:szCs w:val="24"/>
                <w:highlight w:val="none"/>
                <w:lang w:eastAsia="zh-CN"/>
              </w:rPr>
              <w:t>。</w:t>
            </w:r>
          </w:p>
          <w:p w14:paraId="23A03521">
            <w:pPr>
              <w:pageBreakBefore w:val="0"/>
              <w:widowControl w:val="0"/>
              <w:kinsoku/>
              <w:wordWrap/>
              <w:overflowPunct/>
              <w:topLinePunct w:val="0"/>
              <w:autoSpaceDE/>
              <w:autoSpaceDN/>
              <w:bidi w:val="0"/>
              <w:adjustRightInd/>
              <w:snapToGrid w:val="0"/>
              <w:spacing w:line="360" w:lineRule="auto"/>
              <w:textAlignment w:val="auto"/>
              <w:rPr>
                <w:rFonts w:hint="eastAsia" w:ascii="宋体" w:hAnsi="宋体"/>
                <w:color w:val="auto"/>
                <w:sz w:val="24"/>
                <w:szCs w:val="24"/>
                <w:highlight w:val="none"/>
              </w:rPr>
            </w:pP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.2卖方所提供货物的质量、性能不符合合同规定标准的，采购人有权拒收；因此产生的一切经济损失由卖方承担。</w:t>
            </w:r>
          </w:p>
          <w:p w14:paraId="4D204839">
            <w:pPr>
              <w:pageBreakBefore w:val="0"/>
              <w:widowControl w:val="0"/>
              <w:kinsoku/>
              <w:wordWrap/>
              <w:overflowPunct/>
              <w:topLinePunct w:val="0"/>
              <w:autoSpaceDE/>
              <w:autoSpaceDN/>
              <w:bidi w:val="0"/>
              <w:adjustRightInd/>
              <w:snapToGrid w:val="0"/>
              <w:spacing w:line="360" w:lineRule="auto"/>
              <w:textAlignment w:val="auto"/>
              <w:rPr>
                <w:rFonts w:hint="eastAsia" w:ascii="宋体" w:hAnsi="宋体"/>
                <w:color w:val="auto"/>
                <w:sz w:val="24"/>
                <w:szCs w:val="24"/>
                <w:highlight w:val="none"/>
              </w:rPr>
            </w:pP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.3如果卖方没有按照合同规定或采购人同意延长的时间交货，每延期一天，按合同总金额的0.1％交付违约金。</w:t>
            </w:r>
          </w:p>
          <w:p w14:paraId="3026D767">
            <w:pPr>
              <w:pageBreakBefore w:val="0"/>
              <w:widowControl w:val="0"/>
              <w:kinsoku/>
              <w:wordWrap/>
              <w:overflowPunct/>
              <w:topLinePunct w:val="0"/>
              <w:autoSpaceDE/>
              <w:autoSpaceDN/>
              <w:bidi w:val="0"/>
              <w:adjustRightInd/>
              <w:snapToGrid w:val="0"/>
              <w:spacing w:line="360" w:lineRule="auto"/>
              <w:textAlignment w:val="auto"/>
              <w:rPr>
                <w:rFonts w:ascii="宋体" w:hAnsi="宋体"/>
                <w:color w:val="auto"/>
                <w:sz w:val="24"/>
                <w:szCs w:val="24"/>
                <w:highlight w:val="none"/>
              </w:rPr>
            </w:pPr>
            <w:r>
              <w:rPr>
                <w:rFonts w:hint="eastAsia" w:ascii="宋体" w:hAnsi="宋体"/>
                <w:color w:val="auto"/>
                <w:sz w:val="24"/>
                <w:szCs w:val="24"/>
                <w:highlight w:val="none"/>
                <w:lang w:val="en-US" w:eastAsia="zh-CN"/>
              </w:rPr>
              <w:t>4</w:t>
            </w:r>
            <w:r>
              <w:rPr>
                <w:rFonts w:ascii="宋体" w:hAnsi="宋体"/>
                <w:color w:val="auto"/>
                <w:sz w:val="24"/>
                <w:szCs w:val="24"/>
                <w:highlight w:val="none"/>
              </w:rPr>
              <w:t>.4</w:t>
            </w:r>
            <w:r>
              <w:rPr>
                <w:rFonts w:hint="eastAsia" w:ascii="宋体" w:hAnsi="宋体"/>
                <w:color w:val="auto"/>
                <w:sz w:val="24"/>
                <w:szCs w:val="24"/>
                <w:highlight w:val="none"/>
              </w:rPr>
              <w:t>卖方不能交付产品时，卖方向甲方偿付产品款总额10％的违约金。</w:t>
            </w:r>
          </w:p>
        </w:tc>
      </w:tr>
      <w:tr w14:paraId="6DA2D189">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767"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16A35810">
            <w:pPr>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3</w:t>
            </w:r>
          </w:p>
        </w:tc>
        <w:tc>
          <w:tcPr>
            <w:tcW w:w="1384"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5D691101">
            <w:pPr>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付款方式</w:t>
            </w:r>
          </w:p>
        </w:tc>
        <w:tc>
          <w:tcPr>
            <w:tcW w:w="6890" w:type="dxa"/>
            <w:tcBorders>
              <w:top w:val="outset" w:color="DDDDDD" w:sz="6" w:space="0"/>
              <w:left w:val="outset" w:color="DDDDDD" w:sz="6" w:space="0"/>
              <w:bottom w:val="outset" w:color="DDDDDD" w:sz="6" w:space="0"/>
              <w:right w:val="outset" w:color="auto" w:sz="6" w:space="0"/>
            </w:tcBorders>
            <w:noWrap w:val="0"/>
            <w:tcMar>
              <w:top w:w="15" w:type="dxa"/>
              <w:left w:w="15" w:type="dxa"/>
              <w:bottom w:w="15" w:type="dxa"/>
              <w:right w:w="15" w:type="dxa"/>
            </w:tcMar>
            <w:vAlign w:val="center"/>
          </w:tcPr>
          <w:p w14:paraId="6C2B6320">
            <w:pPr>
              <w:spacing w:line="360" w:lineRule="auto"/>
              <w:rPr>
                <w:rFonts w:hint="eastAsia" w:ascii="宋体" w:hAnsi="宋体" w:eastAsia="宋体"/>
                <w:color w:val="auto"/>
                <w:sz w:val="24"/>
                <w:szCs w:val="24"/>
                <w:highlight w:val="none"/>
                <w:lang w:val="en-US" w:eastAsia="zh-CN"/>
              </w:rPr>
            </w:pPr>
            <w:r>
              <w:rPr>
                <w:rFonts w:hint="eastAsia" w:ascii="宋体" w:hAnsi="宋体"/>
                <w:color w:val="auto"/>
                <w:sz w:val="24"/>
                <w:szCs w:val="24"/>
                <w:highlight w:val="none"/>
                <w:lang w:val="en-US" w:eastAsia="zh-CN"/>
              </w:rPr>
              <w:t>签订合同后具备实施条件后5个工作日支付40%,余款验收合格后一次性付清。</w:t>
            </w:r>
          </w:p>
        </w:tc>
      </w:tr>
      <w:tr w14:paraId="39B8A4CA">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767"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247C34D6">
            <w:pPr>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4</w:t>
            </w:r>
          </w:p>
        </w:tc>
        <w:tc>
          <w:tcPr>
            <w:tcW w:w="1384"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7C2B7465">
            <w:pPr>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报价方式</w:t>
            </w:r>
          </w:p>
        </w:tc>
        <w:tc>
          <w:tcPr>
            <w:tcW w:w="6890" w:type="dxa"/>
            <w:tcBorders>
              <w:top w:val="outset" w:color="DDDDDD" w:sz="6" w:space="0"/>
              <w:left w:val="outset" w:color="DDDDDD" w:sz="6" w:space="0"/>
              <w:bottom w:val="outset" w:color="DDDDDD" w:sz="6" w:space="0"/>
              <w:right w:val="outset" w:color="auto" w:sz="6" w:space="0"/>
            </w:tcBorders>
            <w:noWrap w:val="0"/>
            <w:tcMar>
              <w:top w:w="15" w:type="dxa"/>
              <w:left w:w="15" w:type="dxa"/>
              <w:bottom w:w="15" w:type="dxa"/>
              <w:right w:w="15" w:type="dxa"/>
            </w:tcMar>
            <w:vAlign w:val="center"/>
          </w:tcPr>
          <w:p w14:paraId="5D4147B2">
            <w:pPr>
              <w:spacing w:line="360" w:lineRule="auto"/>
              <w:ind w:left="44" w:leftChars="21"/>
              <w:rPr>
                <w:rFonts w:ascii="宋体" w:hAnsi="宋体"/>
                <w:color w:val="auto"/>
                <w:sz w:val="24"/>
                <w:szCs w:val="24"/>
                <w:highlight w:val="none"/>
              </w:rPr>
            </w:pPr>
            <w:r>
              <w:rPr>
                <w:rFonts w:hint="eastAsia" w:ascii="宋体" w:hAnsi="宋体"/>
                <w:color w:val="auto"/>
                <w:sz w:val="24"/>
                <w:szCs w:val="24"/>
                <w:highlight w:val="none"/>
              </w:rPr>
              <w:t>以人民币报价，完成本项目所需的货款、税款、运输费、装卸费、保险费等所有费用，均应列入货物总报价。</w:t>
            </w:r>
          </w:p>
        </w:tc>
      </w:tr>
      <w:tr w14:paraId="75AFBB97">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rHeight w:val="553" w:hRule="atLeast"/>
          <w:tblCellSpacing w:w="0" w:type="dxa"/>
        </w:trPr>
        <w:tc>
          <w:tcPr>
            <w:tcW w:w="767"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7199CADA">
            <w:pPr>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5</w:t>
            </w:r>
          </w:p>
        </w:tc>
        <w:tc>
          <w:tcPr>
            <w:tcW w:w="1384"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4AA033A5">
            <w:pPr>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货物要求</w:t>
            </w:r>
          </w:p>
        </w:tc>
        <w:tc>
          <w:tcPr>
            <w:tcW w:w="6890" w:type="dxa"/>
            <w:tcBorders>
              <w:top w:val="outset" w:color="DDDDDD" w:sz="6" w:space="0"/>
              <w:left w:val="outset" w:color="DDDDDD" w:sz="6" w:space="0"/>
              <w:bottom w:val="outset" w:color="DDDDDD" w:sz="6" w:space="0"/>
              <w:right w:val="outset" w:color="auto" w:sz="6" w:space="0"/>
            </w:tcBorders>
            <w:noWrap w:val="0"/>
            <w:tcMar>
              <w:top w:w="15" w:type="dxa"/>
              <w:left w:w="15" w:type="dxa"/>
              <w:bottom w:w="15" w:type="dxa"/>
              <w:right w:w="15" w:type="dxa"/>
            </w:tcMar>
            <w:vAlign w:val="center"/>
          </w:tcPr>
          <w:p w14:paraId="479D7324">
            <w:pPr>
              <w:spacing w:line="360" w:lineRule="auto"/>
              <w:rPr>
                <w:rFonts w:hint="eastAsia" w:ascii="宋体" w:hAnsi="宋体" w:eastAsia="宋体" w:cs="Times New Roman"/>
                <w:color w:val="auto"/>
                <w:sz w:val="24"/>
                <w:szCs w:val="24"/>
                <w:highlight w:val="none"/>
                <w:lang w:val="zh-CN" w:eastAsia="zh-CN"/>
              </w:rPr>
            </w:pPr>
            <w:r>
              <w:rPr>
                <w:rFonts w:hint="eastAsia" w:ascii="宋体" w:hAnsi="宋体"/>
                <w:color w:val="auto"/>
                <w:sz w:val="24"/>
                <w:szCs w:val="24"/>
                <w:highlight w:val="none"/>
              </w:rPr>
              <w:t>5.</w:t>
            </w:r>
            <w:r>
              <w:rPr>
                <w:rFonts w:hint="eastAsia" w:ascii="宋体" w:hAnsi="宋体" w:eastAsia="宋体" w:cs="Times New Roman"/>
                <w:color w:val="auto"/>
                <w:sz w:val="24"/>
                <w:szCs w:val="24"/>
                <w:highlight w:val="none"/>
                <w:lang w:val="en-US" w:eastAsia="zh-CN"/>
              </w:rPr>
              <w:t>1卖方必须保证所提供的货物</w:t>
            </w:r>
            <w:r>
              <w:rPr>
                <w:rFonts w:hint="eastAsia" w:ascii="宋体" w:hAnsi="宋体" w:eastAsia="宋体" w:cs="Times New Roman"/>
                <w:color w:val="auto"/>
                <w:sz w:val="24"/>
                <w:szCs w:val="24"/>
                <w:highlight w:val="none"/>
                <w:lang w:val="zh-CN" w:eastAsia="zh-CN"/>
              </w:rPr>
              <w:t>符合本合同规定的质量、规格</w:t>
            </w:r>
          </w:p>
          <w:p w14:paraId="49714717">
            <w:pPr>
              <w:spacing w:line="360" w:lineRule="auto"/>
              <w:rPr>
                <w:rFonts w:hint="eastAsia" w:ascii="宋体" w:hAnsi="宋体"/>
                <w:color w:val="auto"/>
                <w:sz w:val="24"/>
                <w:szCs w:val="24"/>
                <w:highlight w:val="none"/>
              </w:rPr>
            </w:pPr>
            <w:r>
              <w:rPr>
                <w:rFonts w:hint="eastAsia" w:ascii="宋体" w:hAnsi="宋体"/>
                <w:color w:val="auto"/>
                <w:sz w:val="24"/>
                <w:szCs w:val="24"/>
                <w:highlight w:val="none"/>
              </w:rPr>
              <w:t>5.2货物为全新产品，无污染、表面无划损、无任何缺陷隐患，在中国境内可依常规安全合法使用。</w:t>
            </w:r>
          </w:p>
          <w:p w14:paraId="13DACC3C">
            <w:pPr>
              <w:spacing w:line="360" w:lineRule="auto"/>
              <w:rPr>
                <w:rFonts w:hint="eastAsia" w:ascii="宋体" w:hAnsi="宋体"/>
                <w:color w:val="auto"/>
                <w:sz w:val="24"/>
                <w:szCs w:val="24"/>
                <w:highlight w:val="none"/>
              </w:rPr>
            </w:pPr>
            <w:r>
              <w:rPr>
                <w:rFonts w:hint="eastAsia" w:ascii="宋体" w:hAnsi="宋体"/>
                <w:color w:val="auto"/>
                <w:sz w:val="24"/>
                <w:szCs w:val="24"/>
                <w:highlight w:val="none"/>
              </w:rPr>
              <w:t>5.3 卖方</w:t>
            </w:r>
            <w:r>
              <w:rPr>
                <w:rFonts w:ascii="宋体" w:hAnsi="宋体"/>
                <w:color w:val="auto"/>
                <w:sz w:val="24"/>
                <w:szCs w:val="24"/>
                <w:highlight w:val="none"/>
              </w:rPr>
              <w:t>应保证，</w:t>
            </w:r>
            <w:r>
              <w:rPr>
                <w:rFonts w:hint="eastAsia" w:ascii="宋体" w:hAnsi="宋体"/>
                <w:color w:val="auto"/>
                <w:sz w:val="24"/>
                <w:szCs w:val="24"/>
                <w:highlight w:val="none"/>
              </w:rPr>
              <w:t>买方</w:t>
            </w:r>
            <w:r>
              <w:rPr>
                <w:rFonts w:ascii="宋体" w:hAnsi="宋体"/>
                <w:color w:val="auto"/>
                <w:sz w:val="24"/>
                <w:szCs w:val="24"/>
                <w:highlight w:val="none"/>
              </w:rPr>
              <w:t>在中华人民共和国使用</w:t>
            </w:r>
            <w:r>
              <w:rPr>
                <w:rFonts w:hint="eastAsia" w:ascii="宋体" w:hAnsi="宋体"/>
                <w:color w:val="auto"/>
                <w:sz w:val="24"/>
                <w:szCs w:val="24"/>
                <w:highlight w:val="none"/>
              </w:rPr>
              <w:t>卖方所提供的货物</w:t>
            </w:r>
            <w:r>
              <w:rPr>
                <w:rFonts w:ascii="宋体" w:hAnsi="宋体"/>
                <w:color w:val="auto"/>
                <w:sz w:val="24"/>
                <w:szCs w:val="24"/>
                <w:highlight w:val="none"/>
              </w:rPr>
              <w:t>时，免受第三方提出的侵犯其专利权、商标权或设计权的起诉。</w:t>
            </w:r>
          </w:p>
        </w:tc>
      </w:tr>
      <w:tr w14:paraId="651472E3">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rHeight w:val="2808" w:hRule="atLeast"/>
          <w:tblCellSpacing w:w="0" w:type="dxa"/>
        </w:trPr>
        <w:tc>
          <w:tcPr>
            <w:tcW w:w="767"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7FC71F6C">
            <w:pPr>
              <w:spacing w:line="360" w:lineRule="auto"/>
              <w:jc w:val="center"/>
              <w:rPr>
                <w:rFonts w:hint="eastAsia" w:ascii="宋体" w:hAnsi="宋体"/>
                <w:color w:val="auto"/>
                <w:sz w:val="24"/>
                <w:szCs w:val="24"/>
                <w:highlight w:val="none"/>
              </w:rPr>
            </w:pPr>
            <w:r>
              <w:rPr>
                <w:rFonts w:hint="eastAsia" w:ascii="宋体" w:hAnsi="宋体"/>
                <w:color w:val="auto"/>
                <w:sz w:val="24"/>
                <w:szCs w:val="24"/>
                <w:highlight w:val="none"/>
              </w:rPr>
              <w:t>6</w:t>
            </w:r>
          </w:p>
        </w:tc>
        <w:tc>
          <w:tcPr>
            <w:tcW w:w="1384"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5FBD817E">
            <w:pPr>
              <w:spacing w:line="360" w:lineRule="auto"/>
              <w:jc w:val="center"/>
              <w:rPr>
                <w:rFonts w:hint="eastAsia" w:ascii="宋体" w:hAnsi="宋体"/>
                <w:color w:val="auto"/>
                <w:sz w:val="24"/>
                <w:szCs w:val="24"/>
                <w:highlight w:val="none"/>
              </w:rPr>
            </w:pPr>
            <w:r>
              <w:rPr>
                <w:rFonts w:hint="eastAsia" w:ascii="宋体" w:hAnsi="宋体"/>
                <w:color w:val="auto"/>
                <w:sz w:val="24"/>
                <w:szCs w:val="24"/>
                <w:highlight w:val="none"/>
              </w:rPr>
              <w:t>项目验收</w:t>
            </w:r>
          </w:p>
        </w:tc>
        <w:tc>
          <w:tcPr>
            <w:tcW w:w="6890" w:type="dxa"/>
            <w:tcBorders>
              <w:top w:val="outset" w:color="DDDDDD" w:sz="6" w:space="0"/>
              <w:left w:val="outset" w:color="DDDDDD" w:sz="6" w:space="0"/>
              <w:bottom w:val="outset" w:color="DDDDDD" w:sz="6" w:space="0"/>
              <w:right w:val="outset" w:color="auto" w:sz="6" w:space="0"/>
            </w:tcBorders>
            <w:noWrap w:val="0"/>
            <w:tcMar>
              <w:top w:w="15" w:type="dxa"/>
              <w:left w:w="15" w:type="dxa"/>
              <w:bottom w:w="15" w:type="dxa"/>
              <w:right w:w="15" w:type="dxa"/>
            </w:tcMar>
            <w:vAlign w:val="center"/>
          </w:tcPr>
          <w:p w14:paraId="328C87D0">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color w:val="auto"/>
                <w:sz w:val="24"/>
                <w:szCs w:val="24"/>
                <w:highlight w:val="none"/>
              </w:rPr>
            </w:pPr>
            <w:r>
              <w:rPr>
                <w:rFonts w:ascii="宋体" w:hAnsi="宋体"/>
                <w:color w:val="auto"/>
                <w:sz w:val="24"/>
                <w:szCs w:val="24"/>
                <w:highlight w:val="none"/>
              </w:rPr>
              <w:t>6.1</w:t>
            </w:r>
            <w:r>
              <w:rPr>
                <w:rFonts w:hint="eastAsia" w:ascii="宋体" w:hAnsi="宋体"/>
                <w:color w:val="auto"/>
                <w:sz w:val="24"/>
                <w:szCs w:val="24"/>
                <w:highlight w:val="none"/>
              </w:rPr>
              <w:t>提供货物完成正常工作的</w:t>
            </w:r>
            <w:r>
              <w:rPr>
                <w:rFonts w:ascii="宋体" w:hAnsi="宋体"/>
                <w:color w:val="auto"/>
                <w:sz w:val="24"/>
                <w:szCs w:val="24"/>
                <w:highlight w:val="none"/>
              </w:rPr>
              <w:t>10</w:t>
            </w:r>
            <w:r>
              <w:rPr>
                <w:rFonts w:hint="eastAsia" w:ascii="宋体" w:hAnsi="宋体"/>
                <w:color w:val="auto"/>
                <w:sz w:val="24"/>
                <w:szCs w:val="24"/>
                <w:highlight w:val="none"/>
              </w:rPr>
              <w:t>个工作日内，验收应在采购人和卖方双方共同参加下进行。</w:t>
            </w:r>
          </w:p>
          <w:p w14:paraId="1C919164">
            <w:pPr>
              <w:keepNext w:val="0"/>
              <w:keepLines w:val="0"/>
              <w:pageBreakBefore w:val="0"/>
              <w:widowControl w:val="0"/>
              <w:kinsoku/>
              <w:wordWrap/>
              <w:overflowPunct/>
              <w:topLinePunct w:val="0"/>
              <w:autoSpaceDE/>
              <w:autoSpaceDN/>
              <w:bidi w:val="0"/>
              <w:adjustRightInd/>
              <w:snapToGrid/>
              <w:spacing w:line="360" w:lineRule="auto"/>
              <w:ind w:left="418" w:hanging="477" w:hangingChars="199"/>
              <w:textAlignment w:val="auto"/>
              <w:rPr>
                <w:rFonts w:ascii="宋体"/>
                <w:color w:val="auto"/>
                <w:sz w:val="24"/>
                <w:szCs w:val="24"/>
                <w:highlight w:val="none"/>
              </w:rPr>
            </w:pPr>
            <w:r>
              <w:rPr>
                <w:rFonts w:ascii="宋体" w:hAnsi="宋体"/>
                <w:color w:val="auto"/>
                <w:sz w:val="24"/>
                <w:szCs w:val="24"/>
                <w:highlight w:val="none"/>
              </w:rPr>
              <w:t>6.2</w:t>
            </w:r>
            <w:r>
              <w:rPr>
                <w:rFonts w:hint="eastAsia" w:ascii="宋体" w:hAnsi="宋体"/>
                <w:color w:val="auto"/>
                <w:sz w:val="24"/>
                <w:szCs w:val="24"/>
                <w:highlight w:val="none"/>
              </w:rPr>
              <w:t>验收按国家有关的规定、规范进行。</w:t>
            </w:r>
          </w:p>
          <w:p w14:paraId="7048D8B1">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color w:val="auto"/>
                <w:sz w:val="24"/>
                <w:szCs w:val="24"/>
                <w:highlight w:val="none"/>
              </w:rPr>
            </w:pPr>
            <w:r>
              <w:rPr>
                <w:rFonts w:ascii="宋体" w:hAnsi="宋体"/>
                <w:color w:val="auto"/>
                <w:sz w:val="24"/>
                <w:szCs w:val="24"/>
                <w:highlight w:val="none"/>
              </w:rPr>
              <w:t>6.3</w:t>
            </w:r>
            <w:r>
              <w:rPr>
                <w:rFonts w:hint="eastAsia" w:ascii="宋体" w:hAnsi="宋体"/>
                <w:color w:val="auto"/>
                <w:sz w:val="24"/>
                <w:szCs w:val="24"/>
                <w:highlight w:val="none"/>
              </w:rPr>
              <w:t>采购人对卖方所交货物依照招标合同文件上的数量、技术规格要求和国家有关标准进行现场验收并随机抽样检查，性能全部达到技术要求，否则采购人有权拒收。抽样检查的有关费用由卖方承担。</w:t>
            </w:r>
          </w:p>
          <w:p w14:paraId="274B09F4">
            <w:pPr>
              <w:keepNext w:val="0"/>
              <w:keepLines w:val="0"/>
              <w:pageBreakBefore w:val="0"/>
              <w:widowControl w:val="0"/>
              <w:kinsoku/>
              <w:wordWrap/>
              <w:overflowPunct/>
              <w:topLinePunct w:val="0"/>
              <w:autoSpaceDE/>
              <w:autoSpaceDN/>
              <w:bidi w:val="0"/>
              <w:adjustRightInd/>
              <w:snapToGrid/>
              <w:spacing w:line="360" w:lineRule="auto"/>
              <w:ind w:left="418" w:hanging="477" w:hangingChars="199"/>
              <w:textAlignment w:val="auto"/>
              <w:rPr>
                <w:rFonts w:ascii="宋体"/>
                <w:color w:val="auto"/>
                <w:sz w:val="24"/>
                <w:szCs w:val="24"/>
                <w:highlight w:val="none"/>
              </w:rPr>
            </w:pPr>
            <w:r>
              <w:rPr>
                <w:rFonts w:ascii="宋体" w:hAnsi="宋体"/>
                <w:color w:val="auto"/>
                <w:sz w:val="24"/>
                <w:szCs w:val="24"/>
                <w:highlight w:val="none"/>
              </w:rPr>
              <w:t>6.4</w:t>
            </w:r>
            <w:r>
              <w:rPr>
                <w:rFonts w:hint="eastAsia" w:ascii="宋体" w:hAnsi="宋体"/>
                <w:color w:val="auto"/>
                <w:sz w:val="24"/>
                <w:szCs w:val="24"/>
                <w:highlight w:val="none"/>
              </w:rPr>
              <w:t>卖方须为验收提供必需的工具及其他便利条件。</w:t>
            </w:r>
          </w:p>
          <w:p w14:paraId="5BE36924">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color w:val="auto"/>
                <w:sz w:val="24"/>
                <w:szCs w:val="24"/>
                <w:highlight w:val="none"/>
              </w:rPr>
            </w:pPr>
            <w:r>
              <w:rPr>
                <w:rFonts w:ascii="宋体" w:hAnsi="宋体"/>
                <w:color w:val="auto"/>
                <w:sz w:val="24"/>
                <w:szCs w:val="24"/>
                <w:highlight w:val="none"/>
              </w:rPr>
              <w:t>6.5</w:t>
            </w:r>
            <w:r>
              <w:rPr>
                <w:rFonts w:hint="eastAsia" w:ascii="宋体" w:hAnsi="宋体"/>
                <w:color w:val="auto"/>
                <w:sz w:val="24"/>
                <w:szCs w:val="24"/>
                <w:highlight w:val="none"/>
              </w:rPr>
              <w:t>在验收过程中发现数量不足或有质量、技术等问题，卖方应负责按照采购人的要求采取补足、更换或退货等措施妥善处理，并承担由此发生的一切费用和损失。</w:t>
            </w:r>
          </w:p>
          <w:p w14:paraId="785A08B8">
            <w:pPr>
              <w:spacing w:line="360" w:lineRule="auto"/>
              <w:rPr>
                <w:rFonts w:ascii="宋体"/>
                <w:color w:val="auto"/>
                <w:sz w:val="24"/>
                <w:szCs w:val="24"/>
                <w:highlight w:val="none"/>
              </w:rPr>
            </w:pPr>
            <w:r>
              <w:rPr>
                <w:rFonts w:ascii="宋体" w:hAnsi="宋体"/>
                <w:color w:val="auto"/>
                <w:sz w:val="24"/>
                <w:szCs w:val="24"/>
                <w:highlight w:val="none"/>
              </w:rPr>
              <w:t>6.6</w:t>
            </w:r>
            <w:r>
              <w:rPr>
                <w:rFonts w:hint="eastAsia" w:ascii="宋体" w:hAnsi="宋体"/>
                <w:color w:val="auto"/>
                <w:sz w:val="24"/>
                <w:szCs w:val="24"/>
                <w:highlight w:val="none"/>
              </w:rPr>
              <w:t>对于不合格的货物，卖方必须在</w:t>
            </w:r>
            <w:r>
              <w:rPr>
                <w:rFonts w:ascii="宋体" w:hAnsi="宋体"/>
                <w:color w:val="auto"/>
                <w:sz w:val="24"/>
                <w:szCs w:val="24"/>
                <w:highlight w:val="none"/>
              </w:rPr>
              <w:t>7</w:t>
            </w:r>
            <w:r>
              <w:rPr>
                <w:rFonts w:hint="eastAsia" w:ascii="宋体" w:hAnsi="宋体"/>
                <w:color w:val="auto"/>
                <w:sz w:val="24"/>
                <w:szCs w:val="24"/>
                <w:highlight w:val="none"/>
              </w:rPr>
              <w:t>个工作日里及时完成更换，并保证验收合格。</w:t>
            </w:r>
            <w:r>
              <w:rPr>
                <w:rFonts w:ascii="宋体" w:hAnsi="宋体"/>
                <w:color w:val="auto"/>
                <w:sz w:val="24"/>
                <w:szCs w:val="24"/>
                <w:highlight w:val="none"/>
              </w:rPr>
              <w:t>7</w:t>
            </w:r>
            <w:r>
              <w:rPr>
                <w:rFonts w:hint="eastAsia" w:ascii="宋体" w:hAnsi="宋体"/>
                <w:color w:val="auto"/>
                <w:sz w:val="24"/>
                <w:szCs w:val="24"/>
                <w:highlight w:val="none"/>
              </w:rPr>
              <w:t>天内不能更换的或更换的验收不合格，按逾期交货处理。</w:t>
            </w:r>
          </w:p>
          <w:p w14:paraId="39F6E3FF">
            <w:pPr>
              <w:spacing w:line="360" w:lineRule="auto"/>
              <w:rPr>
                <w:rFonts w:ascii="宋体" w:hAnsi="宋体"/>
                <w:color w:val="auto"/>
                <w:sz w:val="24"/>
                <w:szCs w:val="24"/>
                <w:highlight w:val="none"/>
              </w:rPr>
            </w:pPr>
            <w:r>
              <w:rPr>
                <w:rFonts w:ascii="宋体" w:hAnsi="宋体"/>
                <w:color w:val="auto"/>
                <w:sz w:val="24"/>
                <w:szCs w:val="24"/>
                <w:highlight w:val="none"/>
              </w:rPr>
              <w:t>6.7</w:t>
            </w:r>
            <w:r>
              <w:rPr>
                <w:rFonts w:hint="eastAsia" w:ascii="宋体" w:hAnsi="宋体"/>
                <w:color w:val="auto"/>
                <w:sz w:val="24"/>
                <w:szCs w:val="24"/>
                <w:highlight w:val="none"/>
              </w:rPr>
              <w:t>对于货物出现质量问题，买方将不给予验收、取消其中标资格，并追究其由此造成的损失。</w:t>
            </w:r>
          </w:p>
        </w:tc>
      </w:tr>
      <w:tr w14:paraId="01BE5554">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rHeight w:val="708" w:hRule="atLeast"/>
          <w:tblCellSpacing w:w="0" w:type="dxa"/>
        </w:trPr>
        <w:tc>
          <w:tcPr>
            <w:tcW w:w="767"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35995BDB">
            <w:pPr>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7</w:t>
            </w:r>
          </w:p>
        </w:tc>
        <w:tc>
          <w:tcPr>
            <w:tcW w:w="1384"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49FC860F">
            <w:pPr>
              <w:spacing w:line="360" w:lineRule="auto"/>
              <w:jc w:val="center"/>
              <w:rPr>
                <w:rFonts w:hint="eastAsia" w:ascii="宋体" w:hAnsi="宋体"/>
                <w:color w:val="auto"/>
                <w:sz w:val="24"/>
                <w:szCs w:val="24"/>
                <w:highlight w:val="none"/>
              </w:rPr>
            </w:pPr>
            <w:r>
              <w:rPr>
                <w:rFonts w:hint="eastAsia" w:ascii="宋体" w:hAnsi="宋体"/>
                <w:color w:val="auto"/>
                <w:sz w:val="24"/>
                <w:szCs w:val="24"/>
                <w:highlight w:val="none"/>
              </w:rPr>
              <w:t>质保期及</w:t>
            </w:r>
          </w:p>
          <w:p w14:paraId="7F7FA136">
            <w:pPr>
              <w:spacing w:line="360" w:lineRule="auto"/>
              <w:jc w:val="center"/>
              <w:rPr>
                <w:rFonts w:ascii="宋体" w:hAnsi="宋体"/>
                <w:color w:val="auto"/>
                <w:sz w:val="24"/>
                <w:szCs w:val="24"/>
                <w:highlight w:val="none"/>
              </w:rPr>
            </w:pPr>
            <w:r>
              <w:rPr>
                <w:rFonts w:hint="eastAsia" w:ascii="宋体" w:hAnsi="宋体"/>
                <w:color w:val="auto"/>
                <w:sz w:val="24"/>
                <w:szCs w:val="24"/>
                <w:highlight w:val="none"/>
                <w:lang w:eastAsia="zh-CN"/>
              </w:rPr>
              <w:t>特殊要求</w:t>
            </w:r>
          </w:p>
        </w:tc>
        <w:tc>
          <w:tcPr>
            <w:tcW w:w="6890" w:type="dxa"/>
            <w:tcBorders>
              <w:top w:val="outset" w:color="DDDDDD" w:sz="6" w:space="0"/>
              <w:left w:val="outset" w:color="DDDDDD" w:sz="6" w:space="0"/>
              <w:bottom w:val="outset" w:color="DDDDDD" w:sz="6" w:space="0"/>
              <w:right w:val="outset" w:color="auto" w:sz="6" w:space="0"/>
            </w:tcBorders>
            <w:noWrap w:val="0"/>
            <w:tcMar>
              <w:top w:w="15" w:type="dxa"/>
              <w:left w:w="15" w:type="dxa"/>
              <w:bottom w:w="15" w:type="dxa"/>
              <w:right w:w="15" w:type="dxa"/>
            </w:tcMar>
            <w:vAlign w:val="center"/>
          </w:tcPr>
          <w:p w14:paraId="6D0DA307">
            <w:pPr>
              <w:spacing w:line="360" w:lineRule="auto"/>
              <w:ind w:left="475" w:leftChars="-1" w:hanging="477" w:hangingChars="199"/>
              <w:rPr>
                <w:rFonts w:hint="eastAsia" w:eastAsia="宋体"/>
                <w:color w:val="auto"/>
                <w:sz w:val="24"/>
                <w:szCs w:val="24"/>
                <w:highlight w:val="none"/>
                <w:lang w:eastAsia="zh-CN"/>
              </w:rPr>
            </w:pPr>
            <w:r>
              <w:rPr>
                <w:rFonts w:hint="eastAsia"/>
                <w:color w:val="auto"/>
                <w:sz w:val="24"/>
                <w:szCs w:val="24"/>
                <w:highlight w:val="none"/>
              </w:rPr>
              <w:t>7.1质保期：</w:t>
            </w:r>
            <w:r>
              <w:rPr>
                <w:rFonts w:hint="eastAsia"/>
                <w:color w:val="auto"/>
                <w:sz w:val="24"/>
                <w:szCs w:val="24"/>
                <w:highlight w:val="none"/>
                <w:lang w:val="en-US" w:eastAsia="zh-CN"/>
              </w:rPr>
              <w:t>1</w:t>
            </w:r>
            <w:r>
              <w:rPr>
                <w:rFonts w:hint="eastAsia"/>
                <w:color w:val="auto"/>
                <w:sz w:val="24"/>
                <w:szCs w:val="24"/>
                <w:highlight w:val="none"/>
              </w:rPr>
              <w:t>年</w:t>
            </w:r>
            <w:r>
              <w:rPr>
                <w:rFonts w:hint="eastAsia"/>
                <w:color w:val="auto"/>
                <w:sz w:val="24"/>
                <w:szCs w:val="24"/>
                <w:highlight w:val="none"/>
                <w:lang w:eastAsia="zh-CN"/>
              </w:rPr>
              <w:t>。</w:t>
            </w:r>
          </w:p>
        </w:tc>
      </w:tr>
      <w:tr w14:paraId="6F0BC9F2">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trPr>
        <w:tc>
          <w:tcPr>
            <w:tcW w:w="767"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7CC5C309">
            <w:pPr>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8</w:t>
            </w:r>
          </w:p>
        </w:tc>
        <w:tc>
          <w:tcPr>
            <w:tcW w:w="1384" w:type="dxa"/>
            <w:tcBorders>
              <w:top w:val="outset" w:color="DDDDDD" w:sz="6" w:space="0"/>
              <w:left w:val="outset" w:color="DDDDDD" w:sz="6" w:space="0"/>
              <w:bottom w:val="outset" w:color="DDDDDD" w:sz="6" w:space="0"/>
              <w:right w:val="outset" w:color="DDDDDD" w:sz="6" w:space="0"/>
            </w:tcBorders>
            <w:noWrap w:val="0"/>
            <w:tcMar>
              <w:top w:w="15" w:type="dxa"/>
              <w:left w:w="15" w:type="dxa"/>
              <w:bottom w:w="15" w:type="dxa"/>
              <w:right w:w="15" w:type="dxa"/>
            </w:tcMar>
            <w:vAlign w:val="center"/>
          </w:tcPr>
          <w:p w14:paraId="7433F31F">
            <w:pPr>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包装要求</w:t>
            </w:r>
          </w:p>
        </w:tc>
        <w:tc>
          <w:tcPr>
            <w:tcW w:w="6890" w:type="dxa"/>
            <w:tcBorders>
              <w:top w:val="outset" w:color="DDDDDD" w:sz="6" w:space="0"/>
              <w:left w:val="outset" w:color="DDDDDD" w:sz="6" w:space="0"/>
              <w:bottom w:val="outset" w:color="DDDDDD" w:sz="6" w:space="0"/>
              <w:right w:val="outset" w:color="auto" w:sz="6" w:space="0"/>
            </w:tcBorders>
            <w:noWrap w:val="0"/>
            <w:tcMar>
              <w:top w:w="15" w:type="dxa"/>
              <w:left w:w="15" w:type="dxa"/>
              <w:bottom w:w="15" w:type="dxa"/>
              <w:right w:w="15" w:type="dxa"/>
            </w:tcMar>
            <w:vAlign w:val="center"/>
          </w:tcPr>
          <w:p w14:paraId="4AB9BF99">
            <w:pPr>
              <w:spacing w:line="360" w:lineRule="auto"/>
              <w:rPr>
                <w:rFonts w:ascii="宋体" w:hAnsi="宋体"/>
                <w:color w:val="auto"/>
                <w:sz w:val="24"/>
                <w:szCs w:val="24"/>
                <w:highlight w:val="none"/>
              </w:rPr>
            </w:pPr>
            <w:r>
              <w:rPr>
                <w:rFonts w:hint="eastAsia" w:ascii="宋体" w:hAnsi="宋体"/>
                <w:color w:val="auto"/>
                <w:sz w:val="24"/>
                <w:szCs w:val="24"/>
                <w:highlight w:val="none"/>
              </w:rPr>
              <w:t>卖方提供的全部货物均应按标准保护措施进行包装，这类包装应适应于远距离运输、防潮、防震、防锈和防野蛮装卸，以确保货物安全无损运抵指定现场。由于包装不善所引起的货物锈蚀、损坏和损失均由卖方负责。</w:t>
            </w:r>
          </w:p>
        </w:tc>
      </w:tr>
    </w:tbl>
    <w:p w14:paraId="3648863E">
      <w:pPr>
        <w:rPr>
          <w:rFonts w:hint="eastAsia"/>
          <w:color w:val="auto"/>
          <w:sz w:val="24"/>
          <w:highlight w:val="none"/>
        </w:rPr>
      </w:pPr>
      <w:r>
        <w:rPr>
          <w:rFonts w:hint="eastAsia" w:ascii="宋体" w:hAnsi="宋体"/>
          <w:b/>
          <w:color w:val="auto"/>
          <w:szCs w:val="21"/>
          <w:highlight w:val="none"/>
        </w:rPr>
        <w:t>注：1、以上商务条款，投标人必须完全响应或优于。</w:t>
      </w:r>
    </w:p>
    <w:p w14:paraId="2B312B11">
      <w:pPr>
        <w:numPr>
          <w:ilvl w:val="0"/>
          <w:numId w:val="0"/>
        </w:numPr>
        <w:ind w:firstLine="420" w:firstLineChars="200"/>
        <w:rPr>
          <w:rFonts w:hint="eastAsia" w:ascii="宋体" w:hAnsi="宋体"/>
          <w:b/>
          <w:color w:val="auto"/>
          <w:szCs w:val="21"/>
          <w:highlight w:val="none"/>
        </w:rPr>
      </w:pPr>
      <w:r>
        <w:rPr>
          <w:rFonts w:hint="eastAsia" w:ascii="宋体" w:hAnsi="宋体"/>
          <w:b/>
          <w:color w:val="auto"/>
          <w:szCs w:val="21"/>
          <w:highlight w:val="none"/>
          <w:lang w:val="en-US" w:eastAsia="zh-CN"/>
        </w:rPr>
        <w:t>2、</w:t>
      </w:r>
      <w:r>
        <w:rPr>
          <w:rFonts w:hint="eastAsia" w:ascii="宋体" w:hAnsi="宋体"/>
          <w:b/>
          <w:color w:val="auto"/>
          <w:szCs w:val="21"/>
          <w:highlight w:val="none"/>
        </w:rPr>
        <w:t>若无特殊说明，本招标文件中所述及的“日”和“天”均指“日历日”</w:t>
      </w:r>
    </w:p>
    <w:p w14:paraId="0B1922D9">
      <w:pPr>
        <w:pStyle w:val="37"/>
        <w:rPr>
          <w:rFonts w:hint="eastAsia" w:ascii="宋体" w:hAnsi="宋体"/>
          <w:b/>
          <w:color w:val="auto"/>
          <w:szCs w:val="21"/>
          <w:highlight w:val="none"/>
        </w:rPr>
      </w:pPr>
    </w:p>
    <w:p w14:paraId="52245FB6">
      <w:pPr>
        <w:keepNext w:val="0"/>
        <w:keepLines w:val="0"/>
        <w:widowControl/>
        <w:suppressLineNumbers w:val="0"/>
        <w:spacing w:line="360" w:lineRule="auto"/>
        <w:jc w:val="left"/>
        <w:textAlignment w:val="center"/>
        <w:rPr>
          <w:rFonts w:hint="default" w:ascii="黑体" w:hAnsi="宋体" w:eastAsia="黑体" w:cs="黑体"/>
          <w:b/>
          <w:bCs/>
          <w:i w:val="0"/>
          <w:iCs w:val="0"/>
          <w:color w:val="auto"/>
          <w:kern w:val="0"/>
          <w:sz w:val="24"/>
          <w:szCs w:val="24"/>
          <w:u w:val="none"/>
          <w:lang w:val="en-US" w:eastAsia="zh-CN" w:bidi="ar"/>
        </w:rPr>
      </w:pPr>
      <w:bookmarkStart w:id="3" w:name="_GoBack"/>
      <w:bookmarkEnd w:id="3"/>
    </w:p>
    <w:sectPr>
      <w:footerReference r:id="rId3" w:type="default"/>
      <w:pgSz w:w="11906" w:h="16839"/>
      <w:pgMar w:top="1463" w:right="1757" w:bottom="1463" w:left="1757"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E51DAEE-7E12-4F5C-9DB9-0CC5DFC6DBD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embedRegular r:id="rId2" w:fontKey="{B655FFB1-84A6-4D59-ADC2-CE2C58AFCABD}"/>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方正小标宋简体">
    <w:panose1 w:val="02000000000000000000"/>
    <w:charset w:val="86"/>
    <w:family w:val="auto"/>
    <w:pitch w:val="default"/>
    <w:sig w:usb0="00000001" w:usb1="08000000" w:usb2="00000000" w:usb3="00000000" w:csb0="00040000" w:csb1="00000000"/>
  </w:font>
  <w:font w:name="WPSEMBED3">
    <w:panose1 w:val="05020102010507070707"/>
    <w:charset w:val="00"/>
    <w:family w:val="auto"/>
    <w:pitch w:val="default"/>
    <w:sig w:usb0="00000000" w:usb1="00000000" w:usb2="00000000" w:usb3="00000000" w:csb0="80000000" w:csb1="00000000"/>
  </w:font>
  <w:font w:name="WPSEMBED4">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FDFC6">
    <w:pPr>
      <w:pStyle w:val="1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9" name="文本框 1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3CDAEA">
                          <w:pPr>
                            <w:pStyle w:val="12"/>
                          </w:pPr>
                          <w:r>
                            <w:fldChar w:fldCharType="begin"/>
                          </w:r>
                          <w:r>
                            <w:instrText xml:space="preserve"> PAGE  \* MERGEFORMAT </w:instrText>
                          </w:r>
                          <w:r>
                            <w:fldChar w:fldCharType="separate"/>
                          </w:r>
                          <w:r>
                            <w:t>114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TBMpg0AgAAZQ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67eUGKYRslP37+d&#10;fvw6/fxK0iEkalyYIfLBITa2b22L8OE84DAxbyuv0xecCPwQ+HgRWLSR8HRpOplOc7g4fMMG+Nnj&#10;dedDfCesJskoqEcFO2HZYRNiHzqEpGzGrqVSXRWVIU1Br69e59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kwTKYNAIAAGUEAAAOAAAAAAAAAAEAIAAAAB8BAABkcnMvZTJvRG9jLnhtbFBL&#10;BQYAAAAABgAGAFkBAADFBQAAAAA=&#10;">
              <v:fill on="f" focussize="0,0"/>
              <v:stroke on="f" weight="0.5pt"/>
              <v:imagedata o:title=""/>
              <o:lock v:ext="edit" aspectratio="f"/>
              <v:textbox inset="0mm,0mm,0mm,0mm" style="mso-fit-shape-to-text:t;">
                <w:txbxContent>
                  <w:p w14:paraId="7B3CDAEA">
                    <w:pPr>
                      <w:pStyle w:val="12"/>
                    </w:pPr>
                    <w:r>
                      <w:fldChar w:fldCharType="begin"/>
                    </w:r>
                    <w:r>
                      <w:instrText xml:space="preserve"> PAGE  \* MERGEFORMAT </w:instrText>
                    </w:r>
                    <w:r>
                      <w:fldChar w:fldCharType="separate"/>
                    </w:r>
                    <w:r>
                      <w:t>114</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hdrShapeDefaults>
    <o:shapelayout v:ext="edit">
      <o:idmap v:ext="edit" data="2"/>
    </o:shapelayout>
  </w:hdrShapeDefault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57825"/>
    <w:rsid w:val="0031198B"/>
    <w:rsid w:val="00412A37"/>
    <w:rsid w:val="006308AB"/>
    <w:rsid w:val="00847DE1"/>
    <w:rsid w:val="009A7605"/>
    <w:rsid w:val="00CD47AB"/>
    <w:rsid w:val="00D6521D"/>
    <w:rsid w:val="00E07360"/>
    <w:rsid w:val="00F72BE7"/>
    <w:rsid w:val="01245753"/>
    <w:rsid w:val="013D404E"/>
    <w:rsid w:val="014707D5"/>
    <w:rsid w:val="01805E30"/>
    <w:rsid w:val="0183453D"/>
    <w:rsid w:val="01E178D6"/>
    <w:rsid w:val="01F176F8"/>
    <w:rsid w:val="02CF186C"/>
    <w:rsid w:val="02F62DEB"/>
    <w:rsid w:val="038E662E"/>
    <w:rsid w:val="039A259E"/>
    <w:rsid w:val="03A14F29"/>
    <w:rsid w:val="03D2753B"/>
    <w:rsid w:val="03F805EA"/>
    <w:rsid w:val="040C0F98"/>
    <w:rsid w:val="04160A34"/>
    <w:rsid w:val="044D1E30"/>
    <w:rsid w:val="04F64D19"/>
    <w:rsid w:val="05203B59"/>
    <w:rsid w:val="052B325D"/>
    <w:rsid w:val="058F1B75"/>
    <w:rsid w:val="05D53F2F"/>
    <w:rsid w:val="05F07017"/>
    <w:rsid w:val="06022940"/>
    <w:rsid w:val="062D088E"/>
    <w:rsid w:val="06872F1A"/>
    <w:rsid w:val="06903285"/>
    <w:rsid w:val="06B869C0"/>
    <w:rsid w:val="06E93094"/>
    <w:rsid w:val="076566A7"/>
    <w:rsid w:val="079A2F4B"/>
    <w:rsid w:val="07B64740"/>
    <w:rsid w:val="081F5E69"/>
    <w:rsid w:val="085F360E"/>
    <w:rsid w:val="08A5284C"/>
    <w:rsid w:val="08BB280E"/>
    <w:rsid w:val="08D800EA"/>
    <w:rsid w:val="08D86F1C"/>
    <w:rsid w:val="09442803"/>
    <w:rsid w:val="09772BD9"/>
    <w:rsid w:val="098C4275"/>
    <w:rsid w:val="099C2AD0"/>
    <w:rsid w:val="0A0C7F24"/>
    <w:rsid w:val="0A5474C3"/>
    <w:rsid w:val="0A5F7AD5"/>
    <w:rsid w:val="0A630BD7"/>
    <w:rsid w:val="0AAA50E9"/>
    <w:rsid w:val="0ABB6AF5"/>
    <w:rsid w:val="0B6C47BD"/>
    <w:rsid w:val="0B780A87"/>
    <w:rsid w:val="0B8D66E4"/>
    <w:rsid w:val="0BCE5A19"/>
    <w:rsid w:val="0BD25EA5"/>
    <w:rsid w:val="0C027923"/>
    <w:rsid w:val="0C1E16F8"/>
    <w:rsid w:val="0C4C6501"/>
    <w:rsid w:val="0CEB540F"/>
    <w:rsid w:val="0CEC5810"/>
    <w:rsid w:val="0D5D6F0E"/>
    <w:rsid w:val="0D8A06D8"/>
    <w:rsid w:val="0DB63714"/>
    <w:rsid w:val="0DBF7C0D"/>
    <w:rsid w:val="0DD264ED"/>
    <w:rsid w:val="0DD809E2"/>
    <w:rsid w:val="0DF92DD7"/>
    <w:rsid w:val="0E045967"/>
    <w:rsid w:val="0E306947"/>
    <w:rsid w:val="0E480353"/>
    <w:rsid w:val="0E4D0E15"/>
    <w:rsid w:val="0E655736"/>
    <w:rsid w:val="0E893D93"/>
    <w:rsid w:val="0E9628AA"/>
    <w:rsid w:val="0F6908E7"/>
    <w:rsid w:val="0F8346BB"/>
    <w:rsid w:val="0FA80009"/>
    <w:rsid w:val="0FAD17DF"/>
    <w:rsid w:val="107604C9"/>
    <w:rsid w:val="107F306E"/>
    <w:rsid w:val="10D80401"/>
    <w:rsid w:val="113C5088"/>
    <w:rsid w:val="114948FA"/>
    <w:rsid w:val="11660A66"/>
    <w:rsid w:val="126757A9"/>
    <w:rsid w:val="128B5679"/>
    <w:rsid w:val="1292624E"/>
    <w:rsid w:val="129C0FBA"/>
    <w:rsid w:val="12AF18A4"/>
    <w:rsid w:val="12DA5FB8"/>
    <w:rsid w:val="12EA191B"/>
    <w:rsid w:val="131A2F62"/>
    <w:rsid w:val="135F6CB8"/>
    <w:rsid w:val="139F6FB4"/>
    <w:rsid w:val="141D25CF"/>
    <w:rsid w:val="143E0B0F"/>
    <w:rsid w:val="147541B9"/>
    <w:rsid w:val="14B561ED"/>
    <w:rsid w:val="14F13A81"/>
    <w:rsid w:val="14F51F67"/>
    <w:rsid w:val="1538599A"/>
    <w:rsid w:val="15472F0A"/>
    <w:rsid w:val="155C2C83"/>
    <w:rsid w:val="15616E04"/>
    <w:rsid w:val="157F0ABE"/>
    <w:rsid w:val="158B0678"/>
    <w:rsid w:val="15A703A2"/>
    <w:rsid w:val="15D96ABB"/>
    <w:rsid w:val="16A23BD8"/>
    <w:rsid w:val="16A356CC"/>
    <w:rsid w:val="16B63EFB"/>
    <w:rsid w:val="173418E5"/>
    <w:rsid w:val="17342109"/>
    <w:rsid w:val="176E0569"/>
    <w:rsid w:val="176E67A0"/>
    <w:rsid w:val="17D60801"/>
    <w:rsid w:val="182E6B2B"/>
    <w:rsid w:val="18363C5F"/>
    <w:rsid w:val="186009B5"/>
    <w:rsid w:val="18617483"/>
    <w:rsid w:val="18846779"/>
    <w:rsid w:val="18C97898"/>
    <w:rsid w:val="18E84F59"/>
    <w:rsid w:val="18F338FE"/>
    <w:rsid w:val="18F643B3"/>
    <w:rsid w:val="19241D0A"/>
    <w:rsid w:val="193E2DCB"/>
    <w:rsid w:val="194708F7"/>
    <w:rsid w:val="196206F1"/>
    <w:rsid w:val="19A61E44"/>
    <w:rsid w:val="19F33BB6"/>
    <w:rsid w:val="19FA19E3"/>
    <w:rsid w:val="1A1C75AD"/>
    <w:rsid w:val="1A551963"/>
    <w:rsid w:val="1A9F6A45"/>
    <w:rsid w:val="1AD33D2C"/>
    <w:rsid w:val="1AF44F33"/>
    <w:rsid w:val="1B4548E5"/>
    <w:rsid w:val="1B702014"/>
    <w:rsid w:val="1B8F6D81"/>
    <w:rsid w:val="1BD47A17"/>
    <w:rsid w:val="1C375267"/>
    <w:rsid w:val="1D085BCA"/>
    <w:rsid w:val="1D74500E"/>
    <w:rsid w:val="1D9E39AF"/>
    <w:rsid w:val="1DD31AD2"/>
    <w:rsid w:val="1DD800C0"/>
    <w:rsid w:val="1E43791C"/>
    <w:rsid w:val="1E5C3D93"/>
    <w:rsid w:val="1E655602"/>
    <w:rsid w:val="1EE2581E"/>
    <w:rsid w:val="1F2952CA"/>
    <w:rsid w:val="1F515AED"/>
    <w:rsid w:val="1F8A126A"/>
    <w:rsid w:val="1FAB6CE1"/>
    <w:rsid w:val="1FCE326D"/>
    <w:rsid w:val="1FFE761D"/>
    <w:rsid w:val="20026D16"/>
    <w:rsid w:val="206155F1"/>
    <w:rsid w:val="20B54DB2"/>
    <w:rsid w:val="21042B4C"/>
    <w:rsid w:val="213A566A"/>
    <w:rsid w:val="2195298B"/>
    <w:rsid w:val="21CE72BA"/>
    <w:rsid w:val="22072FB3"/>
    <w:rsid w:val="22112B50"/>
    <w:rsid w:val="224433AA"/>
    <w:rsid w:val="22493D9B"/>
    <w:rsid w:val="2271206B"/>
    <w:rsid w:val="22791318"/>
    <w:rsid w:val="22A85555"/>
    <w:rsid w:val="22FD3CF7"/>
    <w:rsid w:val="22FF694E"/>
    <w:rsid w:val="23056708"/>
    <w:rsid w:val="234D0A23"/>
    <w:rsid w:val="23746473"/>
    <w:rsid w:val="23C04A55"/>
    <w:rsid w:val="24517773"/>
    <w:rsid w:val="25533D7B"/>
    <w:rsid w:val="256A366E"/>
    <w:rsid w:val="25823163"/>
    <w:rsid w:val="25C2227A"/>
    <w:rsid w:val="25E2090D"/>
    <w:rsid w:val="25F37706"/>
    <w:rsid w:val="26183FA9"/>
    <w:rsid w:val="26964425"/>
    <w:rsid w:val="26BE3321"/>
    <w:rsid w:val="26BE405A"/>
    <w:rsid w:val="26F935BA"/>
    <w:rsid w:val="2722776F"/>
    <w:rsid w:val="27457A1B"/>
    <w:rsid w:val="274B704D"/>
    <w:rsid w:val="279C2686"/>
    <w:rsid w:val="27C856A9"/>
    <w:rsid w:val="27EF1D1C"/>
    <w:rsid w:val="280660E7"/>
    <w:rsid w:val="281F2B8A"/>
    <w:rsid w:val="28295A40"/>
    <w:rsid w:val="28706D19"/>
    <w:rsid w:val="28CF7D70"/>
    <w:rsid w:val="28F15E9D"/>
    <w:rsid w:val="291F3D28"/>
    <w:rsid w:val="29D17C7A"/>
    <w:rsid w:val="2A071140"/>
    <w:rsid w:val="2AC547CD"/>
    <w:rsid w:val="2AC967C3"/>
    <w:rsid w:val="2ADB6D78"/>
    <w:rsid w:val="2B0F5B99"/>
    <w:rsid w:val="2BD33075"/>
    <w:rsid w:val="2BDA2720"/>
    <w:rsid w:val="2BE93C1A"/>
    <w:rsid w:val="2BED313B"/>
    <w:rsid w:val="2C695F59"/>
    <w:rsid w:val="2C7C667F"/>
    <w:rsid w:val="2CA90A4C"/>
    <w:rsid w:val="2CF55C1F"/>
    <w:rsid w:val="2D665E74"/>
    <w:rsid w:val="2D99286E"/>
    <w:rsid w:val="2DF41412"/>
    <w:rsid w:val="2E234DC0"/>
    <w:rsid w:val="2E2B0E5E"/>
    <w:rsid w:val="2E461A27"/>
    <w:rsid w:val="2E575FCC"/>
    <w:rsid w:val="2E693B84"/>
    <w:rsid w:val="2E6B25E3"/>
    <w:rsid w:val="2E954191"/>
    <w:rsid w:val="2EB108A7"/>
    <w:rsid w:val="2F424F8C"/>
    <w:rsid w:val="2F5F3B7C"/>
    <w:rsid w:val="2FB63E0A"/>
    <w:rsid w:val="2FC17E5A"/>
    <w:rsid w:val="2FFB4E50"/>
    <w:rsid w:val="301569C3"/>
    <w:rsid w:val="30274161"/>
    <w:rsid w:val="303B24C1"/>
    <w:rsid w:val="3041313C"/>
    <w:rsid w:val="305E1890"/>
    <w:rsid w:val="308B0DF9"/>
    <w:rsid w:val="30FF5FC0"/>
    <w:rsid w:val="31353885"/>
    <w:rsid w:val="314D2BE9"/>
    <w:rsid w:val="314D409C"/>
    <w:rsid w:val="31526CE7"/>
    <w:rsid w:val="316B62D0"/>
    <w:rsid w:val="318178A1"/>
    <w:rsid w:val="31903E13"/>
    <w:rsid w:val="31AC0DC2"/>
    <w:rsid w:val="31C55E0D"/>
    <w:rsid w:val="31E76326"/>
    <w:rsid w:val="31F23A45"/>
    <w:rsid w:val="31FE5396"/>
    <w:rsid w:val="321C6AB4"/>
    <w:rsid w:val="322F416D"/>
    <w:rsid w:val="3233535A"/>
    <w:rsid w:val="325046A1"/>
    <w:rsid w:val="329A3D4F"/>
    <w:rsid w:val="32BE2A91"/>
    <w:rsid w:val="33074498"/>
    <w:rsid w:val="332A17B8"/>
    <w:rsid w:val="33391774"/>
    <w:rsid w:val="33AA39EC"/>
    <w:rsid w:val="33AE791F"/>
    <w:rsid w:val="33B665C5"/>
    <w:rsid w:val="33D37DE2"/>
    <w:rsid w:val="33F26834"/>
    <w:rsid w:val="3408478C"/>
    <w:rsid w:val="340C63DF"/>
    <w:rsid w:val="34325184"/>
    <w:rsid w:val="344D41DC"/>
    <w:rsid w:val="346E1C27"/>
    <w:rsid w:val="34CA3D0E"/>
    <w:rsid w:val="34DF14AF"/>
    <w:rsid w:val="34F27B67"/>
    <w:rsid w:val="35492DCC"/>
    <w:rsid w:val="35591BE5"/>
    <w:rsid w:val="36064E50"/>
    <w:rsid w:val="362863AF"/>
    <w:rsid w:val="36597105"/>
    <w:rsid w:val="367F4132"/>
    <w:rsid w:val="36844F22"/>
    <w:rsid w:val="36D178DD"/>
    <w:rsid w:val="375B490A"/>
    <w:rsid w:val="377A27AF"/>
    <w:rsid w:val="3899102A"/>
    <w:rsid w:val="38A26A7B"/>
    <w:rsid w:val="39225E0E"/>
    <w:rsid w:val="399A65AA"/>
    <w:rsid w:val="399B34CA"/>
    <w:rsid w:val="39D96E5F"/>
    <w:rsid w:val="3A1B5E20"/>
    <w:rsid w:val="3A6B125E"/>
    <w:rsid w:val="3A7E214E"/>
    <w:rsid w:val="3AF01CC5"/>
    <w:rsid w:val="3B163B4E"/>
    <w:rsid w:val="3B7E51F7"/>
    <w:rsid w:val="3B8811A4"/>
    <w:rsid w:val="3BAC10D3"/>
    <w:rsid w:val="3C0F220A"/>
    <w:rsid w:val="3C267544"/>
    <w:rsid w:val="3C3D33E3"/>
    <w:rsid w:val="3C4E5F8C"/>
    <w:rsid w:val="3C8C6D91"/>
    <w:rsid w:val="3D1E68EC"/>
    <w:rsid w:val="3D36354C"/>
    <w:rsid w:val="3DBB413B"/>
    <w:rsid w:val="3DC93A44"/>
    <w:rsid w:val="3DD11BB1"/>
    <w:rsid w:val="3DED4811"/>
    <w:rsid w:val="3DF316F8"/>
    <w:rsid w:val="3E1F3CAD"/>
    <w:rsid w:val="3E292C29"/>
    <w:rsid w:val="3E78615B"/>
    <w:rsid w:val="3E8E35FE"/>
    <w:rsid w:val="3F19434D"/>
    <w:rsid w:val="3F2350E9"/>
    <w:rsid w:val="3F350CDE"/>
    <w:rsid w:val="3F984C13"/>
    <w:rsid w:val="40047611"/>
    <w:rsid w:val="406422D9"/>
    <w:rsid w:val="41015B84"/>
    <w:rsid w:val="41780CC1"/>
    <w:rsid w:val="41887D06"/>
    <w:rsid w:val="428E7BE1"/>
    <w:rsid w:val="42957651"/>
    <w:rsid w:val="42B20B36"/>
    <w:rsid w:val="42BA658B"/>
    <w:rsid w:val="42FB66C8"/>
    <w:rsid w:val="43192944"/>
    <w:rsid w:val="43394480"/>
    <w:rsid w:val="43452E25"/>
    <w:rsid w:val="44362348"/>
    <w:rsid w:val="447255E6"/>
    <w:rsid w:val="44CD7E13"/>
    <w:rsid w:val="453A628D"/>
    <w:rsid w:val="454B2248"/>
    <w:rsid w:val="45B61DB8"/>
    <w:rsid w:val="45D2152F"/>
    <w:rsid w:val="45EE0F95"/>
    <w:rsid w:val="45F42F70"/>
    <w:rsid w:val="45F85626"/>
    <w:rsid w:val="462273F5"/>
    <w:rsid w:val="466556B5"/>
    <w:rsid w:val="46710516"/>
    <w:rsid w:val="4692195B"/>
    <w:rsid w:val="46F17D48"/>
    <w:rsid w:val="470E15D4"/>
    <w:rsid w:val="47234C6F"/>
    <w:rsid w:val="47333CBC"/>
    <w:rsid w:val="47C87B4B"/>
    <w:rsid w:val="47DA479A"/>
    <w:rsid w:val="47E30E5E"/>
    <w:rsid w:val="47E36768"/>
    <w:rsid w:val="47EC74F8"/>
    <w:rsid w:val="47EE2BF4"/>
    <w:rsid w:val="48067C5A"/>
    <w:rsid w:val="484162BE"/>
    <w:rsid w:val="48643D4D"/>
    <w:rsid w:val="487D7E3E"/>
    <w:rsid w:val="48967192"/>
    <w:rsid w:val="489A6313"/>
    <w:rsid w:val="48A95C04"/>
    <w:rsid w:val="48CE0A5C"/>
    <w:rsid w:val="49285212"/>
    <w:rsid w:val="4949445D"/>
    <w:rsid w:val="49B51BAE"/>
    <w:rsid w:val="4A442B3D"/>
    <w:rsid w:val="4A5E47CC"/>
    <w:rsid w:val="4A7E09CA"/>
    <w:rsid w:val="4A884CC6"/>
    <w:rsid w:val="4AA55BC3"/>
    <w:rsid w:val="4ABC7D85"/>
    <w:rsid w:val="4B270CDD"/>
    <w:rsid w:val="4B66403D"/>
    <w:rsid w:val="4BC06BEF"/>
    <w:rsid w:val="4C0C51B6"/>
    <w:rsid w:val="4C254B4B"/>
    <w:rsid w:val="4D07114B"/>
    <w:rsid w:val="4D403EDA"/>
    <w:rsid w:val="4D954046"/>
    <w:rsid w:val="4DAA0AD5"/>
    <w:rsid w:val="4E202AF3"/>
    <w:rsid w:val="4E6D29C4"/>
    <w:rsid w:val="4E71060A"/>
    <w:rsid w:val="4E915DC0"/>
    <w:rsid w:val="4E9A0D74"/>
    <w:rsid w:val="4F282F37"/>
    <w:rsid w:val="4F701691"/>
    <w:rsid w:val="4FAA2095"/>
    <w:rsid w:val="4FAE482A"/>
    <w:rsid w:val="4FC41575"/>
    <w:rsid w:val="4FC60E49"/>
    <w:rsid w:val="4FD964A8"/>
    <w:rsid w:val="4FF52C71"/>
    <w:rsid w:val="503A7A08"/>
    <w:rsid w:val="5055041F"/>
    <w:rsid w:val="509A51EA"/>
    <w:rsid w:val="509E3ED1"/>
    <w:rsid w:val="514E559A"/>
    <w:rsid w:val="51C86E5A"/>
    <w:rsid w:val="51E92988"/>
    <w:rsid w:val="520E62B8"/>
    <w:rsid w:val="522662FA"/>
    <w:rsid w:val="525502AF"/>
    <w:rsid w:val="528312E8"/>
    <w:rsid w:val="529A4BA7"/>
    <w:rsid w:val="52B50FFA"/>
    <w:rsid w:val="52C31E67"/>
    <w:rsid w:val="52DA54E7"/>
    <w:rsid w:val="52E468A6"/>
    <w:rsid w:val="52E8669F"/>
    <w:rsid w:val="52F757BE"/>
    <w:rsid w:val="531F42E7"/>
    <w:rsid w:val="5321090F"/>
    <w:rsid w:val="53D6797D"/>
    <w:rsid w:val="53E775E0"/>
    <w:rsid w:val="54091C4C"/>
    <w:rsid w:val="54BC690A"/>
    <w:rsid w:val="54FD5330"/>
    <w:rsid w:val="55132EB9"/>
    <w:rsid w:val="554B1206"/>
    <w:rsid w:val="55E101CF"/>
    <w:rsid w:val="55F00828"/>
    <w:rsid w:val="56004D6F"/>
    <w:rsid w:val="56174AC2"/>
    <w:rsid w:val="56431446"/>
    <w:rsid w:val="56E5591B"/>
    <w:rsid w:val="575A5F43"/>
    <w:rsid w:val="57631674"/>
    <w:rsid w:val="5794495B"/>
    <w:rsid w:val="57A500D0"/>
    <w:rsid w:val="57B93A4A"/>
    <w:rsid w:val="57C351F2"/>
    <w:rsid w:val="57F61555"/>
    <w:rsid w:val="580A4B6C"/>
    <w:rsid w:val="582E7F83"/>
    <w:rsid w:val="584C75F7"/>
    <w:rsid w:val="58532224"/>
    <w:rsid w:val="586903C5"/>
    <w:rsid w:val="58711142"/>
    <w:rsid w:val="58981BD0"/>
    <w:rsid w:val="58DE7204"/>
    <w:rsid w:val="59275F76"/>
    <w:rsid w:val="593212FE"/>
    <w:rsid w:val="59590F80"/>
    <w:rsid w:val="59A732EE"/>
    <w:rsid w:val="59C3464B"/>
    <w:rsid w:val="59CB140B"/>
    <w:rsid w:val="59DE2BBE"/>
    <w:rsid w:val="5A1C56D1"/>
    <w:rsid w:val="5A410A6F"/>
    <w:rsid w:val="5AA224B3"/>
    <w:rsid w:val="5AC55338"/>
    <w:rsid w:val="5B1553A6"/>
    <w:rsid w:val="5B79359D"/>
    <w:rsid w:val="5C65447A"/>
    <w:rsid w:val="5CCD039C"/>
    <w:rsid w:val="5CE05C01"/>
    <w:rsid w:val="5D067F46"/>
    <w:rsid w:val="5D7874FB"/>
    <w:rsid w:val="5DAB7904"/>
    <w:rsid w:val="5DBB38DD"/>
    <w:rsid w:val="5DEA6484"/>
    <w:rsid w:val="5E2A0506"/>
    <w:rsid w:val="5EA210B4"/>
    <w:rsid w:val="5EC74932"/>
    <w:rsid w:val="5F8A2976"/>
    <w:rsid w:val="5F8B5C0B"/>
    <w:rsid w:val="5FB9070F"/>
    <w:rsid w:val="5FE039CC"/>
    <w:rsid w:val="60A32AE1"/>
    <w:rsid w:val="60CB5D65"/>
    <w:rsid w:val="60D137C0"/>
    <w:rsid w:val="60EB4FAC"/>
    <w:rsid w:val="611C2FBF"/>
    <w:rsid w:val="613D03AF"/>
    <w:rsid w:val="619B4E5C"/>
    <w:rsid w:val="62654124"/>
    <w:rsid w:val="62775C2B"/>
    <w:rsid w:val="62840C9B"/>
    <w:rsid w:val="62E95123"/>
    <w:rsid w:val="634630EF"/>
    <w:rsid w:val="63753EA0"/>
    <w:rsid w:val="63923347"/>
    <w:rsid w:val="63A60D41"/>
    <w:rsid w:val="63AB6877"/>
    <w:rsid w:val="63C45248"/>
    <w:rsid w:val="63C6035F"/>
    <w:rsid w:val="649A1D1D"/>
    <w:rsid w:val="64E04304"/>
    <w:rsid w:val="65046244"/>
    <w:rsid w:val="65240694"/>
    <w:rsid w:val="657A0385"/>
    <w:rsid w:val="659B691E"/>
    <w:rsid w:val="65D242C5"/>
    <w:rsid w:val="65DF1CC1"/>
    <w:rsid w:val="65F10142"/>
    <w:rsid w:val="66124991"/>
    <w:rsid w:val="66344CC4"/>
    <w:rsid w:val="665D113B"/>
    <w:rsid w:val="66770C98"/>
    <w:rsid w:val="66850AC7"/>
    <w:rsid w:val="66E10C4D"/>
    <w:rsid w:val="67A05FCC"/>
    <w:rsid w:val="6823731F"/>
    <w:rsid w:val="68540356"/>
    <w:rsid w:val="685D140B"/>
    <w:rsid w:val="68BE2BAE"/>
    <w:rsid w:val="68D47A7B"/>
    <w:rsid w:val="68DF193E"/>
    <w:rsid w:val="68E84E3F"/>
    <w:rsid w:val="68F76E5C"/>
    <w:rsid w:val="693D5733"/>
    <w:rsid w:val="69455133"/>
    <w:rsid w:val="69611E43"/>
    <w:rsid w:val="69937B96"/>
    <w:rsid w:val="69C2222A"/>
    <w:rsid w:val="6A3757AC"/>
    <w:rsid w:val="6A63339C"/>
    <w:rsid w:val="6A701523"/>
    <w:rsid w:val="6AC1406F"/>
    <w:rsid w:val="6B4120C8"/>
    <w:rsid w:val="6B991B92"/>
    <w:rsid w:val="6BDD42B9"/>
    <w:rsid w:val="6BE84649"/>
    <w:rsid w:val="6C085287"/>
    <w:rsid w:val="6C401523"/>
    <w:rsid w:val="6CD00EA6"/>
    <w:rsid w:val="6CE6131C"/>
    <w:rsid w:val="6D313420"/>
    <w:rsid w:val="6D9117B5"/>
    <w:rsid w:val="6DA63D6E"/>
    <w:rsid w:val="6DDB7D5E"/>
    <w:rsid w:val="6DDD5A51"/>
    <w:rsid w:val="6DE51FC5"/>
    <w:rsid w:val="6EA15698"/>
    <w:rsid w:val="6EA231BA"/>
    <w:rsid w:val="6F482D42"/>
    <w:rsid w:val="6F65763C"/>
    <w:rsid w:val="6F670C12"/>
    <w:rsid w:val="6FA523D2"/>
    <w:rsid w:val="701045B5"/>
    <w:rsid w:val="703D37EB"/>
    <w:rsid w:val="712D6B22"/>
    <w:rsid w:val="715B4B81"/>
    <w:rsid w:val="7172208D"/>
    <w:rsid w:val="717B055E"/>
    <w:rsid w:val="729E26DA"/>
    <w:rsid w:val="72AF55CA"/>
    <w:rsid w:val="72B15A2E"/>
    <w:rsid w:val="72B9250E"/>
    <w:rsid w:val="72D4516E"/>
    <w:rsid w:val="72F115C5"/>
    <w:rsid w:val="7301390F"/>
    <w:rsid w:val="73075D1B"/>
    <w:rsid w:val="732309B3"/>
    <w:rsid w:val="737B3B21"/>
    <w:rsid w:val="73B07EB2"/>
    <w:rsid w:val="73ED585D"/>
    <w:rsid w:val="741E6BF6"/>
    <w:rsid w:val="747607E0"/>
    <w:rsid w:val="747800B5"/>
    <w:rsid w:val="74885165"/>
    <w:rsid w:val="74B4617B"/>
    <w:rsid w:val="751F373A"/>
    <w:rsid w:val="757A7E5C"/>
    <w:rsid w:val="76065B94"/>
    <w:rsid w:val="760D6F22"/>
    <w:rsid w:val="768C7E47"/>
    <w:rsid w:val="768E5086"/>
    <w:rsid w:val="76D0702B"/>
    <w:rsid w:val="76D56593"/>
    <w:rsid w:val="76E15536"/>
    <w:rsid w:val="76EF3990"/>
    <w:rsid w:val="76FA11CE"/>
    <w:rsid w:val="77850C07"/>
    <w:rsid w:val="7792258B"/>
    <w:rsid w:val="77CF0804"/>
    <w:rsid w:val="77DF59B7"/>
    <w:rsid w:val="78196B8C"/>
    <w:rsid w:val="78AE6557"/>
    <w:rsid w:val="791B7AC8"/>
    <w:rsid w:val="792A65DA"/>
    <w:rsid w:val="79FE1404"/>
    <w:rsid w:val="7A043533"/>
    <w:rsid w:val="7A290118"/>
    <w:rsid w:val="7A4B1055"/>
    <w:rsid w:val="7ADA26FF"/>
    <w:rsid w:val="7ADC47C3"/>
    <w:rsid w:val="7B4B6523"/>
    <w:rsid w:val="7BD07335"/>
    <w:rsid w:val="7BD227A0"/>
    <w:rsid w:val="7C2D5E41"/>
    <w:rsid w:val="7CA010C3"/>
    <w:rsid w:val="7CA34E54"/>
    <w:rsid w:val="7CB96743"/>
    <w:rsid w:val="7CCE6A29"/>
    <w:rsid w:val="7CF33270"/>
    <w:rsid w:val="7D02603F"/>
    <w:rsid w:val="7D0B460C"/>
    <w:rsid w:val="7D2C2B03"/>
    <w:rsid w:val="7D2F26FE"/>
    <w:rsid w:val="7D4A280A"/>
    <w:rsid w:val="7DC85574"/>
    <w:rsid w:val="7E146C66"/>
    <w:rsid w:val="7E1D3989"/>
    <w:rsid w:val="7ED61979"/>
    <w:rsid w:val="7EF31F9C"/>
    <w:rsid w:val="7EFC4B7B"/>
    <w:rsid w:val="7F051133"/>
    <w:rsid w:val="7F150C8C"/>
    <w:rsid w:val="7F61079B"/>
    <w:rsid w:val="7FCF72E5"/>
    <w:rsid w:val="7FE235E4"/>
    <w:rsid w:val="7FF371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29"/>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8">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qFormat/>
    <w:uiPriority w:val="0"/>
    <w:rPr>
      <w:rFonts w:ascii="仿宋" w:hAnsi="仿宋" w:eastAsia="仿宋" w:cs="仿宋"/>
      <w:sz w:val="30"/>
      <w:szCs w:val="30"/>
    </w:rPr>
  </w:style>
  <w:style w:type="paragraph" w:styleId="7">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8">
    <w:name w:val="Body Text Indent"/>
    <w:basedOn w:val="1"/>
    <w:next w:val="9"/>
    <w:unhideWhenUsed/>
    <w:qFormat/>
    <w:uiPriority w:val="99"/>
    <w:pPr>
      <w:spacing w:after="120"/>
      <w:ind w:left="420" w:leftChars="200"/>
    </w:pPr>
    <w:rPr>
      <w:rFonts w:eastAsia="微软雅黑"/>
      <w:kern w:val="0"/>
      <w:sz w:val="24"/>
      <w:szCs w:val="20"/>
    </w:rPr>
  </w:style>
  <w:style w:type="paragraph" w:styleId="9">
    <w:name w:val="envelope return"/>
    <w:basedOn w:val="1"/>
    <w:semiHidden/>
    <w:qFormat/>
    <w:uiPriority w:val="0"/>
    <w:pPr>
      <w:snapToGrid w:val="0"/>
    </w:pPr>
    <w:rPr>
      <w:rFonts w:ascii="Arial" w:hAnsi="Arial" w:cs="Arial"/>
    </w:rPr>
  </w:style>
  <w:style w:type="paragraph" w:styleId="10">
    <w:name w:val="toc 3"/>
    <w:basedOn w:val="1"/>
    <w:next w:val="1"/>
    <w:qFormat/>
    <w:uiPriority w:val="39"/>
    <w:pPr>
      <w:tabs>
        <w:tab w:val="left" w:pos="630"/>
        <w:tab w:val="left" w:pos="1470"/>
        <w:tab w:val="right" w:leader="dot" w:pos="8726"/>
      </w:tabs>
      <w:spacing w:line="380" w:lineRule="exact"/>
    </w:pPr>
    <w:rPr>
      <w:rFonts w:ascii="宋体" w:hAnsi="宋体"/>
      <w:color w:val="FF0000"/>
      <w:szCs w:val="32"/>
    </w:rPr>
  </w:style>
  <w:style w:type="paragraph" w:styleId="11">
    <w:name w:val="Plain Text"/>
    <w:basedOn w:val="1"/>
    <w:qFormat/>
    <w:uiPriority w:val="0"/>
    <w:rPr>
      <w:rFonts w:ascii="宋体" w:hAnsi="Courier New"/>
      <w:kern w:val="0"/>
      <w:sz w:val="20"/>
      <w:szCs w:val="21"/>
    </w:rPr>
  </w:style>
  <w:style w:type="paragraph" w:styleId="12">
    <w:name w:val="footer"/>
    <w:basedOn w:val="1"/>
    <w:qFormat/>
    <w:uiPriority w:val="0"/>
    <w:pPr>
      <w:tabs>
        <w:tab w:val="center" w:pos="4153"/>
        <w:tab w:val="right" w:pos="8306"/>
      </w:tabs>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5">
    <w:name w:val="Body Text First Indent"/>
    <w:basedOn w:val="6"/>
    <w:qFormat/>
    <w:uiPriority w:val="0"/>
    <w:pPr>
      <w:ind w:firstLine="420" w:firstLineChars="100"/>
    </w:pPr>
  </w:style>
  <w:style w:type="paragraph" w:styleId="16">
    <w:name w:val="Body Text First Indent 2"/>
    <w:basedOn w:val="8"/>
    <w:next w:val="1"/>
    <w:qFormat/>
    <w:uiPriority w:val="0"/>
    <w:pPr>
      <w:ind w:firstLine="420"/>
    </w:pPr>
  </w:style>
  <w:style w:type="character" w:styleId="19">
    <w:name w:val="Strong"/>
    <w:basedOn w:val="18"/>
    <w:qFormat/>
    <w:uiPriority w:val="0"/>
    <w:rPr>
      <w:b/>
    </w:rPr>
  </w:style>
  <w:style w:type="character" w:styleId="20">
    <w:name w:val="Emphasis"/>
    <w:qFormat/>
    <w:uiPriority w:val="0"/>
  </w:style>
  <w:style w:type="character" w:styleId="21">
    <w:name w:val="Hyperlink"/>
    <w:basedOn w:val="18"/>
    <w:qFormat/>
    <w:uiPriority w:val="0"/>
    <w:rPr>
      <w:color w:val="0000FF"/>
      <w:u w:val="single"/>
    </w:rPr>
  </w:style>
  <w:style w:type="character" w:styleId="22">
    <w:name w:val="annotation reference"/>
    <w:unhideWhenUsed/>
    <w:qFormat/>
    <w:uiPriority w:val="0"/>
    <w:rPr>
      <w:sz w:val="21"/>
      <w:szCs w:val="21"/>
    </w:rPr>
  </w:style>
  <w:style w:type="paragraph" w:customStyle="1" w:styleId="23">
    <w:name w:val="Normal Indent"/>
    <w:basedOn w:val="1"/>
    <w:qFormat/>
    <w:uiPriority w:val="0"/>
    <w:pPr>
      <w:widowControl/>
      <w:ind w:firstLine="420" w:firstLineChars="200"/>
    </w:pPr>
  </w:style>
  <w:style w:type="table" w:customStyle="1" w:styleId="24">
    <w:name w:val="Table Normal"/>
    <w:semiHidden/>
    <w:unhideWhenUsed/>
    <w:qFormat/>
    <w:uiPriority w:val="0"/>
    <w:tblPr>
      <w:tblCellMar>
        <w:top w:w="0" w:type="dxa"/>
        <w:left w:w="0" w:type="dxa"/>
        <w:bottom w:w="0" w:type="dxa"/>
        <w:right w:w="0" w:type="dxa"/>
      </w:tblCellMar>
    </w:tblPr>
  </w:style>
  <w:style w:type="paragraph" w:customStyle="1" w:styleId="25">
    <w:name w:val="Table Text"/>
    <w:basedOn w:val="1"/>
    <w:semiHidden/>
    <w:qFormat/>
    <w:uiPriority w:val="0"/>
  </w:style>
  <w:style w:type="paragraph" w:customStyle="1" w:styleId="26">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7">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8">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9">
    <w:name w:val="标题 4 Char"/>
    <w:link w:val="4"/>
    <w:qFormat/>
    <w:uiPriority w:val="0"/>
    <w:rPr>
      <w:rFonts w:ascii="Arial" w:hAnsi="Arial" w:eastAsia="黑体"/>
      <w:b/>
      <w:sz w:val="28"/>
    </w:rPr>
  </w:style>
  <w:style w:type="paragraph" w:customStyle="1" w:styleId="30">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1">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2">
    <w:name w:val="font31"/>
    <w:qFormat/>
    <w:uiPriority w:val="0"/>
    <w:rPr>
      <w:rFonts w:hint="eastAsia" w:ascii="宋体" w:hAnsi="宋体" w:eastAsia="宋体" w:cs="宋体"/>
      <w:color w:val="000000"/>
      <w:sz w:val="21"/>
      <w:szCs w:val="21"/>
      <w:u w:val="none"/>
    </w:rPr>
  </w:style>
  <w:style w:type="paragraph" w:customStyle="1" w:styleId="3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4">
    <w:name w:val="WPSOffice手动目录 1"/>
    <w:qFormat/>
    <w:uiPriority w:val="0"/>
    <w:pPr>
      <w:ind w:leftChars="0"/>
    </w:pPr>
    <w:rPr>
      <w:rFonts w:ascii="Times New Roman" w:hAnsi="Times New Roman" w:eastAsia="宋体" w:cs="Times New Roman"/>
      <w:sz w:val="20"/>
      <w:szCs w:val="20"/>
    </w:rPr>
  </w:style>
  <w:style w:type="paragraph" w:customStyle="1" w:styleId="35">
    <w:name w:val="WPSOffice手动目录 2"/>
    <w:qFormat/>
    <w:uiPriority w:val="0"/>
    <w:pPr>
      <w:ind w:leftChars="200"/>
    </w:pPr>
    <w:rPr>
      <w:rFonts w:ascii="Times New Roman" w:hAnsi="Times New Roman" w:eastAsia="宋体" w:cs="Times New Roman"/>
      <w:sz w:val="20"/>
      <w:szCs w:val="20"/>
    </w:rPr>
  </w:style>
  <w:style w:type="paragraph" w:customStyle="1" w:styleId="36">
    <w:name w:val="WPSOffice手动目录 3"/>
    <w:qFormat/>
    <w:uiPriority w:val="0"/>
    <w:pPr>
      <w:ind w:leftChars="400"/>
    </w:pPr>
    <w:rPr>
      <w:rFonts w:ascii="Times New Roman" w:hAnsi="Times New Roman" w:eastAsia="宋体" w:cs="Times New Roman"/>
      <w:sz w:val="20"/>
      <w:szCs w:val="20"/>
    </w:rPr>
  </w:style>
  <w:style w:type="paragraph" w:customStyle="1" w:styleId="37">
    <w:name w:val="标准段落正文"/>
    <w:basedOn w:val="1"/>
    <w:qFormat/>
    <w:uiPriority w:val="0"/>
  </w:style>
  <w:style w:type="paragraph" w:customStyle="1" w:styleId="38">
    <w:name w:val="列出段落1"/>
    <w:basedOn w:val="1"/>
    <w:qFormat/>
    <w:uiPriority w:val="0"/>
    <w:pPr>
      <w:ind w:firstLine="200" w:firstLineChars="200"/>
    </w:pPr>
    <w:rPr>
      <w:rFonts w:cs="Times New Roman"/>
    </w:rPr>
  </w:style>
  <w:style w:type="character" w:customStyle="1" w:styleId="39">
    <w:name w:val="font141"/>
    <w:basedOn w:val="18"/>
    <w:qFormat/>
    <w:uiPriority w:val="0"/>
    <w:rPr>
      <w:rFonts w:hint="eastAsia" w:ascii="黑体" w:hAnsi="宋体" w:eastAsia="黑体" w:cs="黑体"/>
      <w:b/>
      <w:bCs/>
      <w:color w:val="000000"/>
      <w:sz w:val="18"/>
      <w:szCs w:val="18"/>
      <w:u w:val="none"/>
    </w:rPr>
  </w:style>
  <w:style w:type="character" w:customStyle="1" w:styleId="40">
    <w:name w:val="font221"/>
    <w:basedOn w:val="18"/>
    <w:qFormat/>
    <w:uiPriority w:val="0"/>
    <w:rPr>
      <w:rFonts w:hint="eastAsia" w:ascii="黑体" w:hAnsi="宋体" w:eastAsia="黑体" w:cs="黑体"/>
      <w:b/>
      <w:bCs/>
      <w:color w:val="000000"/>
      <w:sz w:val="18"/>
      <w:szCs w:val="18"/>
      <w:u w:val="none"/>
    </w:rPr>
  </w:style>
  <w:style w:type="character" w:customStyle="1" w:styleId="41">
    <w:name w:val="font91"/>
    <w:basedOn w:val="18"/>
    <w:qFormat/>
    <w:uiPriority w:val="0"/>
    <w:rPr>
      <w:rFonts w:hint="eastAsia" w:ascii="黑体" w:hAnsi="宋体" w:eastAsia="黑体" w:cs="黑体"/>
      <w:color w:val="000000"/>
      <w:sz w:val="18"/>
      <w:szCs w:val="18"/>
      <w:u w:val="none"/>
    </w:rPr>
  </w:style>
  <w:style w:type="character" w:customStyle="1" w:styleId="42">
    <w:name w:val="font212"/>
    <w:basedOn w:val="18"/>
    <w:qFormat/>
    <w:uiPriority w:val="0"/>
    <w:rPr>
      <w:rFonts w:hint="eastAsia" w:ascii="黑体" w:hAnsi="宋体" w:eastAsia="黑体" w:cs="黑体"/>
      <w:b/>
      <w:bCs/>
      <w:color w:val="000000"/>
      <w:sz w:val="18"/>
      <w:szCs w:val="18"/>
      <w:u w:val="none"/>
    </w:rPr>
  </w:style>
  <w:style w:type="character" w:customStyle="1" w:styleId="43">
    <w:name w:val="font171"/>
    <w:basedOn w:val="18"/>
    <w:qFormat/>
    <w:uiPriority w:val="0"/>
    <w:rPr>
      <w:rFonts w:hint="eastAsia" w:ascii="宋体" w:hAnsi="宋体" w:eastAsia="宋体" w:cs="宋体"/>
      <w:color w:val="000000"/>
      <w:sz w:val="18"/>
      <w:szCs w:val="18"/>
      <w:u w:val="none"/>
    </w:rPr>
  </w:style>
  <w:style w:type="character" w:customStyle="1" w:styleId="44">
    <w:name w:val="font81"/>
    <w:basedOn w:val="18"/>
    <w:qFormat/>
    <w:uiPriority w:val="0"/>
    <w:rPr>
      <w:rFonts w:hint="eastAsia" w:ascii="黑体" w:hAnsi="宋体" w:eastAsia="黑体" w:cs="黑体"/>
      <w:color w:val="000000"/>
      <w:sz w:val="18"/>
      <w:szCs w:val="18"/>
      <w:u w:val="none"/>
    </w:rPr>
  </w:style>
  <w:style w:type="character" w:customStyle="1" w:styleId="45">
    <w:name w:val="font181"/>
    <w:basedOn w:val="18"/>
    <w:qFormat/>
    <w:uiPriority w:val="0"/>
    <w:rPr>
      <w:rFonts w:hint="eastAsia" w:ascii="宋体" w:hAnsi="宋体" w:eastAsia="宋体" w:cs="宋体"/>
      <w:color w:val="000000"/>
      <w:sz w:val="18"/>
      <w:szCs w:val="18"/>
      <w:u w:val="none"/>
    </w:rPr>
  </w:style>
  <w:style w:type="character" w:customStyle="1" w:styleId="46">
    <w:name w:val="font41"/>
    <w:basedOn w:val="18"/>
    <w:qFormat/>
    <w:uiPriority w:val="0"/>
    <w:rPr>
      <w:rFonts w:hint="eastAsia" w:ascii="黑体" w:hAnsi="宋体" w:eastAsia="黑体" w:cs="黑体"/>
      <w:b/>
      <w:bCs/>
      <w:color w:val="000000"/>
      <w:sz w:val="22"/>
      <w:szCs w:val="22"/>
      <w:u w:val="none"/>
    </w:rPr>
  </w:style>
  <w:style w:type="character" w:customStyle="1" w:styleId="47">
    <w:name w:val="font201"/>
    <w:basedOn w:val="18"/>
    <w:qFormat/>
    <w:uiPriority w:val="0"/>
    <w:rPr>
      <w:rFonts w:hint="eastAsia" w:ascii="黑体" w:hAnsi="宋体" w:eastAsia="黑体" w:cs="黑体"/>
      <w:color w:val="000000"/>
      <w:sz w:val="22"/>
      <w:szCs w:val="22"/>
      <w:u w:val="none"/>
    </w:rPr>
  </w:style>
  <w:style w:type="character" w:customStyle="1" w:styleId="48">
    <w:name w:val="font131"/>
    <w:basedOn w:val="18"/>
    <w:qFormat/>
    <w:uiPriority w:val="0"/>
    <w:rPr>
      <w:rFonts w:hint="eastAsia" w:ascii="黑体" w:hAnsi="宋体" w:eastAsia="黑体" w:cs="黑体"/>
      <w:color w:val="000000"/>
      <w:sz w:val="18"/>
      <w:szCs w:val="18"/>
      <w:u w:val="none"/>
    </w:rPr>
  </w:style>
  <w:style w:type="character" w:customStyle="1" w:styleId="49">
    <w:name w:val="font231"/>
    <w:basedOn w:val="18"/>
    <w:qFormat/>
    <w:uiPriority w:val="0"/>
    <w:rPr>
      <w:rFonts w:ascii="微软雅黑" w:hAnsi="微软雅黑" w:eastAsia="微软雅黑" w:cs="微软雅黑"/>
      <w:color w:val="000000"/>
      <w:sz w:val="18"/>
      <w:szCs w:val="18"/>
      <w:u w:val="none"/>
    </w:rPr>
  </w:style>
  <w:style w:type="character" w:customStyle="1" w:styleId="50">
    <w:name w:val="font121"/>
    <w:basedOn w:val="18"/>
    <w:qFormat/>
    <w:uiPriority w:val="0"/>
    <w:rPr>
      <w:rFonts w:hint="eastAsia" w:ascii="黑体" w:hAnsi="宋体" w:eastAsia="黑体" w:cs="黑体"/>
      <w:color w:val="000000"/>
      <w:sz w:val="18"/>
      <w:szCs w:val="18"/>
      <w:u w:val="none"/>
    </w:rPr>
  </w:style>
  <w:style w:type="character" w:customStyle="1" w:styleId="51">
    <w:name w:val="font11"/>
    <w:basedOn w:val="18"/>
    <w:qFormat/>
    <w:uiPriority w:val="0"/>
    <w:rPr>
      <w:rFonts w:hint="eastAsia" w:ascii="宋体" w:hAnsi="宋体" w:eastAsia="宋体" w:cs="宋体"/>
      <w:color w:val="000000"/>
      <w:sz w:val="20"/>
      <w:szCs w:val="20"/>
      <w:u w:val="none"/>
    </w:rPr>
  </w:style>
  <w:style w:type="character" w:customStyle="1" w:styleId="52">
    <w:name w:val="font101"/>
    <w:basedOn w:val="18"/>
    <w:qFormat/>
    <w:uiPriority w:val="0"/>
    <w:rPr>
      <w:rFonts w:hint="eastAsia" w:ascii="仿宋" w:hAnsi="仿宋" w:eastAsia="仿宋" w:cs="仿宋"/>
      <w:b/>
      <w:bCs/>
      <w:color w:val="00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6073</Words>
  <Characters>6707</Characters>
  <Lines>230</Lines>
  <Paragraphs>64</Paragraphs>
  <TotalTime>18</TotalTime>
  <ScaleCrop>false</ScaleCrop>
  <LinksUpToDate>false</LinksUpToDate>
  <CharactersWithSpaces>7273</CharactersWithSpaces>
  <Application>WPS Office_12.1.0.25865_F1E327BC-269C-435d-A152-05C5408002CA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Administrator</cp:lastModifiedBy>
  <cp:lastPrinted>2026-04-21T01:26:00Z</cp:lastPrinted>
  <dcterms:modified xsi:type="dcterms:W3CDTF">2026-04-23T07:28:35Z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2052-12.1.0.25865</vt:lpwstr>
  </property>
  <property fmtid="{D5CDD505-2E9C-101B-9397-08002B2CF9AE}" pid="5" name="ICV">
    <vt:lpwstr>707F58F6AAD3465084F5A677DB91CC72_13</vt:lpwstr>
  </property>
  <property fmtid="{D5CDD505-2E9C-101B-9397-08002B2CF9AE}" pid="6" name="KSOTemplateDocerSaveRecord">
    <vt:lpwstr>eyJoZGlkIjoiZDFkOTJhYjhiMDZlNGYzMmZiOGU4NTI1MmVlNDZlMWIiLCJ1c2VySWQiOiIzNTcyMTM4MTUifQ==</vt:lpwstr>
  </property>
</Properties>
</file>