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6BF1C11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b/>
          <w:bCs/>
          <w:color w:val="auto"/>
          <w:sz w:val="24"/>
          <w:szCs w:val="24"/>
          <w:highlight w:val="none"/>
          <w:lang w:eastAsia="zh-CN"/>
        </w:rPr>
      </w:pPr>
    </w:p>
    <w:p w14:paraId="2A96B60C">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（一）、项目情况介绍</w:t>
      </w:r>
    </w:p>
    <w:p w14:paraId="62B39C43">
      <w:pPr>
        <w:keepNext w:val="0"/>
        <w:keepLines w:val="0"/>
        <w:widowControl/>
        <w:suppressLineNumbers w:val="0"/>
        <w:ind w:firstLine="562" w:firstLineChars="200"/>
        <w:jc w:val="left"/>
        <w:rPr>
          <w:rFonts w:hint="eastAsia" w:ascii="宋体" w:hAnsi="宋体" w:eastAsia="宋体" w:cs="宋体"/>
          <w:sz w:val="28"/>
          <w:szCs w:val="28"/>
          <w:lang w:val="en-US" w:eastAsia="zh-CN"/>
        </w:rPr>
      </w:pPr>
      <w:r>
        <w:rPr>
          <w:rFonts w:hint="eastAsia" w:ascii="宋体" w:hAnsi="宋体" w:eastAsia="宋体" w:cs="宋体"/>
          <w:b/>
          <w:bCs/>
          <w:sz w:val="28"/>
          <w:szCs w:val="28"/>
          <w:lang w:val="en-US" w:eastAsia="zh-CN"/>
        </w:rPr>
        <w:t>1、预算费用</w:t>
      </w:r>
      <w:r>
        <w:rPr>
          <w:rFonts w:hint="eastAsia" w:ascii="宋体" w:hAnsi="宋体" w:eastAsia="宋体" w:cs="宋体"/>
          <w:sz w:val="28"/>
          <w:szCs w:val="28"/>
          <w:lang w:val="en-US" w:eastAsia="zh-CN"/>
        </w:rPr>
        <w:t>：51.85万元/年，服务期1年。</w:t>
      </w:r>
    </w:p>
    <w:p w14:paraId="1BF37FC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预算费用包括以下内容：人工费（基本工资、社会保险费、加班费、福利费）、机械设备费、服务耗材费、其他费用(行政办公费、管理费、利润)、税费及采购文件中约定应由投标人完成的本项目全部服务内容所需全部费用。</w:t>
      </w:r>
    </w:p>
    <w:p w14:paraId="6667E18B">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2、项目概况</w:t>
      </w:r>
    </w:p>
    <w:p w14:paraId="217F17E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上栗县博物馆位于上栗镇石洋村花炮博览园（三、四楼）， 建筑面积约 6000㎡，展馆面积 4600㎡，两层展厅，馆藏文物 644 件（套）。开放时间为周二至周日9:00-17:30（16:30 止票），周一闭馆（法定节假日除外），是集历史、花炮、红色、民俗文化于一体的县级综合博物馆。</w:t>
      </w:r>
    </w:p>
    <w:p w14:paraId="36EA631B">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3、服务需求事项</w:t>
      </w:r>
    </w:p>
    <w:p w14:paraId="1A1B0873">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（一）服务内容</w:t>
      </w:r>
    </w:p>
    <w:p w14:paraId="189A4BC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一、秩序维护与安保服务（重点）</w:t>
      </w:r>
    </w:p>
    <w:p w14:paraId="67A3AE6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1、24 小时安保值守：出入口岗、展厅流动岗、库房专属岗，每小时巡更（含视频+红外+门禁联动）。</w:t>
      </w:r>
    </w:p>
    <w:p w14:paraId="29EC5F8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安检与人流管控：开馆前安检、禁带品管控；高峰期疏导，展厅限流，禁止触摸展品、闪光灯拍摄等。</w:t>
      </w:r>
    </w:p>
    <w:p w14:paraId="0BA67F8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藏品与库房安保：库房双人双锁、24h 监控 + 温湿度报警；展品布撤展全程监护，文物运输协助押运。</w:t>
      </w:r>
    </w:p>
    <w:p w14:paraId="2E00C628">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消防安全管理：消防设施日检（灭火器、烟感、喷淋）、月测、年检；消防通道畅通，应急照明正常；每月 1 次消防演练，员工持证上岗。</w:t>
      </w:r>
    </w:p>
    <w:p w14:paraId="1D512E7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反恐与应急：防暴器材常备，突发情况（火灾、盗窃、观众纠纷）5分钟响应，联动公安、消防。  </w:t>
      </w:r>
    </w:p>
    <w:p w14:paraId="5843B4E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二、环境保洁与绿化养护（高标准）</w:t>
      </w:r>
    </w:p>
    <w:p w14:paraId="354C852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展厅保洁（每日2次+巡回）：地面无灰尘、污渍；展柜无指纹、水印；玻璃幕墙洁净；（注：用中性环保清洁剂，避免损伤文物、展陈） </w:t>
      </w:r>
    </w:p>
    <w:p w14:paraId="3D62E2F9">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公共区域：门厅、走廊、楼(电)梯、卫生间（每小时清洁1次，无异味、无积水、耗材充足）；垃圾日产日清，分类清运。</w:t>
      </w:r>
    </w:p>
    <w:p w14:paraId="40C98286">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特殊区域：藏品库房（无尘、温湿度恒定，禁止用水清洁）、修复室、多媒体厅（设备防尘、屏幕洁净）。</w:t>
      </w:r>
    </w:p>
    <w:p w14:paraId="369E160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绿化养护：馆内外绿植修剪、浇水、除虫，无枯枝败叶；花盆洁净，无杂草。  </w:t>
      </w:r>
    </w:p>
    <w:p w14:paraId="6F59B94A">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p>
    <w:p w14:paraId="7119149D">
      <w:pPr>
        <w:keepNext w:val="0"/>
        <w:keepLines w:val="0"/>
        <w:widowControl/>
        <w:suppressLineNumbers w:val="0"/>
        <w:ind w:firstLine="562" w:firstLineChars="200"/>
        <w:jc w:val="left"/>
        <w:rPr>
          <w:rFonts w:hint="eastAsia" w:ascii="宋体" w:hAnsi="宋体" w:eastAsia="宋体" w:cs="宋体"/>
          <w:sz w:val="28"/>
          <w:szCs w:val="28"/>
          <w:lang w:val="en-US" w:eastAsia="zh-CN"/>
        </w:rPr>
      </w:pPr>
      <w:r>
        <w:rPr>
          <w:rFonts w:hint="eastAsia" w:ascii="宋体" w:hAnsi="宋体" w:eastAsia="宋体" w:cs="宋体"/>
          <w:b/>
          <w:bCs/>
          <w:sz w:val="28"/>
          <w:szCs w:val="28"/>
          <w:lang w:val="en-US" w:eastAsia="zh-CN"/>
        </w:rPr>
        <w:t>（二）服务标准</w:t>
      </w:r>
    </w:p>
    <w:p w14:paraId="085CDD1D">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一、环境保洁与绿化养护</w:t>
      </w:r>
    </w:p>
    <w:p w14:paraId="5BBE706B">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1.1 建立环境卫生管理制度并认真落实，垃圾日产日清；跟踪保洁；</w:t>
      </w:r>
    </w:p>
    <w:p w14:paraId="72DB5C7A">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 建筑外墙、屋面、室外场地、道路、等保持清洁无积尘，无纸屑、树叶、烟头等杂物；</w:t>
      </w:r>
    </w:p>
    <w:p w14:paraId="4B2A947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1.3 室内保洁业主单位指定责任区域的室内公共区域及开水间、卫生间，做到顶面、墙面、地面、玻璃等清洁无尘印，无蜘蛛网、无积水；室内设施表面、门窗等无灰尘；定期灭鼠、消杀除；</w:t>
      </w:r>
    </w:p>
    <w:p w14:paraId="60966E4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1.4 室内外金属护栏、把手和电梯轿厢定期擦拭保养，确保无锈迹、污渍、汗渍；</w:t>
      </w:r>
    </w:p>
    <w:p w14:paraId="32E0AFBD">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1.5 照明灯、牌匾、宣传栏牢固、安全、美观、整洁，无乱贴乱画现象；</w:t>
      </w:r>
    </w:p>
    <w:p w14:paraId="53CE750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1.6 公共区域玻璃门、窗、玻璃隔断保持无污迹、灰尘；玻璃幕墙根据需要清洗；</w:t>
      </w:r>
    </w:p>
    <w:p w14:paraId="0372E8F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1.7 单位专用停车场地面和设施表面清洁无积水、积尘，顶面、墙面无灰尘和蜘蛛网；</w:t>
      </w:r>
    </w:p>
    <w:p w14:paraId="0C96F1C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1.8 保证楼层卫生间的用纸和洗手液摆放；卫生间无明显异味，随时保持便池的清洁卫生；便池、水池、下水道畅通。</w:t>
      </w:r>
    </w:p>
    <w:p w14:paraId="2536B02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1.9 定期进行病媒防制工作。</w:t>
      </w:r>
    </w:p>
    <w:p w14:paraId="16CCE04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二、秩序维护与安保服务</w:t>
      </w:r>
    </w:p>
    <w:p w14:paraId="3E19395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1、有切实可行的消防安全管理制度、培训制度、检查制度、安防消防演练制度以及相应的应急预案；协助调解馆区内的公共安全事务和民事纠纷工作。</w:t>
      </w:r>
    </w:p>
    <w:p w14:paraId="0EA4AC3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（1）定岗执勤的具体要求</w:t>
      </w:r>
    </w:p>
    <w:p w14:paraId="660F9F1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2、坚守岗位，服从指挥，文明服务，礼貌待人，做好值班和交接班记录。</w:t>
      </w:r>
    </w:p>
    <w:p w14:paraId="0CBF94C6">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3、严格执行来客来访登记制度、货物出门查验制度，对来访人员进行登记、记录和引导。</w:t>
      </w:r>
    </w:p>
    <w:p w14:paraId="444298F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4、负责办事处内部的信函、报刊、文件的邮寄与分发。</w:t>
      </w:r>
    </w:p>
    <w:p w14:paraId="24144A6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5、发现异常情况及可疑人员应以询问查清，发现火情或治安隐患、事故等紧急情况应立即按照应急预算处置，并及时向馆方保卫科报告。</w:t>
      </w:r>
    </w:p>
    <w:p w14:paraId="719FF03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6、展厅执勤岗要求维持参观秩序，保持陈列馆公共物品的整齐摆放。</w:t>
      </w:r>
    </w:p>
    <w:p w14:paraId="6A9C4C51">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7、监控室岗人员要保证24小时不间断监控，发现问题及时向保卫科报告。</w:t>
      </w:r>
    </w:p>
    <w:p w14:paraId="12F1659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（2）流动巡逻执勤的具体要求</w:t>
      </w:r>
    </w:p>
    <w:p w14:paraId="2AD29314">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8、按照规定路线和时间巡逻，对重点部位至少每2小时巡查一次，并做好巡逻记录。</w:t>
      </w:r>
    </w:p>
    <w:p w14:paraId="6929263C">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9、巡逻过程中对异常情况及可疑人员应以询问查清，发现火警或治安隐患、事故等紧急情况应立即按照应急预算处置，并及时向馆方保卫科报告。</w:t>
      </w:r>
    </w:p>
    <w:p w14:paraId="2D018D18">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10、巡查各公共部位设施、设备开关的完好情况，看管公共财产，包括楼内的门窗、消防器材及院区的井盖、主要绿化等。</w:t>
      </w:r>
    </w:p>
    <w:p w14:paraId="647F265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11、熟悉消防器材的位置，熟练掌握消防器材的使用方法。</w:t>
      </w:r>
    </w:p>
    <w:p w14:paraId="6FE3B43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12、做到及时发现并及时报告和积极配合有关部门处置"四防"或发生在区域内的刑事、治安案件现场。</w:t>
      </w:r>
    </w:p>
    <w:p w14:paraId="63A531C8">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（三）人员管理标准及要求</w:t>
      </w:r>
    </w:p>
    <w:p w14:paraId="1179CD4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人员配置：项目经理 1 名、安保队长1名、保安员4名、保洁班长1名、保洁员4名；统一着装、挂牌上岗</w:t>
      </w:r>
    </w:p>
    <w:p w14:paraId="3C1FAE1F">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专业培训：入职培训（博物馆知识、文物保护、服务礼仪）；定期培训（安保、消防、应急、设备操作）；考核上岗，不合格淘汰</w:t>
      </w:r>
    </w:p>
    <w:p w14:paraId="2E1511E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服务礼仪：文明用语、微笑服务；举止端庄，禁止在展厅吸烟、闲聊、玩手机；尊重观众，耐心解答疑问。</w:t>
      </w:r>
    </w:p>
    <w:p w14:paraId="5BDA8077">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（四）服务考核办法</w:t>
      </w:r>
    </w:p>
    <w:p w14:paraId="6B901551">
      <w:pPr>
        <w:keepNext w:val="0"/>
        <w:keepLines w:val="0"/>
        <w:widowControl/>
        <w:suppressLineNumbers w:val="0"/>
        <w:jc w:val="left"/>
        <w:rPr>
          <w:rFonts w:hint="eastAsia" w:ascii="宋体" w:hAnsi="宋体" w:eastAsia="宋体" w:cs="宋体"/>
          <w:sz w:val="28"/>
          <w:szCs w:val="28"/>
          <w:lang w:val="en-US" w:eastAsia="zh-CN"/>
        </w:rPr>
      </w:pPr>
    </w:p>
    <w:p w14:paraId="37BF9B40">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详见本项目招标文件附件一《安保服务考核标准》、《保洁服务考核标准》。</w:t>
      </w:r>
    </w:p>
    <w:p w14:paraId="6F6CEEFF">
      <w:pPr>
        <w:keepNext w:val="0"/>
        <w:keepLines w:val="0"/>
        <w:widowControl/>
        <w:suppressLineNumbers w:val="0"/>
        <w:ind w:firstLine="560" w:firstLineChars="200"/>
        <w:jc w:val="left"/>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1、每月考核标准及考核结果如下：</w:t>
      </w:r>
    </w:p>
    <w:p w14:paraId="3550D525">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1）合计得分在90分及以上，不扣除服务费；</w:t>
      </w:r>
    </w:p>
    <w:p w14:paraId="2BCC6A02">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2）合计得分在80-89分，扣除服务费=1000元×（100-得分）×100%；</w:t>
      </w:r>
    </w:p>
    <w:p w14:paraId="5F73207C">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3）合计得分在70-79分，扣除服务费=1000元×（90-得分）×100%+100；</w:t>
      </w:r>
    </w:p>
    <w:p w14:paraId="76BAF59E">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4）合计得分在60-69分，扣除服务费=1000元×（80-得分）×100%+200；</w:t>
      </w:r>
    </w:p>
    <w:p w14:paraId="45EF76D7">
      <w:pPr>
        <w:keepNext w:val="0"/>
        <w:keepLines w:val="0"/>
        <w:widowControl/>
        <w:suppressLineNumbers w:val="0"/>
        <w:ind w:firstLine="560" w:firstLineChars="200"/>
        <w:jc w:val="left"/>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5）合计得分60分以下的，扣除服务费=3000元×（60-得分）×100%+1000；</w:t>
      </w:r>
    </w:p>
    <w:p w14:paraId="46C7C93E">
      <w:pPr>
        <w:keepNext w:val="0"/>
        <w:keepLines w:val="0"/>
        <w:widowControl/>
        <w:suppressLineNumbers w:val="0"/>
        <w:ind w:firstLine="562" w:firstLineChars="200"/>
        <w:jc w:val="left"/>
        <w:rPr>
          <w:rFonts w:hint="eastAsia" w:ascii="宋体" w:hAnsi="宋体" w:eastAsia="宋体" w:cs="宋体"/>
          <w:b/>
          <w:bCs/>
          <w:sz w:val="28"/>
          <w:szCs w:val="28"/>
          <w:lang w:val="en-US" w:eastAsia="zh-CN"/>
        </w:rPr>
      </w:pPr>
    </w:p>
    <w:p w14:paraId="7745B442">
      <w:pPr>
        <w:pStyle w:val="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firstLine="0" w:firstLineChars="0"/>
        <w:textAlignment w:val="baseline"/>
        <w:outlineLvl w:val="0"/>
        <w:rPr>
          <w:rFonts w:hint="eastAsia" w:ascii="宋体" w:hAnsi="宋体" w:eastAsia="宋体" w:cs="宋体"/>
          <w:b/>
          <w:bCs/>
          <w:snapToGrid w:val="0"/>
          <w:color w:val="auto"/>
          <w:spacing w:val="0"/>
          <w:w w:val="100"/>
          <w:kern w:val="0"/>
          <w:position w:val="0"/>
          <w:sz w:val="24"/>
          <w:szCs w:val="24"/>
          <w:highlight w:val="none"/>
          <w:lang w:val="en-US" w:eastAsia="zh-CN" w:bidi="ar-SA"/>
        </w:rPr>
      </w:pPr>
      <w:r>
        <w:rPr>
          <w:rFonts w:hint="eastAsia" w:ascii="宋体" w:hAnsi="宋体" w:eastAsia="宋体" w:cs="宋体"/>
          <w:b/>
          <w:bCs/>
          <w:snapToGrid w:val="0"/>
          <w:color w:val="auto"/>
          <w:spacing w:val="0"/>
          <w:w w:val="100"/>
          <w:kern w:val="0"/>
          <w:position w:val="0"/>
          <w:sz w:val="24"/>
          <w:szCs w:val="24"/>
          <w:highlight w:val="none"/>
          <w:lang w:val="en-US" w:eastAsia="zh-CN" w:bidi="ar-SA"/>
        </w:rPr>
        <w:t>附件1：《秩序维护与安保服务考核标准》：</w:t>
      </w:r>
    </w:p>
    <w:tbl>
      <w:tblPr>
        <w:tblStyle w:val="5"/>
        <w:tblW w:w="436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4"/>
        <w:gridCol w:w="1802"/>
        <w:gridCol w:w="2868"/>
        <w:gridCol w:w="1606"/>
      </w:tblGrid>
      <w:tr w14:paraId="5ABD8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7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68216B">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考核内容</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7B2C1">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详细内容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35497">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考核标准</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6F4A7">
            <w:pPr>
              <w:keepNext w:val="0"/>
              <w:keepLines w:val="0"/>
              <w:widowControl/>
              <w:suppressLineNumbers w:val="0"/>
              <w:jc w:val="center"/>
              <w:textAlignment w:val="center"/>
              <w:rPr>
                <w:rFonts w:hint="eastAsia"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扣分分值</w:t>
            </w:r>
          </w:p>
          <w:p w14:paraId="13CEE870">
            <w:pPr>
              <w:keepNext w:val="0"/>
              <w:keepLines w:val="0"/>
              <w:widowControl/>
              <w:suppressLineNumbers w:val="0"/>
              <w:jc w:val="center"/>
              <w:textAlignment w:val="center"/>
              <w:rPr>
                <w:rFonts w:hint="default" w:ascii="宋体" w:hAnsi="宋体" w:eastAsia="宋体" w:cs="宋体"/>
                <w:b w:val="0"/>
                <w:bCs w:val="0"/>
                <w:i w:val="0"/>
                <w:iCs w:val="0"/>
                <w:snapToGrid w:val="0"/>
                <w:color w:val="auto"/>
                <w:kern w:val="0"/>
                <w:sz w:val="24"/>
                <w:szCs w:val="24"/>
                <w:highlight w:val="none"/>
                <w:u w:val="none"/>
                <w:lang w:val="en-US" w:eastAsia="zh-CN" w:bidi="ar"/>
              </w:rPr>
            </w:pPr>
            <w:r>
              <w:rPr>
                <w:rFonts w:hint="eastAsia" w:ascii="宋体" w:hAnsi="宋体" w:eastAsia="宋体" w:cs="宋体"/>
                <w:b w:val="0"/>
                <w:bCs w:val="0"/>
                <w:i w:val="0"/>
                <w:iCs w:val="0"/>
                <w:snapToGrid w:val="0"/>
                <w:color w:val="auto"/>
                <w:kern w:val="0"/>
                <w:sz w:val="24"/>
                <w:szCs w:val="24"/>
                <w:highlight w:val="none"/>
                <w:u w:val="none"/>
                <w:lang w:val="en-US" w:eastAsia="zh-CN" w:bidi="ar"/>
              </w:rPr>
              <w:t>（分）</w:t>
            </w:r>
          </w:p>
        </w:tc>
      </w:tr>
      <w:tr w14:paraId="0C996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restart"/>
            <w:tcBorders>
              <w:top w:val="single" w:color="000000" w:sz="4" w:space="0"/>
              <w:left w:val="single" w:color="000000" w:sz="4" w:space="0"/>
              <w:right w:val="single" w:color="000000" w:sz="4" w:space="0"/>
            </w:tcBorders>
            <w:shd w:val="clear" w:color="auto" w:fill="auto"/>
            <w:vAlign w:val="center"/>
          </w:tcPr>
          <w:p w14:paraId="281FEA34">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值班要求</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A7430">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消防、安防监控室人员值班</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5A726">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工作期间24小时保持有人员在岗</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05C6B">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发现一次未在岗扣5分</w:t>
            </w:r>
          </w:p>
        </w:tc>
      </w:tr>
      <w:tr w14:paraId="64D90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76E4E1D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7E014">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值班记录</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EEB2A">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rPr>
              <w:t>值班记录</w:t>
            </w:r>
            <w:r>
              <w:rPr>
                <w:rFonts w:hint="eastAsia" w:ascii="宋体" w:hAnsi="宋体" w:eastAsia="宋体" w:cs="宋体"/>
                <w:b w:val="0"/>
                <w:bCs w:val="0"/>
                <w:i w:val="0"/>
                <w:iCs w:val="0"/>
                <w:color w:val="auto"/>
                <w:sz w:val="24"/>
                <w:szCs w:val="24"/>
                <w:highlight w:val="none"/>
                <w:u w:val="none"/>
                <w:lang w:val="en-US" w:eastAsia="zh-CN"/>
              </w:rPr>
              <w:t>本</w:t>
            </w:r>
            <w:r>
              <w:rPr>
                <w:rFonts w:hint="eastAsia" w:ascii="宋体" w:hAnsi="宋体" w:eastAsia="宋体" w:cs="宋体"/>
                <w:b w:val="0"/>
                <w:bCs w:val="0"/>
                <w:i w:val="0"/>
                <w:iCs w:val="0"/>
                <w:color w:val="auto"/>
                <w:sz w:val="24"/>
                <w:szCs w:val="24"/>
                <w:highlight w:val="none"/>
                <w:u w:val="none"/>
              </w:rPr>
              <w:t>准确详细</w:t>
            </w:r>
            <w:r>
              <w:rPr>
                <w:rFonts w:hint="eastAsia" w:ascii="宋体" w:hAnsi="宋体" w:eastAsia="宋体" w:cs="宋体"/>
                <w:b w:val="0"/>
                <w:bCs w:val="0"/>
                <w:i w:val="0"/>
                <w:iCs w:val="0"/>
                <w:color w:val="auto"/>
                <w:sz w:val="24"/>
                <w:szCs w:val="24"/>
                <w:highlight w:val="none"/>
                <w:u w:val="none"/>
                <w:lang w:eastAsia="zh-CN"/>
              </w:rPr>
              <w:t>，</w:t>
            </w:r>
            <w:r>
              <w:rPr>
                <w:rFonts w:hint="eastAsia" w:ascii="宋体" w:hAnsi="宋体" w:eastAsia="宋体" w:cs="宋体"/>
                <w:b w:val="0"/>
                <w:bCs w:val="0"/>
                <w:i w:val="0"/>
                <w:iCs w:val="0"/>
                <w:color w:val="auto"/>
                <w:sz w:val="24"/>
                <w:szCs w:val="24"/>
                <w:highlight w:val="none"/>
                <w:u w:val="none"/>
                <w:lang w:val="en-US" w:eastAsia="zh-CN"/>
              </w:rPr>
              <w:t>有具体时间，确保每次交班均有记录</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404F6">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发现一次值班无记录扣1分</w:t>
            </w:r>
          </w:p>
        </w:tc>
      </w:tr>
      <w:tr w14:paraId="7F090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tcBorders>
              <w:top w:val="single" w:color="auto" w:sz="4" w:space="0"/>
              <w:left w:val="single" w:color="auto" w:sz="4" w:space="0"/>
              <w:bottom w:val="single" w:color="auto" w:sz="4" w:space="0"/>
              <w:right w:val="single" w:color="auto" w:sz="4" w:space="0"/>
            </w:tcBorders>
            <w:shd w:val="clear" w:color="auto" w:fill="auto"/>
            <w:vAlign w:val="center"/>
          </w:tcPr>
          <w:p w14:paraId="709B5C21">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仪容仪表</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19D996E5">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着装</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CC27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统一着保安制服和工作牌，配备个人防护装备和安保器材</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04892">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发现一次未按要求着装或未配备器材扣2分</w:t>
            </w:r>
          </w:p>
        </w:tc>
      </w:tr>
      <w:tr w14:paraId="6CC04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right w:val="single" w:color="auto" w:sz="4" w:space="0"/>
            </w:tcBorders>
            <w:shd w:val="clear" w:color="auto" w:fill="auto"/>
            <w:vAlign w:val="center"/>
          </w:tcPr>
          <w:p w14:paraId="41B656F9">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行为举止</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07174E8C">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争执争吵</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33EDD">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与馆工作人员或外来人员发生争吵、打架</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BF9F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发现一次情形扣5分</w:t>
            </w:r>
          </w:p>
        </w:tc>
      </w:tr>
      <w:tr w14:paraId="63431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30EF694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行为举止</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9226D">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闲杂事项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4A6EE">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rPr>
            </w:pPr>
            <w:r>
              <w:rPr>
                <w:rFonts w:hint="eastAsia" w:ascii="宋体" w:hAnsi="宋体" w:eastAsia="宋体" w:cs="宋体"/>
                <w:b w:val="0"/>
                <w:bCs w:val="0"/>
                <w:color w:val="auto"/>
                <w:spacing w:val="0"/>
                <w:w w:val="100"/>
                <w:position w:val="0"/>
                <w:sz w:val="24"/>
                <w:szCs w:val="24"/>
                <w:highlight w:val="none"/>
                <w:lang w:val="en-US" w:eastAsia="zh-CN"/>
              </w:rPr>
              <w:t>工作期间打瞌睡、睡觉、擅自离开岗位、聊天、玩手机</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BFAAC">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发现一次情形扣2分</w:t>
            </w:r>
          </w:p>
        </w:tc>
      </w:tr>
      <w:tr w14:paraId="2DB8D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E8CAB42">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门卫（安检区）执勤</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0901800D">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人员、车辆登记</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73F81">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疏导参观、来访人员的人员及车辆登记工作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FD24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发现一次未登记情形扣1分</w:t>
            </w:r>
          </w:p>
        </w:tc>
      </w:tr>
      <w:tr w14:paraId="2CEEC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15E7D1D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776269A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物资核对</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CDD5A">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负责出、入馆区货运车辆所运物资的核对、登记等工作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8704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发现一次未核对或核对不到位情形扣1分</w:t>
            </w:r>
          </w:p>
        </w:tc>
      </w:tr>
      <w:tr w14:paraId="7D3D8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498D3D8">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1011530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按时开关门</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A9FF2">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遵守作息制度，按时开、关馆门和交接班</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C3D45E">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发现一次未按时情形扣1分</w:t>
            </w:r>
          </w:p>
        </w:tc>
      </w:tr>
      <w:tr w14:paraId="09B07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FB37F9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巡逻</w:t>
            </w: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63D16AB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巡查记录</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C47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做好巡查记录，有具体时间（每小时不少于2次），</w:t>
            </w:r>
            <w:r>
              <w:rPr>
                <w:rFonts w:hint="eastAsia" w:ascii="宋体" w:hAnsi="宋体" w:eastAsia="宋体" w:cs="宋体"/>
                <w:b w:val="0"/>
                <w:bCs w:val="0"/>
                <w:color w:val="auto"/>
                <w:spacing w:val="0"/>
                <w:w w:val="100"/>
                <w:position w:val="0"/>
                <w:sz w:val="24"/>
                <w:szCs w:val="24"/>
                <w:highlight w:val="none"/>
                <w:lang w:val="en-US" w:eastAsia="zh-CN"/>
              </w:rPr>
              <w:t>无虚假现象，在管理区域内无闲杂人员</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98DD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发现一次巡查无记录扣2分</w:t>
            </w:r>
          </w:p>
        </w:tc>
      </w:tr>
      <w:tr w14:paraId="33ED5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6FCEBF0">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auto" w:sz="4" w:space="0"/>
              <w:bottom w:val="single" w:color="000000" w:sz="4" w:space="0"/>
              <w:right w:val="single" w:color="000000" w:sz="4" w:space="0"/>
            </w:tcBorders>
            <w:shd w:val="clear" w:color="auto" w:fill="auto"/>
            <w:vAlign w:val="center"/>
          </w:tcPr>
          <w:p w14:paraId="548E20A5">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游客离馆和清场工作</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577F6">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负责馆区游客离馆和清场工作，发现异常情况立即报告，及时采取必要措施，并保护好现场</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492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发现一次情形扣2分</w:t>
            </w:r>
          </w:p>
        </w:tc>
      </w:tr>
      <w:tr w14:paraId="0D570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restart"/>
            <w:tcBorders>
              <w:top w:val="single" w:color="auto" w:sz="4" w:space="0"/>
              <w:left w:val="single" w:color="000000" w:sz="4" w:space="0"/>
              <w:right w:val="single" w:color="000000" w:sz="4" w:space="0"/>
            </w:tcBorders>
            <w:shd w:val="clear" w:color="auto" w:fill="auto"/>
            <w:vAlign w:val="center"/>
          </w:tcPr>
          <w:p w14:paraId="6BEE411B">
            <w:pPr>
              <w:keepNext w:val="0"/>
              <w:keepLines w:val="0"/>
              <w:widowControl/>
              <w:suppressLineNumbers w:val="0"/>
              <w:jc w:val="center"/>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监控室</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A9EB4">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监控室电话</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A8E58">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做好监控室电话的接听及如实填写值班记录</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2F27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6492D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left w:val="single" w:color="000000" w:sz="4" w:space="0"/>
              <w:right w:val="single" w:color="000000" w:sz="4" w:space="0"/>
            </w:tcBorders>
            <w:shd w:val="clear" w:color="auto" w:fill="auto"/>
            <w:vAlign w:val="center"/>
          </w:tcPr>
          <w:p w14:paraId="5921E20E">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479D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人数统计</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8A130">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做好每日参观人数统计，全年参观人数累计工作</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76123">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425BB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left w:val="single" w:color="000000" w:sz="4" w:space="0"/>
              <w:right w:val="single" w:color="000000" w:sz="4" w:space="0"/>
            </w:tcBorders>
            <w:shd w:val="clear" w:color="auto" w:fill="auto"/>
            <w:vAlign w:val="center"/>
          </w:tcPr>
          <w:p w14:paraId="1261CFB6">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288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工作规范</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0C259C">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监控室内严禁吸烟，严禁存放易燃易爆等危险物品，严禁在监控室内睡觉、玩游戏、干私活，严禁非本科室工作人员进入监控室浏览、动用监控设备，未经相关领导批准，任何人不得随意查阅监控录像</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4AE2F">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发现一次情形扣5分</w:t>
            </w:r>
          </w:p>
        </w:tc>
      </w:tr>
      <w:tr w14:paraId="3A935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vMerge w:val="continue"/>
            <w:tcBorders>
              <w:left w:val="single" w:color="000000" w:sz="4" w:space="0"/>
              <w:bottom w:val="single" w:color="auto" w:sz="4" w:space="0"/>
              <w:right w:val="single" w:color="000000" w:sz="4" w:space="0"/>
            </w:tcBorders>
            <w:shd w:val="clear" w:color="auto" w:fill="auto"/>
            <w:vAlign w:val="center"/>
          </w:tcPr>
          <w:p w14:paraId="0FA5A24F">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C0D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监控室卫生</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AD15D">
            <w:pPr>
              <w:keepNext w:val="0"/>
              <w:keepLines w:val="0"/>
              <w:widowControl/>
              <w:suppressLineNumbers w:val="0"/>
              <w:jc w:val="left"/>
              <w:textAlignment w:val="center"/>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应打扫并保持好监控室内环境卫生，排除各类安全隐患</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283FB">
            <w:pPr>
              <w:keepNext w:val="0"/>
              <w:keepLines w:val="0"/>
              <w:widowControl/>
              <w:suppressLineNumbers w:val="0"/>
              <w:jc w:val="left"/>
              <w:textAlignment w:val="center"/>
              <w:rPr>
                <w:rFonts w:hint="eastAsia"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发现一次情形扣1分</w:t>
            </w:r>
          </w:p>
        </w:tc>
      </w:tr>
      <w:tr w14:paraId="29572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782" w:type="pct"/>
            <w:tcBorders>
              <w:left w:val="single" w:color="000000" w:sz="4" w:space="0"/>
              <w:bottom w:val="single" w:color="auto" w:sz="4" w:space="0"/>
              <w:right w:val="single" w:color="000000" w:sz="4" w:space="0"/>
            </w:tcBorders>
            <w:shd w:val="clear" w:color="auto" w:fill="auto"/>
            <w:vAlign w:val="center"/>
          </w:tcPr>
          <w:p w14:paraId="4DAC7514">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color w:val="auto"/>
                <w:spacing w:val="0"/>
                <w:w w:val="100"/>
                <w:position w:val="0"/>
                <w:sz w:val="24"/>
                <w:szCs w:val="24"/>
                <w:highlight w:val="none"/>
                <w:lang w:val="en-US" w:eastAsia="zh-CN"/>
              </w:rPr>
              <w:t>应急反应</w:t>
            </w:r>
          </w:p>
        </w:tc>
        <w:tc>
          <w:tcPr>
            <w:tcW w:w="12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439F5">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突发事件</w:t>
            </w:r>
          </w:p>
        </w:tc>
        <w:tc>
          <w:tcPr>
            <w:tcW w:w="19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798F0">
            <w:pPr>
              <w:keepNext w:val="0"/>
              <w:keepLines w:val="0"/>
              <w:widowControl/>
              <w:suppressLineNumbers w:val="0"/>
              <w:jc w:val="left"/>
              <w:textAlignment w:val="center"/>
              <w:rPr>
                <w:rFonts w:hint="eastAsia" w:ascii="宋体" w:hAnsi="宋体" w:eastAsia="宋体" w:cs="宋体"/>
                <w:b w:val="0"/>
                <w:bCs w:val="0"/>
                <w:color w:val="auto"/>
                <w:spacing w:val="0"/>
                <w:w w:val="100"/>
                <w:position w:val="0"/>
                <w:sz w:val="24"/>
                <w:szCs w:val="24"/>
                <w:highlight w:val="none"/>
                <w:lang w:val="en-US" w:eastAsia="zh-CN"/>
              </w:rPr>
            </w:pPr>
            <w:r>
              <w:rPr>
                <w:rFonts w:hint="eastAsia" w:ascii="宋体" w:hAnsi="宋体" w:eastAsia="宋体" w:cs="宋体"/>
                <w:b w:val="0"/>
                <w:bCs w:val="0"/>
                <w:color w:val="auto"/>
                <w:spacing w:val="0"/>
                <w:w w:val="100"/>
                <w:position w:val="0"/>
                <w:sz w:val="24"/>
                <w:szCs w:val="24"/>
                <w:highlight w:val="none"/>
                <w:lang w:val="en-US" w:eastAsia="zh-CN"/>
              </w:rPr>
              <w:t>突发性、群体性突发事件处置及时高效，定期组织保安人员，进行防恐防暴、消防灭火应急预案的演练</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DC26D1">
            <w:pPr>
              <w:keepNext w:val="0"/>
              <w:keepLines w:val="0"/>
              <w:widowControl/>
              <w:suppressLineNumbers w:val="0"/>
              <w:jc w:val="left"/>
              <w:textAlignment w:val="center"/>
              <w:rPr>
                <w:rFonts w:hint="default" w:ascii="宋体" w:hAnsi="宋体" w:eastAsia="宋体" w:cs="宋体"/>
                <w:b w:val="0"/>
                <w:bCs w:val="0"/>
                <w:i w:val="0"/>
                <w:iCs w:val="0"/>
                <w:color w:val="auto"/>
                <w:sz w:val="24"/>
                <w:szCs w:val="24"/>
                <w:highlight w:val="none"/>
                <w:u w:val="none"/>
                <w:lang w:val="en-US" w:eastAsia="zh-CN"/>
              </w:rPr>
            </w:pPr>
            <w:r>
              <w:rPr>
                <w:rFonts w:hint="eastAsia" w:ascii="宋体" w:hAnsi="宋体" w:eastAsia="宋体" w:cs="宋体"/>
                <w:b w:val="0"/>
                <w:bCs w:val="0"/>
                <w:i w:val="0"/>
                <w:iCs w:val="0"/>
                <w:color w:val="auto"/>
                <w:sz w:val="24"/>
                <w:szCs w:val="24"/>
                <w:highlight w:val="none"/>
                <w:u w:val="none"/>
                <w:lang w:val="en-US" w:eastAsia="zh-CN"/>
              </w:rPr>
              <w:t>未定期组织演练或突发事件未及时处理扣5分</w:t>
            </w:r>
          </w:p>
        </w:tc>
      </w:tr>
      <w:tr w14:paraId="51B26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1079" w:type="pct"/>
          <w:trHeight w:val="660" w:hRule="atLeast"/>
        </w:trPr>
        <w:tc>
          <w:tcPr>
            <w:tcW w:w="392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2D6383">
            <w:pPr>
              <w:keepNext w:val="0"/>
              <w:keepLines w:val="0"/>
              <w:widowControl/>
              <w:suppressLineNumbers w:val="0"/>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snapToGrid w:val="0"/>
                <w:color w:val="auto"/>
                <w:kern w:val="0"/>
                <w:sz w:val="24"/>
                <w:szCs w:val="24"/>
                <w:highlight w:val="none"/>
                <w:u w:val="none"/>
                <w:lang w:val="en-US" w:eastAsia="zh-CN" w:bidi="ar"/>
              </w:rPr>
              <w:t>总分</w:t>
            </w:r>
          </w:p>
        </w:tc>
      </w:tr>
    </w:tbl>
    <w:p w14:paraId="022FE613">
      <w:pPr>
        <w:keepNext w:val="0"/>
        <w:keepLines w:val="0"/>
        <w:widowControl/>
        <w:suppressLineNumbers w:val="0"/>
        <w:jc w:val="left"/>
        <w:rPr>
          <w:rFonts w:hint="eastAsia" w:ascii="宋体" w:hAnsi="宋体" w:eastAsia="宋体" w:cs="宋体"/>
          <w:sz w:val="28"/>
          <w:szCs w:val="28"/>
          <w:lang w:val="en-US" w:eastAsia="zh-CN"/>
        </w:rPr>
      </w:pPr>
    </w:p>
    <w:tbl>
      <w:tblPr>
        <w:tblStyle w:val="5"/>
        <w:tblW w:w="9058" w:type="dxa"/>
        <w:jc w:val="center"/>
        <w:tblLayout w:type="autofit"/>
        <w:tblCellMar>
          <w:top w:w="0" w:type="dxa"/>
          <w:left w:w="108" w:type="dxa"/>
          <w:bottom w:w="0" w:type="dxa"/>
          <w:right w:w="108" w:type="dxa"/>
        </w:tblCellMar>
      </w:tblPr>
      <w:tblGrid>
        <w:gridCol w:w="146"/>
        <w:gridCol w:w="737"/>
        <w:gridCol w:w="3425"/>
        <w:gridCol w:w="2963"/>
        <w:gridCol w:w="825"/>
        <w:gridCol w:w="808"/>
        <w:gridCol w:w="154"/>
      </w:tblGrid>
      <w:tr w14:paraId="43CE6284">
        <w:tblPrEx>
          <w:tblCellMar>
            <w:top w:w="0" w:type="dxa"/>
            <w:left w:w="108" w:type="dxa"/>
            <w:bottom w:w="0" w:type="dxa"/>
            <w:right w:w="108" w:type="dxa"/>
          </w:tblCellMar>
        </w:tblPrEx>
        <w:trPr>
          <w:gridBefore w:val="1"/>
          <w:wBefore w:w="146" w:type="dxa"/>
          <w:trHeight w:val="520" w:hRule="atLeast"/>
          <w:jc w:val="center"/>
        </w:trPr>
        <w:tc>
          <w:tcPr>
            <w:tcW w:w="8912" w:type="dxa"/>
            <w:gridSpan w:val="6"/>
            <w:tcBorders>
              <w:top w:val="nil"/>
              <w:left w:val="nil"/>
              <w:bottom w:val="nil"/>
              <w:right w:val="nil"/>
            </w:tcBorders>
            <w:noWrap w:val="0"/>
            <w:vAlign w:val="center"/>
          </w:tcPr>
          <w:p w14:paraId="7D5F61ED">
            <w:pPr>
              <w:widowControl/>
              <w:jc w:val="left"/>
              <w:rPr>
                <w:rFonts w:hint="eastAsia" w:ascii="宋体" w:hAnsi="宋体" w:eastAsia="宋体"/>
                <w:b/>
                <w:szCs w:val="24"/>
                <w:highlight w:val="none"/>
                <w:lang w:val="en-US" w:eastAsia="zh-CN"/>
              </w:rPr>
            </w:pPr>
          </w:p>
          <w:p w14:paraId="6F78A0A7">
            <w:pPr>
              <w:widowControl/>
              <w:jc w:val="left"/>
              <w:rPr>
                <w:rFonts w:hint="default" w:eastAsia="宋体"/>
                <w:b/>
                <w:bCs/>
                <w:color w:val="000000"/>
                <w:kern w:val="0"/>
                <w:szCs w:val="24"/>
                <w:highlight w:val="none"/>
                <w:lang w:val="en-US" w:eastAsia="zh-CN"/>
              </w:rPr>
            </w:pPr>
            <w:r>
              <w:rPr>
                <w:rFonts w:hint="eastAsia" w:ascii="宋体" w:hAnsi="宋体" w:eastAsia="宋体"/>
                <w:b/>
                <w:szCs w:val="24"/>
                <w:highlight w:val="none"/>
                <w:lang w:val="en-US" w:eastAsia="zh-CN"/>
              </w:rPr>
              <w:t>附件2：</w:t>
            </w:r>
            <w:r>
              <w:rPr>
                <w:rFonts w:hint="eastAsia" w:ascii="宋体" w:hAnsi="宋体" w:eastAsia="宋体" w:cs="宋体"/>
                <w:b/>
                <w:bCs/>
                <w:snapToGrid w:val="0"/>
                <w:color w:val="auto"/>
                <w:spacing w:val="0"/>
                <w:w w:val="100"/>
                <w:kern w:val="0"/>
                <w:position w:val="0"/>
                <w:sz w:val="24"/>
                <w:szCs w:val="24"/>
                <w:highlight w:val="none"/>
                <w:lang w:val="en-US" w:eastAsia="zh-CN" w:bidi="ar-SA"/>
              </w:rPr>
              <w:t>《</w:t>
            </w:r>
            <w:r>
              <w:rPr>
                <w:rFonts w:hint="eastAsia" w:ascii="宋体" w:hAnsi="宋体" w:eastAsia="宋体"/>
                <w:b/>
                <w:szCs w:val="24"/>
                <w:highlight w:val="none"/>
                <w:lang w:val="en-US" w:eastAsia="zh-CN"/>
              </w:rPr>
              <w:t>环境保洁与绿化养护考</w:t>
            </w:r>
            <w:r>
              <w:rPr>
                <w:rFonts w:hint="eastAsia" w:ascii="宋体" w:hAnsi="宋体" w:eastAsia="宋体" w:cs="宋体"/>
                <w:b/>
                <w:bCs/>
                <w:snapToGrid w:val="0"/>
                <w:color w:val="auto"/>
                <w:spacing w:val="0"/>
                <w:w w:val="100"/>
                <w:kern w:val="0"/>
                <w:position w:val="0"/>
                <w:sz w:val="24"/>
                <w:szCs w:val="24"/>
                <w:highlight w:val="none"/>
                <w:lang w:val="en-US" w:eastAsia="zh-CN" w:bidi="ar-SA"/>
              </w:rPr>
              <w:t>核标准》</w:t>
            </w:r>
          </w:p>
        </w:tc>
      </w:tr>
      <w:tr w14:paraId="62921FEE">
        <w:tblPrEx>
          <w:tblCellMar>
            <w:top w:w="0" w:type="dxa"/>
            <w:left w:w="108" w:type="dxa"/>
            <w:bottom w:w="0" w:type="dxa"/>
            <w:right w:w="108" w:type="dxa"/>
          </w:tblCellMar>
        </w:tblPrEx>
        <w:trPr>
          <w:gridBefore w:val="1"/>
          <w:wBefore w:w="146" w:type="dxa"/>
          <w:trHeight w:val="520" w:hRule="atLeast"/>
          <w:jc w:val="center"/>
        </w:trPr>
        <w:tc>
          <w:tcPr>
            <w:tcW w:w="8912" w:type="dxa"/>
            <w:gridSpan w:val="6"/>
            <w:tcBorders>
              <w:top w:val="nil"/>
              <w:left w:val="nil"/>
              <w:bottom w:val="nil"/>
              <w:right w:val="nil"/>
            </w:tcBorders>
            <w:noWrap w:val="0"/>
            <w:vAlign w:val="center"/>
          </w:tcPr>
          <w:p w14:paraId="788A0F9B">
            <w:pPr>
              <w:pStyle w:val="4"/>
              <w:ind w:firstLine="0" w:firstLineChars="0"/>
              <w:jc w:val="center"/>
              <w:rPr>
                <w:color w:val="000000"/>
                <w:kern w:val="0"/>
                <w:szCs w:val="24"/>
                <w:highlight w:val="none"/>
              </w:rPr>
            </w:pPr>
          </w:p>
        </w:tc>
      </w:tr>
      <w:tr w14:paraId="626175D4">
        <w:tblPrEx>
          <w:tblCellMar>
            <w:top w:w="0" w:type="dxa"/>
            <w:left w:w="108" w:type="dxa"/>
            <w:bottom w:w="0" w:type="dxa"/>
            <w:right w:w="108" w:type="dxa"/>
          </w:tblCellMar>
        </w:tblPrEx>
        <w:trPr>
          <w:gridBefore w:val="1"/>
          <w:wBefore w:w="146" w:type="dxa"/>
          <w:trHeight w:val="360" w:hRule="atLeast"/>
          <w:jc w:val="center"/>
        </w:trPr>
        <w:tc>
          <w:tcPr>
            <w:tcW w:w="8912" w:type="dxa"/>
            <w:gridSpan w:val="6"/>
            <w:tcBorders>
              <w:top w:val="nil"/>
              <w:left w:val="nil"/>
              <w:bottom w:val="single" w:color="auto" w:sz="4" w:space="0"/>
              <w:right w:val="nil"/>
            </w:tcBorders>
            <w:noWrap w:val="0"/>
            <w:vAlign w:val="center"/>
          </w:tcPr>
          <w:p w14:paraId="65DB2667">
            <w:pPr>
              <w:widowControl/>
              <w:jc w:val="center"/>
              <w:rPr>
                <w:rFonts w:ascii="仿宋" w:hAnsi="仿宋" w:eastAsia="仿宋" w:cs="仿宋"/>
                <w:color w:val="000000"/>
                <w:kern w:val="0"/>
                <w:szCs w:val="24"/>
                <w:highlight w:val="none"/>
              </w:rPr>
            </w:pPr>
          </w:p>
        </w:tc>
      </w:tr>
      <w:tr w14:paraId="460FCCDB">
        <w:tblPrEx>
          <w:tblCellMar>
            <w:top w:w="0" w:type="dxa"/>
            <w:left w:w="108" w:type="dxa"/>
            <w:bottom w:w="0" w:type="dxa"/>
            <w:right w:w="108" w:type="dxa"/>
          </w:tblCellMar>
        </w:tblPrEx>
        <w:trPr>
          <w:gridBefore w:val="1"/>
          <w:wBefore w:w="146" w:type="dxa"/>
          <w:trHeight w:val="520" w:hRule="atLeast"/>
          <w:jc w:val="center"/>
        </w:trPr>
        <w:tc>
          <w:tcPr>
            <w:tcW w:w="737" w:type="dxa"/>
            <w:tcBorders>
              <w:top w:val="single" w:color="auto" w:sz="4" w:space="0"/>
              <w:left w:val="single" w:color="auto" w:sz="4" w:space="0"/>
              <w:bottom w:val="single" w:color="auto" w:sz="4" w:space="0"/>
              <w:right w:val="single" w:color="auto" w:sz="4" w:space="0"/>
            </w:tcBorders>
            <w:noWrap w:val="0"/>
            <w:vAlign w:val="center"/>
          </w:tcPr>
          <w:p w14:paraId="6931BAE0">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项目</w:t>
            </w:r>
          </w:p>
        </w:tc>
        <w:tc>
          <w:tcPr>
            <w:tcW w:w="3425" w:type="dxa"/>
            <w:tcBorders>
              <w:top w:val="single" w:color="auto" w:sz="4" w:space="0"/>
              <w:left w:val="nil"/>
              <w:bottom w:val="single" w:color="auto" w:sz="4" w:space="0"/>
              <w:right w:val="single" w:color="auto" w:sz="4" w:space="0"/>
            </w:tcBorders>
            <w:noWrap w:val="0"/>
            <w:vAlign w:val="center"/>
          </w:tcPr>
          <w:p w14:paraId="1A23D079">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考核内容</w:t>
            </w:r>
          </w:p>
        </w:tc>
        <w:tc>
          <w:tcPr>
            <w:tcW w:w="2963" w:type="dxa"/>
            <w:tcBorders>
              <w:top w:val="single" w:color="auto" w:sz="4" w:space="0"/>
              <w:left w:val="nil"/>
              <w:bottom w:val="single" w:color="auto" w:sz="4" w:space="0"/>
              <w:right w:val="single" w:color="auto" w:sz="4" w:space="0"/>
            </w:tcBorders>
            <w:noWrap w:val="0"/>
            <w:vAlign w:val="center"/>
          </w:tcPr>
          <w:p w14:paraId="0AE3DD22">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评分标准</w:t>
            </w:r>
          </w:p>
        </w:tc>
        <w:tc>
          <w:tcPr>
            <w:tcW w:w="825" w:type="dxa"/>
            <w:tcBorders>
              <w:top w:val="single" w:color="auto" w:sz="4" w:space="0"/>
              <w:left w:val="nil"/>
              <w:bottom w:val="single" w:color="auto" w:sz="4" w:space="0"/>
              <w:right w:val="single" w:color="auto" w:sz="4" w:space="0"/>
            </w:tcBorders>
            <w:noWrap w:val="0"/>
            <w:vAlign w:val="center"/>
          </w:tcPr>
          <w:p w14:paraId="7DDF58AD">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扣分</w:t>
            </w:r>
          </w:p>
        </w:tc>
        <w:tc>
          <w:tcPr>
            <w:tcW w:w="962" w:type="dxa"/>
            <w:gridSpan w:val="2"/>
            <w:tcBorders>
              <w:top w:val="single" w:color="auto" w:sz="4" w:space="0"/>
              <w:left w:val="nil"/>
              <w:bottom w:val="single" w:color="auto" w:sz="4" w:space="0"/>
              <w:right w:val="single" w:color="auto" w:sz="4" w:space="0"/>
            </w:tcBorders>
            <w:noWrap w:val="0"/>
            <w:vAlign w:val="center"/>
          </w:tcPr>
          <w:p w14:paraId="332CE7D2">
            <w:pPr>
              <w:widowControl/>
              <w:spacing w:line="360" w:lineRule="exact"/>
              <w:jc w:val="center"/>
              <w:rPr>
                <w:rFonts w:ascii="仿宋" w:hAnsi="仿宋" w:eastAsia="仿宋" w:cs="仿宋"/>
                <w:b/>
                <w:bCs/>
                <w:color w:val="000000"/>
                <w:kern w:val="0"/>
                <w:szCs w:val="21"/>
                <w:highlight w:val="none"/>
              </w:rPr>
            </w:pPr>
            <w:r>
              <w:rPr>
                <w:rFonts w:hint="eastAsia" w:ascii="仿宋" w:hAnsi="仿宋" w:eastAsia="仿宋" w:cs="仿宋"/>
                <w:b/>
                <w:bCs/>
                <w:color w:val="000000"/>
                <w:kern w:val="0"/>
                <w:szCs w:val="21"/>
                <w:highlight w:val="none"/>
              </w:rPr>
              <w:t>得分</w:t>
            </w:r>
          </w:p>
        </w:tc>
      </w:tr>
      <w:tr w14:paraId="04B93454">
        <w:tblPrEx>
          <w:tblCellMar>
            <w:top w:w="0" w:type="dxa"/>
            <w:left w:w="108" w:type="dxa"/>
            <w:bottom w:w="0" w:type="dxa"/>
            <w:right w:w="108" w:type="dxa"/>
          </w:tblCellMar>
        </w:tblPrEx>
        <w:trPr>
          <w:gridBefore w:val="1"/>
          <w:wBefore w:w="146" w:type="dxa"/>
          <w:trHeight w:val="720" w:hRule="atLeast"/>
          <w:jc w:val="center"/>
        </w:trPr>
        <w:tc>
          <w:tcPr>
            <w:tcW w:w="737" w:type="dxa"/>
            <w:vMerge w:val="restart"/>
            <w:tcBorders>
              <w:top w:val="single" w:color="auto" w:sz="4" w:space="0"/>
              <w:left w:val="single" w:color="auto" w:sz="4" w:space="0"/>
              <w:right w:val="single" w:color="auto" w:sz="4" w:space="0"/>
            </w:tcBorders>
            <w:noWrap w:val="0"/>
            <w:vAlign w:val="center"/>
          </w:tcPr>
          <w:p w14:paraId="2583FDC7">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环</w:t>
            </w:r>
          </w:p>
          <w:p w14:paraId="5E134247">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境</w:t>
            </w:r>
          </w:p>
          <w:p w14:paraId="171D5B68">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卫</w:t>
            </w:r>
          </w:p>
          <w:p w14:paraId="65AAC7A4">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生</w:t>
            </w:r>
          </w:p>
          <w:p w14:paraId="48F91FEE">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及</w:t>
            </w:r>
          </w:p>
          <w:p w14:paraId="384642B1">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绿</w:t>
            </w:r>
          </w:p>
          <w:p w14:paraId="4F0A9BBC">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化</w:t>
            </w:r>
          </w:p>
          <w:p w14:paraId="6C6C70B4">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管</w:t>
            </w:r>
          </w:p>
          <w:p w14:paraId="2760FEDD">
            <w:pPr>
              <w:widowControl/>
              <w:spacing w:line="360" w:lineRule="exact"/>
              <w:jc w:val="center"/>
              <w:rPr>
                <w:rFonts w:hint="eastAsia"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理</w:t>
            </w:r>
          </w:p>
          <w:p w14:paraId="06B1410F">
            <w:pPr>
              <w:widowControl/>
              <w:spacing w:line="360" w:lineRule="exact"/>
              <w:jc w:val="center"/>
              <w:rPr>
                <w:rFonts w:hint="eastAsia" w:ascii="仿宋" w:hAnsi="仿宋" w:eastAsia="仿宋" w:cs="仿宋"/>
                <w:color w:val="000000"/>
                <w:kern w:val="0"/>
                <w:sz w:val="28"/>
                <w:szCs w:val="28"/>
                <w:highlight w:val="none"/>
                <w:lang w:val="en-US" w:eastAsia="zh-CN"/>
              </w:rPr>
            </w:pPr>
          </w:p>
          <w:p w14:paraId="3ACFAA7B">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4" w:space="0"/>
              <w:left w:val="nil"/>
              <w:bottom w:val="single" w:color="auto" w:sz="4" w:space="0"/>
              <w:right w:val="single" w:color="auto" w:sz="4" w:space="0"/>
            </w:tcBorders>
            <w:noWrap w:val="0"/>
            <w:vAlign w:val="center"/>
          </w:tcPr>
          <w:p w14:paraId="7D38DCC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清洁卫生，实行区域包干责任制，并执行统一的保洁标准</w:t>
            </w:r>
          </w:p>
        </w:tc>
        <w:tc>
          <w:tcPr>
            <w:tcW w:w="2963" w:type="dxa"/>
            <w:tcBorders>
              <w:top w:val="single" w:color="auto" w:sz="4" w:space="0"/>
              <w:left w:val="nil"/>
              <w:bottom w:val="single" w:color="auto" w:sz="4" w:space="0"/>
              <w:right w:val="single" w:color="auto" w:sz="4" w:space="0"/>
            </w:tcBorders>
            <w:noWrap w:val="0"/>
            <w:vAlign w:val="center"/>
          </w:tcPr>
          <w:p w14:paraId="2C2DEA57">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未实行的，每次扣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135BAEDA">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restart"/>
            <w:tcBorders>
              <w:top w:val="single" w:color="auto" w:sz="4" w:space="0"/>
              <w:left w:val="single" w:color="auto" w:sz="4" w:space="0"/>
              <w:right w:val="single" w:color="auto" w:sz="4" w:space="0"/>
            </w:tcBorders>
            <w:noWrap w:val="0"/>
            <w:vAlign w:val="center"/>
          </w:tcPr>
          <w:p w14:paraId="1E358B84">
            <w:pPr>
              <w:spacing w:line="360" w:lineRule="exact"/>
              <w:jc w:val="center"/>
              <w:rPr>
                <w:rFonts w:ascii="仿宋" w:hAnsi="仿宋" w:eastAsia="仿宋" w:cs="仿宋"/>
                <w:color w:val="000000"/>
                <w:kern w:val="0"/>
                <w:szCs w:val="21"/>
                <w:highlight w:val="none"/>
              </w:rPr>
            </w:pPr>
          </w:p>
        </w:tc>
      </w:tr>
      <w:tr w14:paraId="4421B1DC">
        <w:tblPrEx>
          <w:tblCellMar>
            <w:top w:w="0" w:type="dxa"/>
            <w:left w:w="108" w:type="dxa"/>
            <w:bottom w:w="0" w:type="dxa"/>
            <w:right w:w="108" w:type="dxa"/>
          </w:tblCellMar>
        </w:tblPrEx>
        <w:trPr>
          <w:gridBefore w:val="1"/>
          <w:wBefore w:w="146" w:type="dxa"/>
          <w:trHeight w:val="1020" w:hRule="atLeast"/>
          <w:jc w:val="center"/>
        </w:trPr>
        <w:tc>
          <w:tcPr>
            <w:tcW w:w="737" w:type="dxa"/>
            <w:vMerge w:val="continue"/>
            <w:tcBorders>
              <w:left w:val="single" w:color="auto" w:sz="4" w:space="0"/>
              <w:right w:val="single" w:color="auto" w:sz="4" w:space="0"/>
            </w:tcBorders>
            <w:noWrap w:val="0"/>
            <w:vAlign w:val="center"/>
          </w:tcPr>
          <w:p w14:paraId="0CC217E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12ACCA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地面、过道、台阶干净无垃圾，无污迹，无积水</w:t>
            </w:r>
          </w:p>
        </w:tc>
        <w:tc>
          <w:tcPr>
            <w:tcW w:w="2963" w:type="dxa"/>
            <w:tcBorders>
              <w:top w:val="nil"/>
              <w:left w:val="nil"/>
              <w:bottom w:val="single" w:color="auto" w:sz="4" w:space="0"/>
              <w:right w:val="single" w:color="auto" w:sz="4" w:space="0"/>
            </w:tcBorders>
            <w:noWrap w:val="0"/>
            <w:vAlign w:val="center"/>
          </w:tcPr>
          <w:p w14:paraId="425D9320">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地面发现大宗垃圾的，每次扣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2D091C70">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2231DBC5">
            <w:pPr>
              <w:spacing w:line="360" w:lineRule="exact"/>
              <w:jc w:val="center"/>
              <w:rPr>
                <w:rFonts w:ascii="仿宋" w:hAnsi="仿宋" w:eastAsia="仿宋" w:cs="仿宋"/>
                <w:color w:val="000000"/>
                <w:kern w:val="0"/>
                <w:szCs w:val="21"/>
                <w:highlight w:val="none"/>
              </w:rPr>
            </w:pPr>
          </w:p>
        </w:tc>
      </w:tr>
      <w:tr w14:paraId="714592E4">
        <w:tblPrEx>
          <w:tblCellMar>
            <w:top w:w="0" w:type="dxa"/>
            <w:left w:w="108" w:type="dxa"/>
            <w:bottom w:w="0" w:type="dxa"/>
            <w:right w:w="108" w:type="dxa"/>
          </w:tblCellMar>
        </w:tblPrEx>
        <w:trPr>
          <w:gridBefore w:val="1"/>
          <w:wBefore w:w="146" w:type="dxa"/>
          <w:trHeight w:val="1100" w:hRule="atLeast"/>
          <w:jc w:val="center"/>
        </w:trPr>
        <w:tc>
          <w:tcPr>
            <w:tcW w:w="737" w:type="dxa"/>
            <w:vMerge w:val="continue"/>
            <w:tcBorders>
              <w:left w:val="single" w:color="auto" w:sz="4" w:space="0"/>
              <w:right w:val="single" w:color="auto" w:sz="4" w:space="0"/>
            </w:tcBorders>
            <w:noWrap w:val="0"/>
            <w:vAlign w:val="center"/>
          </w:tcPr>
          <w:p w14:paraId="7D441DC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16312FA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墙面、柱面、玻璃门干净，无明显灰尘，无污迹，天花板无蜘蛛网</w:t>
            </w:r>
          </w:p>
        </w:tc>
        <w:tc>
          <w:tcPr>
            <w:tcW w:w="2963" w:type="dxa"/>
            <w:tcBorders>
              <w:top w:val="nil"/>
              <w:left w:val="nil"/>
              <w:bottom w:val="single" w:color="auto" w:sz="4" w:space="0"/>
              <w:right w:val="single" w:color="auto" w:sz="4" w:space="0"/>
            </w:tcBorders>
            <w:noWrap w:val="0"/>
            <w:vAlign w:val="center"/>
          </w:tcPr>
          <w:p w14:paraId="452DD095">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发现明显积尘或蜘蛛网的，每处扣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6AFD4A0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5FFE5004">
            <w:pPr>
              <w:spacing w:line="360" w:lineRule="exact"/>
              <w:jc w:val="center"/>
              <w:rPr>
                <w:rFonts w:ascii="仿宋" w:hAnsi="仿宋" w:eastAsia="仿宋" w:cs="仿宋"/>
                <w:color w:val="000000"/>
                <w:kern w:val="0"/>
                <w:szCs w:val="21"/>
                <w:highlight w:val="none"/>
              </w:rPr>
            </w:pPr>
          </w:p>
        </w:tc>
      </w:tr>
      <w:tr w14:paraId="6C38C061">
        <w:tblPrEx>
          <w:tblCellMar>
            <w:top w:w="0" w:type="dxa"/>
            <w:left w:w="108" w:type="dxa"/>
            <w:bottom w:w="0" w:type="dxa"/>
            <w:right w:w="108" w:type="dxa"/>
          </w:tblCellMar>
        </w:tblPrEx>
        <w:trPr>
          <w:gridBefore w:val="1"/>
          <w:wBefore w:w="146" w:type="dxa"/>
          <w:trHeight w:val="695" w:hRule="atLeast"/>
          <w:jc w:val="center"/>
        </w:trPr>
        <w:tc>
          <w:tcPr>
            <w:tcW w:w="737" w:type="dxa"/>
            <w:vMerge w:val="continue"/>
            <w:tcBorders>
              <w:left w:val="single" w:color="auto" w:sz="4" w:space="0"/>
              <w:right w:val="single" w:color="auto" w:sz="4" w:space="0"/>
            </w:tcBorders>
            <w:noWrap w:val="0"/>
            <w:vAlign w:val="center"/>
          </w:tcPr>
          <w:p w14:paraId="7E8DE28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3BCE07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消防楼梯扶手、消防设施等无明显灰尘无污迹</w:t>
            </w:r>
          </w:p>
        </w:tc>
        <w:tc>
          <w:tcPr>
            <w:tcW w:w="2963" w:type="dxa"/>
            <w:tcBorders>
              <w:top w:val="nil"/>
              <w:left w:val="nil"/>
              <w:bottom w:val="single" w:color="auto" w:sz="4" w:space="0"/>
              <w:right w:val="single" w:color="auto" w:sz="4" w:space="0"/>
            </w:tcBorders>
            <w:noWrap w:val="0"/>
            <w:vAlign w:val="center"/>
          </w:tcPr>
          <w:p w14:paraId="1FB122D0">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有明显积尘，每处扣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0E298D0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5B66D5D3">
            <w:pPr>
              <w:spacing w:line="360" w:lineRule="exact"/>
              <w:jc w:val="center"/>
              <w:rPr>
                <w:rFonts w:ascii="仿宋" w:hAnsi="仿宋" w:eastAsia="仿宋" w:cs="仿宋"/>
                <w:color w:val="000000"/>
                <w:kern w:val="0"/>
                <w:szCs w:val="21"/>
                <w:highlight w:val="none"/>
              </w:rPr>
            </w:pPr>
          </w:p>
        </w:tc>
      </w:tr>
      <w:tr w14:paraId="27E4C836">
        <w:tblPrEx>
          <w:tblCellMar>
            <w:top w:w="0" w:type="dxa"/>
            <w:left w:w="108" w:type="dxa"/>
            <w:bottom w:w="0" w:type="dxa"/>
            <w:right w:w="108" w:type="dxa"/>
          </w:tblCellMar>
        </w:tblPrEx>
        <w:trPr>
          <w:gridBefore w:val="1"/>
          <w:wBefore w:w="146" w:type="dxa"/>
          <w:trHeight w:val="675" w:hRule="atLeast"/>
          <w:jc w:val="center"/>
        </w:trPr>
        <w:tc>
          <w:tcPr>
            <w:tcW w:w="737" w:type="dxa"/>
            <w:vMerge w:val="continue"/>
            <w:tcBorders>
              <w:left w:val="single" w:color="auto" w:sz="4" w:space="0"/>
              <w:right w:val="single" w:color="auto" w:sz="4" w:space="0"/>
            </w:tcBorders>
            <w:noWrap w:val="0"/>
            <w:vAlign w:val="center"/>
          </w:tcPr>
          <w:p w14:paraId="25359A66">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5379292">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垃圾桶摆放整齐，桶身干净，无积尘，无污迹</w:t>
            </w:r>
          </w:p>
        </w:tc>
        <w:tc>
          <w:tcPr>
            <w:tcW w:w="2963" w:type="dxa"/>
            <w:tcBorders>
              <w:top w:val="nil"/>
              <w:left w:val="nil"/>
              <w:bottom w:val="single" w:color="auto" w:sz="4" w:space="0"/>
              <w:right w:val="single" w:color="auto" w:sz="4" w:space="0"/>
            </w:tcBorders>
            <w:noWrap w:val="0"/>
            <w:vAlign w:val="center"/>
          </w:tcPr>
          <w:p w14:paraId="0B0F38EA">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不符合的，每处扣除</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37FC3FCB">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7CE3D88F">
            <w:pPr>
              <w:spacing w:line="360" w:lineRule="exact"/>
              <w:jc w:val="center"/>
              <w:rPr>
                <w:rFonts w:ascii="仿宋" w:hAnsi="仿宋" w:eastAsia="仿宋" w:cs="仿宋"/>
                <w:color w:val="000000"/>
                <w:kern w:val="0"/>
                <w:szCs w:val="21"/>
                <w:highlight w:val="none"/>
              </w:rPr>
            </w:pPr>
          </w:p>
        </w:tc>
      </w:tr>
      <w:tr w14:paraId="4E19B147">
        <w:tblPrEx>
          <w:tblCellMar>
            <w:top w:w="0" w:type="dxa"/>
            <w:left w:w="108" w:type="dxa"/>
            <w:bottom w:w="0" w:type="dxa"/>
            <w:right w:w="108" w:type="dxa"/>
          </w:tblCellMar>
        </w:tblPrEx>
        <w:trPr>
          <w:gridBefore w:val="1"/>
          <w:wBefore w:w="146" w:type="dxa"/>
          <w:trHeight w:val="650" w:hRule="atLeast"/>
          <w:jc w:val="center"/>
        </w:trPr>
        <w:tc>
          <w:tcPr>
            <w:tcW w:w="737" w:type="dxa"/>
            <w:vMerge w:val="continue"/>
            <w:tcBorders>
              <w:left w:val="single" w:color="auto" w:sz="4" w:space="0"/>
              <w:right w:val="single" w:color="auto" w:sz="4" w:space="0"/>
            </w:tcBorders>
            <w:noWrap w:val="0"/>
            <w:vAlign w:val="center"/>
          </w:tcPr>
          <w:p w14:paraId="3EE46AC2">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536B1F2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公共门窗无明污迹和明显灰尘</w:t>
            </w:r>
          </w:p>
        </w:tc>
        <w:tc>
          <w:tcPr>
            <w:tcW w:w="2963" w:type="dxa"/>
            <w:tcBorders>
              <w:top w:val="nil"/>
              <w:left w:val="nil"/>
              <w:bottom w:val="single" w:color="auto" w:sz="4" w:space="0"/>
              <w:right w:val="single" w:color="auto" w:sz="4" w:space="0"/>
            </w:tcBorders>
            <w:noWrap w:val="0"/>
            <w:vAlign w:val="center"/>
          </w:tcPr>
          <w:p w14:paraId="0503329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有明显污迹和灰尘的，每处扣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444B33D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B32AE6B">
            <w:pPr>
              <w:spacing w:line="360" w:lineRule="exact"/>
              <w:jc w:val="center"/>
              <w:rPr>
                <w:rFonts w:ascii="仿宋" w:hAnsi="仿宋" w:eastAsia="仿宋" w:cs="仿宋"/>
                <w:color w:val="000000"/>
                <w:kern w:val="0"/>
                <w:szCs w:val="21"/>
                <w:highlight w:val="none"/>
              </w:rPr>
            </w:pPr>
          </w:p>
        </w:tc>
      </w:tr>
      <w:tr w14:paraId="616BDD25">
        <w:tblPrEx>
          <w:tblCellMar>
            <w:top w:w="0" w:type="dxa"/>
            <w:left w:w="108" w:type="dxa"/>
            <w:bottom w:w="0" w:type="dxa"/>
            <w:right w:w="108" w:type="dxa"/>
          </w:tblCellMar>
        </w:tblPrEx>
        <w:trPr>
          <w:gridBefore w:val="1"/>
          <w:wBefore w:w="146" w:type="dxa"/>
          <w:trHeight w:val="1240" w:hRule="atLeast"/>
          <w:jc w:val="center"/>
        </w:trPr>
        <w:tc>
          <w:tcPr>
            <w:tcW w:w="737" w:type="dxa"/>
            <w:vMerge w:val="continue"/>
            <w:tcBorders>
              <w:left w:val="single" w:color="auto" w:sz="4" w:space="0"/>
              <w:right w:val="single" w:color="auto" w:sz="4" w:space="0"/>
            </w:tcBorders>
            <w:noWrap w:val="0"/>
            <w:vAlign w:val="center"/>
          </w:tcPr>
          <w:p w14:paraId="51A2F16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F6D531E">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卫生间地面无垃圾杂物</w:t>
            </w:r>
            <w:r>
              <w:rPr>
                <w:rFonts w:hint="eastAsia" w:ascii="仿宋" w:hAnsi="仿宋" w:eastAsia="仿宋" w:cs="仿宋"/>
                <w:color w:val="000000"/>
                <w:kern w:val="0"/>
                <w:szCs w:val="21"/>
                <w:highlight w:val="none"/>
                <w:lang w:eastAsia="zh-CN"/>
              </w:rPr>
              <w:t>、积水，</w:t>
            </w:r>
            <w:r>
              <w:rPr>
                <w:rFonts w:hint="eastAsia" w:ascii="仿宋" w:hAnsi="仿宋" w:eastAsia="仿宋" w:cs="仿宋"/>
                <w:color w:val="000000"/>
                <w:kern w:val="0"/>
                <w:szCs w:val="21"/>
                <w:highlight w:val="none"/>
              </w:rPr>
              <w:t>水池、台板干净无杂物，墙面天花板无明显灰尘、无蜘蛛网，镜面光亮无明显水印，便池无污垢无异味</w:t>
            </w:r>
          </w:p>
        </w:tc>
        <w:tc>
          <w:tcPr>
            <w:tcW w:w="2963" w:type="dxa"/>
            <w:tcBorders>
              <w:top w:val="nil"/>
              <w:left w:val="nil"/>
              <w:bottom w:val="single" w:color="auto" w:sz="4" w:space="0"/>
              <w:right w:val="single" w:color="auto" w:sz="4" w:space="0"/>
            </w:tcBorders>
            <w:noWrap w:val="0"/>
            <w:vAlign w:val="center"/>
          </w:tcPr>
          <w:p w14:paraId="35A54FC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一般不符合的，每次扣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55E470D5">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7CDEF3FD">
            <w:pPr>
              <w:spacing w:line="360" w:lineRule="exact"/>
              <w:jc w:val="center"/>
              <w:rPr>
                <w:rFonts w:ascii="仿宋" w:hAnsi="仿宋" w:eastAsia="仿宋" w:cs="仿宋"/>
                <w:color w:val="000000"/>
                <w:kern w:val="0"/>
                <w:szCs w:val="21"/>
                <w:highlight w:val="none"/>
              </w:rPr>
            </w:pPr>
          </w:p>
        </w:tc>
      </w:tr>
      <w:tr w14:paraId="1D9563E0">
        <w:tblPrEx>
          <w:tblCellMar>
            <w:top w:w="0" w:type="dxa"/>
            <w:left w:w="108" w:type="dxa"/>
            <w:bottom w:w="0" w:type="dxa"/>
            <w:right w:w="108" w:type="dxa"/>
          </w:tblCellMar>
        </w:tblPrEx>
        <w:trPr>
          <w:gridBefore w:val="1"/>
          <w:wBefore w:w="146" w:type="dxa"/>
          <w:trHeight w:val="725" w:hRule="atLeast"/>
          <w:jc w:val="center"/>
        </w:trPr>
        <w:tc>
          <w:tcPr>
            <w:tcW w:w="737" w:type="dxa"/>
            <w:vMerge w:val="continue"/>
            <w:tcBorders>
              <w:left w:val="single" w:color="auto" w:sz="4" w:space="0"/>
              <w:right w:val="single" w:color="auto" w:sz="4" w:space="0"/>
            </w:tcBorders>
            <w:noWrap w:val="0"/>
            <w:vAlign w:val="center"/>
          </w:tcPr>
          <w:p w14:paraId="5ECA55A5">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653C2F01">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卫生间保洁耗品（手纸</w:t>
            </w:r>
            <w:r>
              <w:rPr>
                <w:rFonts w:hint="eastAsia" w:ascii="仿宋" w:hAnsi="仿宋" w:eastAsia="仿宋" w:cs="仿宋"/>
                <w:color w:val="000000"/>
                <w:kern w:val="0"/>
                <w:szCs w:val="21"/>
                <w:highlight w:val="none"/>
                <w:lang w:eastAsia="zh-CN"/>
              </w:rPr>
              <w:t>、洗手液</w:t>
            </w:r>
            <w:r>
              <w:rPr>
                <w:rFonts w:hint="eastAsia" w:ascii="仿宋" w:hAnsi="仿宋" w:eastAsia="仿宋" w:cs="仿宋"/>
                <w:color w:val="000000"/>
                <w:kern w:val="0"/>
                <w:szCs w:val="21"/>
                <w:highlight w:val="none"/>
              </w:rPr>
              <w:t>等）及时添加和补充</w:t>
            </w:r>
          </w:p>
        </w:tc>
        <w:tc>
          <w:tcPr>
            <w:tcW w:w="2963" w:type="dxa"/>
            <w:tcBorders>
              <w:top w:val="nil"/>
              <w:left w:val="nil"/>
              <w:bottom w:val="single" w:color="auto" w:sz="4" w:space="0"/>
              <w:right w:val="single" w:color="auto" w:sz="4" w:space="0"/>
            </w:tcBorders>
            <w:noWrap w:val="0"/>
            <w:vAlign w:val="center"/>
          </w:tcPr>
          <w:p w14:paraId="0B5DB717">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发现未及时补充每处扣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6080821F">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47468E21">
            <w:pPr>
              <w:spacing w:line="360" w:lineRule="exact"/>
              <w:jc w:val="center"/>
              <w:rPr>
                <w:rFonts w:ascii="仿宋" w:hAnsi="仿宋" w:eastAsia="仿宋" w:cs="仿宋"/>
                <w:color w:val="000000"/>
                <w:kern w:val="0"/>
                <w:szCs w:val="21"/>
                <w:highlight w:val="none"/>
              </w:rPr>
            </w:pPr>
          </w:p>
        </w:tc>
      </w:tr>
      <w:tr w14:paraId="48755D66">
        <w:tblPrEx>
          <w:tblCellMar>
            <w:top w:w="0" w:type="dxa"/>
            <w:left w:w="108" w:type="dxa"/>
            <w:bottom w:w="0" w:type="dxa"/>
            <w:right w:w="108" w:type="dxa"/>
          </w:tblCellMar>
        </w:tblPrEx>
        <w:trPr>
          <w:gridBefore w:val="1"/>
          <w:wBefore w:w="146" w:type="dxa"/>
          <w:trHeight w:val="931" w:hRule="atLeast"/>
          <w:jc w:val="center"/>
        </w:trPr>
        <w:tc>
          <w:tcPr>
            <w:tcW w:w="737" w:type="dxa"/>
            <w:vMerge w:val="continue"/>
            <w:tcBorders>
              <w:left w:val="single" w:color="auto" w:sz="4" w:space="0"/>
              <w:right w:val="single" w:color="auto" w:sz="4" w:space="0"/>
            </w:tcBorders>
            <w:noWrap w:val="0"/>
            <w:vAlign w:val="center"/>
          </w:tcPr>
          <w:p w14:paraId="6A80C1B6">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0B2A3316">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外场地面干净，无明显垃圾、落叶，无积水，绿地无纸屑杂物，水沟无杂物无堵塞无异味</w:t>
            </w:r>
          </w:p>
        </w:tc>
        <w:tc>
          <w:tcPr>
            <w:tcW w:w="2963" w:type="dxa"/>
            <w:tcBorders>
              <w:top w:val="nil"/>
              <w:left w:val="nil"/>
              <w:bottom w:val="single" w:color="auto" w:sz="4" w:space="0"/>
              <w:right w:val="single" w:color="auto" w:sz="4" w:space="0"/>
            </w:tcBorders>
            <w:noWrap w:val="0"/>
            <w:vAlign w:val="center"/>
          </w:tcPr>
          <w:p w14:paraId="5458FD69">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发现大宗垃圾，每处扣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56FD613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2B4DC976">
            <w:pPr>
              <w:spacing w:line="360" w:lineRule="exact"/>
              <w:jc w:val="center"/>
              <w:rPr>
                <w:rFonts w:ascii="仿宋" w:hAnsi="仿宋" w:eastAsia="仿宋" w:cs="仿宋"/>
                <w:color w:val="000000"/>
                <w:kern w:val="0"/>
                <w:szCs w:val="21"/>
                <w:highlight w:val="none"/>
              </w:rPr>
            </w:pPr>
          </w:p>
        </w:tc>
      </w:tr>
      <w:tr w14:paraId="11A07A21">
        <w:tblPrEx>
          <w:tblCellMar>
            <w:top w:w="0" w:type="dxa"/>
            <w:left w:w="108" w:type="dxa"/>
            <w:bottom w:w="0" w:type="dxa"/>
            <w:right w:w="108" w:type="dxa"/>
          </w:tblCellMar>
        </w:tblPrEx>
        <w:trPr>
          <w:gridBefore w:val="1"/>
          <w:wBefore w:w="146" w:type="dxa"/>
          <w:trHeight w:val="702" w:hRule="atLeast"/>
          <w:jc w:val="center"/>
        </w:trPr>
        <w:tc>
          <w:tcPr>
            <w:tcW w:w="737" w:type="dxa"/>
            <w:vMerge w:val="continue"/>
            <w:tcBorders>
              <w:left w:val="single" w:color="auto" w:sz="4" w:space="0"/>
              <w:right w:val="single" w:color="auto" w:sz="4" w:space="0"/>
            </w:tcBorders>
            <w:noWrap w:val="0"/>
            <w:vAlign w:val="center"/>
          </w:tcPr>
          <w:p w14:paraId="6C77A29F">
            <w:pPr>
              <w:widowControl/>
              <w:spacing w:line="360" w:lineRule="exact"/>
              <w:jc w:val="center"/>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593E4654">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无枯萎现象,无病变、无虫害,应及时修剪绿枝、清除杂生植物,保持良好的景观效果</w:t>
            </w:r>
          </w:p>
        </w:tc>
        <w:tc>
          <w:tcPr>
            <w:tcW w:w="2963" w:type="dxa"/>
            <w:tcBorders>
              <w:top w:val="nil"/>
              <w:left w:val="nil"/>
              <w:bottom w:val="single" w:color="auto" w:sz="4" w:space="0"/>
              <w:right w:val="single" w:color="auto" w:sz="4" w:space="0"/>
            </w:tcBorders>
            <w:noWrap w:val="0"/>
            <w:vAlign w:val="center"/>
          </w:tcPr>
          <w:p w14:paraId="5CC34CFB">
            <w:pPr>
              <w:keepNext w:val="0"/>
              <w:keepLines w:val="0"/>
              <w:pageBreakBefore w:val="0"/>
              <w:widowControl/>
              <w:kinsoku/>
              <w:wordWrap/>
              <w:overflowPunct/>
              <w:topLinePunct w:val="0"/>
              <w:autoSpaceDE/>
              <w:autoSpaceDN/>
              <w:bidi w:val="0"/>
              <w:adjustRightInd/>
              <w:snapToGrid/>
              <w:spacing w:line="320" w:lineRule="exac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若未执行，一次扣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4" w:space="0"/>
              <w:right w:val="single" w:color="auto" w:sz="4" w:space="0"/>
            </w:tcBorders>
            <w:noWrap w:val="0"/>
            <w:vAlign w:val="center"/>
          </w:tcPr>
          <w:p w14:paraId="305F03A3">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A249ED0">
            <w:pPr>
              <w:widowControl/>
              <w:spacing w:line="360" w:lineRule="exact"/>
              <w:jc w:val="center"/>
              <w:rPr>
                <w:rFonts w:ascii="仿宋" w:hAnsi="仿宋" w:eastAsia="仿宋" w:cs="仿宋"/>
                <w:color w:val="000000"/>
                <w:kern w:val="0"/>
                <w:szCs w:val="21"/>
                <w:highlight w:val="none"/>
              </w:rPr>
            </w:pPr>
          </w:p>
        </w:tc>
      </w:tr>
      <w:tr w14:paraId="5F7C4514">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5AEF32D8">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01F1958C">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人员岗位设置必须符合甲方招标需求</w:t>
            </w:r>
          </w:p>
        </w:tc>
        <w:tc>
          <w:tcPr>
            <w:tcW w:w="2963" w:type="dxa"/>
            <w:tcBorders>
              <w:top w:val="single" w:color="auto" w:sz="8" w:space="0"/>
              <w:left w:val="nil"/>
              <w:bottom w:val="single" w:color="auto" w:sz="4" w:space="0"/>
              <w:right w:val="single" w:color="auto" w:sz="4" w:space="0"/>
            </w:tcBorders>
            <w:noWrap w:val="0"/>
            <w:vAlign w:val="center"/>
          </w:tcPr>
          <w:p w14:paraId="2EAC68A7">
            <w:pPr>
              <w:widowControl/>
              <w:spacing w:line="400" w:lineRule="exact"/>
              <w:jc w:val="left"/>
              <w:rPr>
                <w:rFonts w:hint="default" w:ascii="仿宋" w:hAnsi="仿宋" w:eastAsia="仿宋" w:cs="仿宋"/>
                <w:color w:val="auto"/>
                <w:kern w:val="0"/>
                <w:szCs w:val="21"/>
                <w:highlight w:val="none"/>
                <w:lang w:val="en-US" w:eastAsia="zh-CN"/>
              </w:rPr>
            </w:pPr>
            <w:r>
              <w:rPr>
                <w:rFonts w:hint="eastAsia" w:ascii="仿宋" w:hAnsi="仿宋" w:eastAsia="仿宋" w:cs="仿宋"/>
                <w:color w:val="auto"/>
                <w:kern w:val="0"/>
                <w:szCs w:val="21"/>
                <w:highlight w:val="none"/>
                <w:lang w:eastAsia="zh-CN"/>
              </w:rPr>
              <w:t>不符合的，每个岗位扣</w:t>
            </w:r>
            <w:r>
              <w:rPr>
                <w:rFonts w:hint="eastAsia" w:ascii="仿宋" w:hAnsi="仿宋" w:eastAsia="仿宋" w:cs="仿宋"/>
                <w:color w:val="auto"/>
                <w:kern w:val="0"/>
                <w:szCs w:val="21"/>
                <w:highlight w:val="none"/>
                <w:lang w:val="en-US" w:eastAsia="zh-CN"/>
              </w:rPr>
              <w:t>3分</w:t>
            </w:r>
          </w:p>
        </w:tc>
        <w:tc>
          <w:tcPr>
            <w:tcW w:w="825" w:type="dxa"/>
            <w:tcBorders>
              <w:top w:val="single" w:color="auto" w:sz="8" w:space="0"/>
              <w:left w:val="single" w:color="auto" w:sz="4" w:space="0"/>
              <w:bottom w:val="single" w:color="auto" w:sz="4" w:space="0"/>
              <w:right w:val="single" w:color="auto" w:sz="4" w:space="0"/>
            </w:tcBorders>
            <w:noWrap w:val="0"/>
            <w:vAlign w:val="center"/>
          </w:tcPr>
          <w:p w14:paraId="53A3B384">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3A9DDB46">
            <w:pPr>
              <w:widowControl/>
              <w:spacing w:line="360" w:lineRule="exact"/>
              <w:jc w:val="center"/>
              <w:rPr>
                <w:rFonts w:ascii="仿宋" w:hAnsi="仿宋" w:eastAsia="仿宋" w:cs="仿宋"/>
                <w:color w:val="000000"/>
                <w:kern w:val="0"/>
                <w:szCs w:val="21"/>
                <w:highlight w:val="none"/>
              </w:rPr>
            </w:pPr>
          </w:p>
        </w:tc>
      </w:tr>
      <w:tr w14:paraId="43FE09FC">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0181D677">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227278A4">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 w:val="24"/>
                <w:szCs w:val="21"/>
                <w:highlight w:val="none"/>
                <w:lang w:val="en-US" w:eastAsia="zh-CN" w:bidi="ar-SA"/>
              </w:rPr>
            </w:pPr>
            <w:r>
              <w:rPr>
                <w:rFonts w:hint="eastAsia" w:ascii="仿宋" w:hAnsi="仿宋" w:eastAsia="仿宋" w:cs="仿宋"/>
                <w:color w:val="000000"/>
                <w:kern w:val="0"/>
                <w:szCs w:val="21"/>
                <w:highlight w:val="none"/>
                <w:lang w:val="en-US" w:eastAsia="zh-CN"/>
              </w:rPr>
              <w:t>建立人员储备机制，物业服务人员缺少或不符合要求的应在规定时间内替换到位（5个工作日）</w:t>
            </w:r>
          </w:p>
        </w:tc>
        <w:tc>
          <w:tcPr>
            <w:tcW w:w="2963" w:type="dxa"/>
            <w:tcBorders>
              <w:top w:val="single" w:color="auto" w:sz="8" w:space="0"/>
              <w:left w:val="nil"/>
              <w:bottom w:val="single" w:color="auto" w:sz="4" w:space="0"/>
              <w:right w:val="single" w:color="auto" w:sz="4" w:space="0"/>
            </w:tcBorders>
            <w:noWrap w:val="0"/>
            <w:vAlign w:val="center"/>
          </w:tcPr>
          <w:p w14:paraId="56287516">
            <w:pPr>
              <w:widowControl/>
              <w:spacing w:line="400" w:lineRule="exact"/>
              <w:jc w:val="left"/>
              <w:rPr>
                <w:rFonts w:hint="default"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lang w:eastAsia="zh-CN"/>
              </w:rPr>
              <w:t>超过规定时间</w:t>
            </w:r>
            <w:r>
              <w:rPr>
                <w:rFonts w:hint="eastAsia" w:ascii="仿宋" w:hAnsi="仿宋" w:eastAsia="仿宋" w:cs="仿宋"/>
                <w:color w:val="auto"/>
                <w:kern w:val="0"/>
                <w:szCs w:val="21"/>
                <w:highlight w:val="none"/>
                <w:lang w:val="en-US" w:eastAsia="zh-CN"/>
              </w:rPr>
              <w:t>的，管理岗位每天</w:t>
            </w:r>
            <w:r>
              <w:rPr>
                <w:rFonts w:hint="eastAsia" w:ascii="仿宋" w:hAnsi="仿宋" w:eastAsia="仿宋" w:cs="仿宋"/>
                <w:color w:val="auto"/>
                <w:kern w:val="0"/>
                <w:szCs w:val="21"/>
                <w:highlight w:val="none"/>
              </w:rPr>
              <w:t>每人次扣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8" w:space="0"/>
              <w:left w:val="single" w:color="auto" w:sz="4" w:space="0"/>
              <w:bottom w:val="single" w:color="auto" w:sz="4" w:space="0"/>
              <w:right w:val="single" w:color="auto" w:sz="4" w:space="0"/>
            </w:tcBorders>
            <w:noWrap w:val="0"/>
            <w:vAlign w:val="center"/>
          </w:tcPr>
          <w:p w14:paraId="551B99D6">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1EDF94B9">
            <w:pPr>
              <w:widowControl/>
              <w:spacing w:line="360" w:lineRule="exact"/>
              <w:jc w:val="center"/>
              <w:rPr>
                <w:rFonts w:ascii="仿宋" w:hAnsi="仿宋" w:eastAsia="仿宋" w:cs="仿宋"/>
                <w:color w:val="000000"/>
                <w:kern w:val="0"/>
                <w:szCs w:val="21"/>
                <w:highlight w:val="none"/>
              </w:rPr>
            </w:pPr>
          </w:p>
        </w:tc>
      </w:tr>
      <w:tr w14:paraId="2ABCFCF2">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0049C798">
            <w:pPr>
              <w:widowControl/>
              <w:spacing w:line="360" w:lineRule="exact"/>
              <w:jc w:val="center"/>
              <w:rPr>
                <w:rFonts w:hint="eastAsia" w:ascii="仿宋" w:hAnsi="仿宋" w:eastAsia="仿宋" w:cs="仿宋"/>
                <w:color w:val="000000"/>
                <w:kern w:val="0"/>
                <w:sz w:val="28"/>
                <w:szCs w:val="28"/>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77BF4FFC">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Cs w:val="21"/>
                <w:highlight w:val="none"/>
                <w:lang w:val="en-US" w:eastAsia="zh-CN"/>
              </w:rPr>
            </w:pPr>
            <w:r>
              <w:rPr>
                <w:rFonts w:hint="eastAsia" w:ascii="仿宋" w:hAnsi="仿宋" w:eastAsia="仿宋" w:cs="仿宋"/>
                <w:color w:val="000000"/>
                <w:kern w:val="0"/>
                <w:szCs w:val="21"/>
                <w:highlight w:val="none"/>
                <w:lang w:val="en-US" w:eastAsia="zh-CN"/>
              </w:rPr>
              <w:t>保持重要岗位人员稳定性，</w:t>
            </w:r>
            <w:r>
              <w:rPr>
                <w:rFonts w:hint="eastAsia" w:ascii="仿宋" w:hAnsi="仿宋" w:eastAsia="仿宋" w:cs="仿宋"/>
                <w:kern w:val="0"/>
                <w:szCs w:val="21"/>
                <w:highlight w:val="none"/>
                <w:lang w:eastAsia="zh-CN"/>
              </w:rPr>
              <w:t>重要岗位</w:t>
            </w:r>
            <w:r>
              <w:rPr>
                <w:rFonts w:hint="eastAsia" w:ascii="仿宋" w:hAnsi="仿宋" w:eastAsia="仿宋" w:cs="仿宋"/>
                <w:kern w:val="0"/>
                <w:szCs w:val="21"/>
                <w:highlight w:val="none"/>
              </w:rPr>
              <w:t>物业人员发生变化必须提前向甲方</w:t>
            </w:r>
            <w:r>
              <w:rPr>
                <w:rFonts w:hint="eastAsia" w:ascii="仿宋" w:hAnsi="仿宋" w:eastAsia="仿宋" w:cs="仿宋"/>
                <w:kern w:val="0"/>
                <w:szCs w:val="21"/>
                <w:highlight w:val="none"/>
                <w:lang w:eastAsia="zh-CN"/>
              </w:rPr>
              <w:t>书面</w:t>
            </w:r>
            <w:r>
              <w:rPr>
                <w:rFonts w:hint="eastAsia" w:ascii="仿宋" w:hAnsi="仿宋" w:eastAsia="仿宋" w:cs="仿宋"/>
                <w:kern w:val="0"/>
                <w:szCs w:val="21"/>
                <w:highlight w:val="none"/>
              </w:rPr>
              <w:t>报备</w:t>
            </w:r>
          </w:p>
        </w:tc>
        <w:tc>
          <w:tcPr>
            <w:tcW w:w="2963" w:type="dxa"/>
            <w:tcBorders>
              <w:top w:val="single" w:color="auto" w:sz="4" w:space="0"/>
              <w:left w:val="nil"/>
              <w:bottom w:val="single" w:color="auto" w:sz="4" w:space="0"/>
              <w:right w:val="single" w:color="auto" w:sz="4" w:space="0"/>
            </w:tcBorders>
            <w:noWrap w:val="0"/>
            <w:vAlign w:val="center"/>
          </w:tcPr>
          <w:p w14:paraId="69ED409A">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default" w:ascii="仿宋" w:hAnsi="仿宋" w:eastAsia="仿宋" w:cs="仿宋"/>
                <w:color w:val="000000"/>
                <w:kern w:val="0"/>
                <w:szCs w:val="21"/>
                <w:highlight w:val="none"/>
                <w:lang w:val="en-US" w:eastAsia="zh-CN"/>
              </w:rPr>
            </w:pPr>
            <w:r>
              <w:rPr>
                <w:rFonts w:hint="eastAsia" w:ascii="仿宋" w:hAnsi="仿宋" w:eastAsia="仿宋" w:cs="仿宋"/>
                <w:color w:val="auto"/>
                <w:kern w:val="0"/>
                <w:szCs w:val="21"/>
                <w:highlight w:val="none"/>
              </w:rPr>
              <w:t>擅自</w:t>
            </w:r>
            <w:r>
              <w:rPr>
                <w:rFonts w:hint="eastAsia" w:ascii="仿宋" w:hAnsi="仿宋" w:eastAsia="仿宋" w:cs="仿宋"/>
                <w:color w:val="auto"/>
                <w:kern w:val="0"/>
                <w:szCs w:val="21"/>
                <w:highlight w:val="none"/>
                <w:lang w:eastAsia="zh-CN"/>
              </w:rPr>
              <w:t>更换</w:t>
            </w:r>
            <w:r>
              <w:rPr>
                <w:rFonts w:hint="eastAsia" w:ascii="仿宋" w:hAnsi="仿宋" w:eastAsia="仿宋" w:cs="仿宋"/>
                <w:color w:val="auto"/>
                <w:kern w:val="0"/>
                <w:szCs w:val="21"/>
                <w:highlight w:val="none"/>
              </w:rPr>
              <w:t>管理人员，每次扣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7B259BE3">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40757EB0">
            <w:pPr>
              <w:widowControl/>
              <w:spacing w:line="360" w:lineRule="exact"/>
              <w:jc w:val="center"/>
              <w:rPr>
                <w:rFonts w:ascii="仿宋" w:hAnsi="仿宋" w:eastAsia="仿宋" w:cs="仿宋"/>
                <w:color w:val="000000"/>
                <w:kern w:val="0"/>
                <w:szCs w:val="21"/>
                <w:highlight w:val="none"/>
              </w:rPr>
            </w:pPr>
          </w:p>
        </w:tc>
      </w:tr>
      <w:tr w14:paraId="651002FE">
        <w:tblPrEx>
          <w:tblCellMar>
            <w:top w:w="0" w:type="dxa"/>
            <w:left w:w="108" w:type="dxa"/>
            <w:bottom w:w="0" w:type="dxa"/>
            <w:right w:w="108" w:type="dxa"/>
          </w:tblCellMar>
        </w:tblPrEx>
        <w:trPr>
          <w:gridBefore w:val="1"/>
          <w:wBefore w:w="146" w:type="dxa"/>
          <w:trHeight w:val="561" w:hRule="atLeast"/>
          <w:jc w:val="center"/>
        </w:trPr>
        <w:tc>
          <w:tcPr>
            <w:tcW w:w="737" w:type="dxa"/>
            <w:vMerge w:val="continue"/>
            <w:tcBorders>
              <w:left w:val="single" w:color="auto" w:sz="4" w:space="0"/>
              <w:right w:val="single" w:color="auto" w:sz="4" w:space="0"/>
            </w:tcBorders>
            <w:noWrap w:val="0"/>
            <w:vAlign w:val="center"/>
          </w:tcPr>
          <w:p w14:paraId="48E6FB2C">
            <w:pPr>
              <w:widowControl/>
              <w:spacing w:line="360" w:lineRule="exact"/>
              <w:jc w:val="center"/>
              <w:rPr>
                <w:rFonts w:hint="eastAsia" w:ascii="仿宋" w:hAnsi="仿宋" w:eastAsia="仿宋" w:cs="仿宋"/>
                <w:color w:val="000000"/>
                <w:kern w:val="0"/>
                <w:sz w:val="28"/>
                <w:szCs w:val="28"/>
                <w:highlight w:val="none"/>
              </w:rPr>
            </w:pPr>
          </w:p>
        </w:tc>
        <w:tc>
          <w:tcPr>
            <w:tcW w:w="3425" w:type="dxa"/>
            <w:tcBorders>
              <w:top w:val="single" w:color="auto" w:sz="8" w:space="0"/>
              <w:left w:val="nil"/>
              <w:bottom w:val="single" w:color="auto" w:sz="4" w:space="0"/>
              <w:right w:val="single" w:color="auto" w:sz="4" w:space="0"/>
            </w:tcBorders>
            <w:noWrap w:val="0"/>
            <w:vAlign w:val="center"/>
          </w:tcPr>
          <w:p w14:paraId="28705B03">
            <w:pPr>
              <w:widowControl/>
              <w:spacing w:line="400" w:lineRule="exact"/>
              <w:jc w:val="left"/>
              <w:rPr>
                <w:rFonts w:hint="eastAsia" w:ascii="仿宋" w:hAnsi="仿宋" w:eastAsia="仿宋" w:cs="仿宋"/>
                <w:color w:val="000000"/>
                <w:kern w:val="0"/>
                <w:sz w:val="24"/>
                <w:szCs w:val="21"/>
                <w:highlight w:val="none"/>
                <w:lang w:val="en-US" w:eastAsia="zh-CN" w:bidi="ar-SA"/>
              </w:rPr>
            </w:pPr>
            <w:r>
              <w:rPr>
                <w:rFonts w:hint="eastAsia" w:ascii="仿宋" w:hAnsi="仿宋" w:eastAsia="仿宋" w:cs="仿宋"/>
                <w:color w:val="000000"/>
                <w:kern w:val="0"/>
                <w:szCs w:val="21"/>
                <w:highlight w:val="none"/>
              </w:rPr>
              <w:t>员工统一着装，持证挂牌上岗</w:t>
            </w:r>
            <w:r>
              <w:rPr>
                <w:rFonts w:hint="eastAsia" w:ascii="仿宋" w:hAnsi="仿宋" w:eastAsia="仿宋" w:cs="仿宋"/>
                <w:color w:val="000000"/>
                <w:kern w:val="0"/>
                <w:szCs w:val="21"/>
                <w:highlight w:val="none"/>
                <w:lang w:eastAsia="zh-CN"/>
              </w:rPr>
              <w:t>，保持良好的形象和服务态度</w:t>
            </w:r>
          </w:p>
        </w:tc>
        <w:tc>
          <w:tcPr>
            <w:tcW w:w="2963" w:type="dxa"/>
            <w:tcBorders>
              <w:top w:val="single" w:color="auto" w:sz="4" w:space="0"/>
              <w:left w:val="nil"/>
              <w:bottom w:val="single" w:color="auto" w:sz="4" w:space="0"/>
              <w:right w:val="single" w:color="auto" w:sz="4" w:space="0"/>
            </w:tcBorders>
            <w:noWrap w:val="0"/>
            <w:vAlign w:val="center"/>
          </w:tcPr>
          <w:p w14:paraId="384DC713">
            <w:pPr>
              <w:widowControl/>
              <w:spacing w:line="400" w:lineRule="exact"/>
              <w:jc w:val="left"/>
              <w:rPr>
                <w:rFonts w:hint="eastAsia"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rPr>
              <w:t>不符合的，每人次扣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4005E330">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54496336">
            <w:pPr>
              <w:widowControl/>
              <w:spacing w:line="360" w:lineRule="exact"/>
              <w:jc w:val="center"/>
              <w:rPr>
                <w:rFonts w:ascii="仿宋" w:hAnsi="仿宋" w:eastAsia="仿宋" w:cs="仿宋"/>
                <w:color w:val="000000"/>
                <w:kern w:val="0"/>
                <w:szCs w:val="21"/>
                <w:highlight w:val="none"/>
              </w:rPr>
            </w:pPr>
          </w:p>
        </w:tc>
      </w:tr>
      <w:tr w14:paraId="0ED4B003">
        <w:tblPrEx>
          <w:tblCellMar>
            <w:top w:w="0" w:type="dxa"/>
            <w:left w:w="108" w:type="dxa"/>
            <w:bottom w:w="0" w:type="dxa"/>
            <w:right w:w="108" w:type="dxa"/>
          </w:tblCellMar>
        </w:tblPrEx>
        <w:trPr>
          <w:gridBefore w:val="1"/>
          <w:wBefore w:w="146" w:type="dxa"/>
          <w:trHeight w:val="90" w:hRule="atLeast"/>
          <w:jc w:val="center"/>
        </w:trPr>
        <w:tc>
          <w:tcPr>
            <w:tcW w:w="737" w:type="dxa"/>
            <w:vMerge w:val="continue"/>
            <w:tcBorders>
              <w:left w:val="single" w:color="auto" w:sz="4" w:space="0"/>
              <w:right w:val="single" w:color="auto" w:sz="4" w:space="0"/>
            </w:tcBorders>
            <w:noWrap w:val="0"/>
            <w:vAlign w:val="center"/>
          </w:tcPr>
          <w:p w14:paraId="6E4B88DE">
            <w:pPr>
              <w:widowControl/>
              <w:spacing w:line="360" w:lineRule="exact"/>
              <w:jc w:val="center"/>
              <w:rPr>
                <w:rFonts w:ascii="仿宋" w:hAnsi="仿宋" w:eastAsia="仿宋" w:cs="仿宋"/>
                <w:color w:val="000000"/>
                <w:kern w:val="0"/>
                <w:szCs w:val="21"/>
                <w:highlight w:val="none"/>
              </w:rPr>
            </w:pPr>
          </w:p>
        </w:tc>
        <w:tc>
          <w:tcPr>
            <w:tcW w:w="3425" w:type="dxa"/>
            <w:tcBorders>
              <w:top w:val="single" w:color="auto" w:sz="4" w:space="0"/>
              <w:left w:val="nil"/>
              <w:bottom w:val="single" w:color="auto" w:sz="4" w:space="0"/>
              <w:right w:val="single" w:color="auto" w:sz="4" w:space="0"/>
            </w:tcBorders>
            <w:noWrap w:val="0"/>
            <w:vAlign w:val="center"/>
          </w:tcPr>
          <w:p w14:paraId="0B32B2BE">
            <w:pPr>
              <w:widowControl/>
              <w:spacing w:line="400" w:lineRule="exact"/>
              <w:jc w:val="left"/>
              <w:rPr>
                <w:rFonts w:hint="eastAsia" w:ascii="仿宋" w:hAnsi="仿宋" w:eastAsia="仿宋" w:cs="仿宋"/>
                <w:color w:val="000000"/>
                <w:kern w:val="0"/>
                <w:sz w:val="24"/>
                <w:szCs w:val="21"/>
                <w:highlight w:val="none"/>
                <w:lang w:val="en-US" w:eastAsia="zh-CN" w:bidi="ar-SA"/>
              </w:rPr>
            </w:pPr>
            <w:r>
              <w:rPr>
                <w:rFonts w:hint="default" w:ascii="仿宋" w:hAnsi="仿宋" w:eastAsia="仿宋" w:cs="仿宋"/>
                <w:color w:val="000000"/>
                <w:kern w:val="0"/>
                <w:szCs w:val="21"/>
                <w:highlight w:val="none"/>
                <w:lang w:val="en-US" w:eastAsia="zh-CN"/>
              </w:rPr>
              <w:t>建立规范的考勤制度，要求物业人员严格遵守。物业人员不得无故缺勤或脱岗。</w:t>
            </w:r>
          </w:p>
        </w:tc>
        <w:tc>
          <w:tcPr>
            <w:tcW w:w="2963" w:type="dxa"/>
            <w:tcBorders>
              <w:top w:val="single" w:color="auto" w:sz="4" w:space="0"/>
              <w:left w:val="nil"/>
              <w:bottom w:val="single" w:color="auto" w:sz="4" w:space="0"/>
              <w:right w:val="single" w:color="auto" w:sz="4" w:space="0"/>
            </w:tcBorders>
            <w:noWrap w:val="0"/>
            <w:vAlign w:val="center"/>
          </w:tcPr>
          <w:p w14:paraId="5C66C544">
            <w:pPr>
              <w:widowControl/>
              <w:spacing w:line="400" w:lineRule="exact"/>
              <w:jc w:val="left"/>
              <w:rPr>
                <w:rFonts w:hint="eastAsia" w:ascii="仿宋" w:hAnsi="仿宋" w:eastAsia="仿宋" w:cs="仿宋"/>
                <w:color w:val="auto"/>
                <w:kern w:val="0"/>
                <w:sz w:val="24"/>
                <w:szCs w:val="21"/>
                <w:highlight w:val="none"/>
                <w:lang w:val="en-US" w:eastAsia="zh-CN" w:bidi="ar-SA"/>
              </w:rPr>
            </w:pPr>
            <w:r>
              <w:rPr>
                <w:rFonts w:hint="eastAsia" w:ascii="仿宋" w:hAnsi="仿宋" w:eastAsia="仿宋" w:cs="仿宋"/>
                <w:color w:val="auto"/>
                <w:kern w:val="0"/>
                <w:szCs w:val="21"/>
                <w:highlight w:val="none"/>
              </w:rPr>
              <w:t>发现一次扣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22C60DB6">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12F08B79">
            <w:pPr>
              <w:widowControl/>
              <w:spacing w:line="360" w:lineRule="exact"/>
              <w:jc w:val="center"/>
              <w:rPr>
                <w:rFonts w:ascii="仿宋" w:hAnsi="仿宋" w:eastAsia="仿宋" w:cs="仿宋"/>
                <w:color w:val="000000"/>
                <w:kern w:val="0"/>
                <w:szCs w:val="21"/>
                <w:highlight w:val="none"/>
              </w:rPr>
            </w:pPr>
          </w:p>
        </w:tc>
      </w:tr>
      <w:tr w14:paraId="16B6F7B1">
        <w:tblPrEx>
          <w:tblCellMar>
            <w:top w:w="0" w:type="dxa"/>
            <w:left w:w="108" w:type="dxa"/>
            <w:bottom w:w="0" w:type="dxa"/>
            <w:right w:w="108" w:type="dxa"/>
          </w:tblCellMar>
        </w:tblPrEx>
        <w:trPr>
          <w:gridBefore w:val="1"/>
          <w:wBefore w:w="146" w:type="dxa"/>
          <w:trHeight w:val="660" w:hRule="atLeast"/>
          <w:jc w:val="center"/>
        </w:trPr>
        <w:tc>
          <w:tcPr>
            <w:tcW w:w="737" w:type="dxa"/>
            <w:vMerge w:val="continue"/>
            <w:tcBorders>
              <w:left w:val="single" w:color="auto" w:sz="4" w:space="0"/>
              <w:right w:val="single" w:color="auto" w:sz="4" w:space="0"/>
            </w:tcBorders>
            <w:noWrap w:val="0"/>
            <w:vAlign w:val="center"/>
          </w:tcPr>
          <w:p w14:paraId="324B19D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1806F107">
            <w:pPr>
              <w:widowControl/>
              <w:spacing w:line="400" w:lineRule="exact"/>
              <w:rPr>
                <w:rFonts w:hint="eastAsia" w:ascii="仿宋" w:hAnsi="仿宋" w:eastAsia="仿宋" w:cs="仿宋"/>
                <w:color w:val="000000"/>
                <w:kern w:val="0"/>
                <w:szCs w:val="21"/>
                <w:highlight w:val="none"/>
                <w:lang w:eastAsia="zh-CN"/>
              </w:rPr>
            </w:pPr>
            <w:r>
              <w:rPr>
                <w:rFonts w:hint="eastAsia" w:ascii="仿宋" w:hAnsi="仿宋" w:eastAsia="仿宋" w:cs="仿宋"/>
                <w:color w:val="000000"/>
                <w:kern w:val="0"/>
                <w:szCs w:val="21"/>
                <w:highlight w:val="none"/>
              </w:rPr>
              <w:t>物业人员</w:t>
            </w:r>
            <w:r>
              <w:rPr>
                <w:rFonts w:hint="eastAsia" w:ascii="仿宋" w:hAnsi="仿宋" w:eastAsia="仿宋" w:cs="仿宋"/>
                <w:color w:val="000000"/>
                <w:kern w:val="0"/>
                <w:szCs w:val="21"/>
                <w:highlight w:val="none"/>
                <w:lang w:eastAsia="zh-CN"/>
              </w:rPr>
              <w:t>工作</w:t>
            </w:r>
            <w:r>
              <w:rPr>
                <w:rFonts w:hint="eastAsia" w:ascii="仿宋" w:hAnsi="仿宋" w:eastAsia="仿宋" w:cs="仿宋"/>
                <w:color w:val="000000"/>
                <w:kern w:val="0"/>
                <w:szCs w:val="21"/>
                <w:highlight w:val="none"/>
              </w:rPr>
              <w:t>期间，</w:t>
            </w:r>
            <w:r>
              <w:rPr>
                <w:rFonts w:hint="eastAsia" w:ascii="仿宋" w:hAnsi="仿宋" w:eastAsia="仿宋" w:cs="仿宋"/>
                <w:color w:val="000000"/>
                <w:kern w:val="0"/>
                <w:szCs w:val="21"/>
                <w:highlight w:val="none"/>
                <w:lang w:eastAsia="zh-CN"/>
              </w:rPr>
              <w:t>严禁无故串岗，</w:t>
            </w:r>
            <w:r>
              <w:rPr>
                <w:rFonts w:hint="eastAsia" w:ascii="仿宋" w:hAnsi="仿宋" w:eastAsia="仿宋" w:cs="仿宋"/>
                <w:color w:val="000000"/>
                <w:kern w:val="0"/>
                <w:szCs w:val="21"/>
                <w:highlight w:val="none"/>
              </w:rPr>
              <w:t>严禁玩手机、瞌睡、闲聊</w:t>
            </w:r>
            <w:r>
              <w:rPr>
                <w:rFonts w:hint="eastAsia" w:ascii="仿宋" w:hAnsi="仿宋" w:eastAsia="仿宋" w:cs="仿宋"/>
                <w:color w:val="000000"/>
                <w:kern w:val="0"/>
                <w:szCs w:val="21"/>
                <w:highlight w:val="none"/>
                <w:lang w:eastAsia="zh-CN"/>
              </w:rPr>
              <w:t>和做</w:t>
            </w:r>
            <w:r>
              <w:rPr>
                <w:rFonts w:hint="eastAsia" w:ascii="仿宋" w:hAnsi="仿宋" w:eastAsia="仿宋" w:cs="仿宋"/>
                <w:color w:val="000000"/>
                <w:kern w:val="0"/>
                <w:szCs w:val="21"/>
                <w:highlight w:val="none"/>
              </w:rPr>
              <w:t>与工作无关的事</w:t>
            </w:r>
          </w:p>
        </w:tc>
        <w:tc>
          <w:tcPr>
            <w:tcW w:w="2963" w:type="dxa"/>
            <w:tcBorders>
              <w:top w:val="nil"/>
              <w:left w:val="nil"/>
              <w:bottom w:val="single" w:color="auto" w:sz="4" w:space="0"/>
              <w:right w:val="single" w:color="auto" w:sz="4" w:space="0"/>
            </w:tcBorders>
            <w:noWrap w:val="0"/>
            <w:vAlign w:val="center"/>
          </w:tcPr>
          <w:p w14:paraId="072C34F6">
            <w:pPr>
              <w:widowControl/>
              <w:spacing w:line="400" w:lineRule="exact"/>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发现一次扣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31059092">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778B5C1F">
            <w:pPr>
              <w:widowControl/>
              <w:spacing w:line="360" w:lineRule="exact"/>
              <w:jc w:val="left"/>
              <w:rPr>
                <w:rFonts w:ascii="仿宋" w:hAnsi="仿宋" w:eastAsia="仿宋" w:cs="仿宋"/>
                <w:color w:val="000000"/>
                <w:kern w:val="0"/>
                <w:szCs w:val="21"/>
                <w:highlight w:val="none"/>
              </w:rPr>
            </w:pPr>
          </w:p>
        </w:tc>
      </w:tr>
      <w:tr w14:paraId="52C372E3">
        <w:tblPrEx>
          <w:tblCellMar>
            <w:top w:w="0" w:type="dxa"/>
            <w:left w:w="108" w:type="dxa"/>
            <w:bottom w:w="0" w:type="dxa"/>
            <w:right w:w="108" w:type="dxa"/>
          </w:tblCellMar>
        </w:tblPrEx>
        <w:trPr>
          <w:gridBefore w:val="1"/>
          <w:wBefore w:w="146" w:type="dxa"/>
          <w:trHeight w:val="660" w:hRule="atLeast"/>
          <w:jc w:val="center"/>
        </w:trPr>
        <w:tc>
          <w:tcPr>
            <w:tcW w:w="737" w:type="dxa"/>
            <w:vMerge w:val="continue"/>
            <w:tcBorders>
              <w:left w:val="single" w:color="auto" w:sz="4" w:space="0"/>
              <w:right w:val="single" w:color="auto" w:sz="4" w:space="0"/>
            </w:tcBorders>
            <w:noWrap w:val="0"/>
            <w:vAlign w:val="center"/>
          </w:tcPr>
          <w:p w14:paraId="1195DE47">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243772AD">
            <w:pPr>
              <w:widowControl/>
              <w:spacing w:line="40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服务人员上岗前必须接受岗位培训</w:t>
            </w:r>
          </w:p>
        </w:tc>
        <w:tc>
          <w:tcPr>
            <w:tcW w:w="2963" w:type="dxa"/>
            <w:tcBorders>
              <w:top w:val="nil"/>
              <w:left w:val="nil"/>
              <w:bottom w:val="single" w:color="auto" w:sz="4" w:space="0"/>
              <w:right w:val="single" w:color="auto" w:sz="4" w:space="0"/>
            </w:tcBorders>
            <w:noWrap w:val="0"/>
            <w:vAlign w:val="center"/>
          </w:tcPr>
          <w:p w14:paraId="5ECE8B32">
            <w:pPr>
              <w:widowControl/>
              <w:spacing w:line="400" w:lineRule="exact"/>
              <w:jc w:val="left"/>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未经培训上岗</w:t>
            </w:r>
            <w:r>
              <w:rPr>
                <w:rFonts w:hint="eastAsia" w:ascii="仿宋" w:hAnsi="仿宋" w:eastAsia="仿宋" w:cs="仿宋"/>
                <w:color w:val="auto"/>
                <w:kern w:val="0"/>
                <w:szCs w:val="21"/>
                <w:highlight w:val="none"/>
                <w:lang w:eastAsia="zh-CN"/>
              </w:rPr>
              <w:t>或培训不合格上岗的</w:t>
            </w:r>
            <w:r>
              <w:rPr>
                <w:rFonts w:hint="eastAsia" w:ascii="仿宋" w:hAnsi="仿宋" w:eastAsia="仿宋" w:cs="仿宋"/>
                <w:color w:val="auto"/>
                <w:kern w:val="0"/>
                <w:szCs w:val="21"/>
                <w:highlight w:val="none"/>
              </w:rPr>
              <w:t>，每次扣</w:t>
            </w:r>
            <w:r>
              <w:rPr>
                <w:rFonts w:hint="eastAsia" w:ascii="仿宋" w:hAnsi="仿宋" w:eastAsia="仿宋" w:cs="仿宋"/>
                <w:color w:val="auto"/>
                <w:kern w:val="0"/>
                <w:szCs w:val="21"/>
                <w:highlight w:val="none"/>
                <w:lang w:val="en-US" w:eastAsia="zh-CN"/>
              </w:rPr>
              <w:t>3</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7ED54D43">
            <w:pPr>
              <w:widowControl/>
              <w:spacing w:line="360" w:lineRule="exact"/>
              <w:jc w:val="left"/>
              <w:rPr>
                <w:rFonts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1E39AAD6">
            <w:pPr>
              <w:widowControl/>
              <w:spacing w:line="360" w:lineRule="exact"/>
              <w:jc w:val="left"/>
              <w:rPr>
                <w:rFonts w:ascii="仿宋" w:hAnsi="仿宋" w:eastAsia="仿宋" w:cs="仿宋"/>
                <w:color w:val="000000"/>
                <w:kern w:val="0"/>
                <w:szCs w:val="21"/>
                <w:highlight w:val="none"/>
              </w:rPr>
            </w:pPr>
          </w:p>
        </w:tc>
      </w:tr>
      <w:tr w14:paraId="1EF85760">
        <w:tblPrEx>
          <w:tblCellMar>
            <w:top w:w="0" w:type="dxa"/>
            <w:left w:w="108" w:type="dxa"/>
            <w:bottom w:w="0" w:type="dxa"/>
            <w:right w:w="108" w:type="dxa"/>
          </w:tblCellMar>
        </w:tblPrEx>
        <w:trPr>
          <w:gridBefore w:val="1"/>
          <w:wBefore w:w="146" w:type="dxa"/>
          <w:trHeight w:val="885" w:hRule="atLeast"/>
          <w:jc w:val="center"/>
        </w:trPr>
        <w:tc>
          <w:tcPr>
            <w:tcW w:w="737" w:type="dxa"/>
            <w:vMerge w:val="continue"/>
            <w:tcBorders>
              <w:left w:val="single" w:color="auto" w:sz="4" w:space="0"/>
              <w:right w:val="single" w:color="auto" w:sz="4" w:space="0"/>
            </w:tcBorders>
            <w:noWrap w:val="0"/>
            <w:vAlign w:val="center"/>
          </w:tcPr>
          <w:p w14:paraId="11C3697A">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46BDF3E5">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000000"/>
                <w:kern w:val="0"/>
                <w:szCs w:val="21"/>
                <w:highlight w:val="none"/>
                <w:lang w:eastAsia="zh-CN"/>
              </w:rPr>
            </w:pPr>
            <w:r>
              <w:rPr>
                <w:rFonts w:hint="eastAsia" w:ascii="仿宋" w:hAnsi="仿宋" w:eastAsia="仿宋" w:cs="仿宋"/>
                <w:color w:val="000000"/>
                <w:kern w:val="0"/>
                <w:szCs w:val="21"/>
                <w:highlight w:val="none"/>
                <w:lang w:eastAsia="zh-CN"/>
              </w:rPr>
              <w:t>乙方依法依规根据劳动合同发放物业服务人员酬劳和相关福利</w:t>
            </w:r>
          </w:p>
        </w:tc>
        <w:tc>
          <w:tcPr>
            <w:tcW w:w="2963" w:type="dxa"/>
            <w:tcBorders>
              <w:top w:val="nil"/>
              <w:left w:val="nil"/>
              <w:bottom w:val="single" w:color="auto" w:sz="4" w:space="0"/>
              <w:right w:val="single" w:color="auto" w:sz="4" w:space="0"/>
            </w:tcBorders>
            <w:noWrap w:val="0"/>
            <w:vAlign w:val="center"/>
          </w:tcPr>
          <w:p w14:paraId="3D196062">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hint="eastAsia" w:ascii="仿宋" w:hAnsi="仿宋" w:eastAsia="仿宋" w:cs="仿宋"/>
                <w:color w:val="auto"/>
                <w:kern w:val="0"/>
                <w:szCs w:val="21"/>
                <w:highlight w:val="none"/>
                <w:lang w:eastAsia="zh-CN"/>
              </w:rPr>
            </w:pPr>
            <w:r>
              <w:rPr>
                <w:rFonts w:hint="eastAsia" w:ascii="仿宋" w:hAnsi="仿宋" w:eastAsia="仿宋" w:cs="仿宋"/>
                <w:color w:val="auto"/>
                <w:kern w:val="0"/>
                <w:szCs w:val="21"/>
                <w:highlight w:val="none"/>
                <w:lang w:eastAsia="zh-CN"/>
              </w:rPr>
              <w:t>因乙方自身原因未按劳动合同发放并影响甲方正常工作的，扣</w:t>
            </w:r>
            <w:r>
              <w:rPr>
                <w:rFonts w:hint="eastAsia" w:ascii="仿宋" w:hAnsi="仿宋" w:eastAsia="仿宋" w:cs="仿宋"/>
                <w:color w:val="auto"/>
                <w:kern w:val="0"/>
                <w:szCs w:val="21"/>
                <w:highlight w:val="none"/>
                <w:lang w:val="en-US" w:eastAsia="zh-CN"/>
              </w:rPr>
              <w:t>3分每次</w:t>
            </w:r>
          </w:p>
        </w:tc>
        <w:tc>
          <w:tcPr>
            <w:tcW w:w="825" w:type="dxa"/>
            <w:tcBorders>
              <w:top w:val="single" w:color="auto" w:sz="4" w:space="0"/>
              <w:left w:val="nil"/>
              <w:bottom w:val="single" w:color="auto" w:sz="4" w:space="0"/>
              <w:right w:val="single" w:color="auto" w:sz="4" w:space="0"/>
            </w:tcBorders>
            <w:noWrap w:val="0"/>
            <w:vAlign w:val="center"/>
          </w:tcPr>
          <w:p w14:paraId="6E378904">
            <w:pPr>
              <w:widowControl/>
              <w:spacing w:line="360" w:lineRule="exact"/>
              <w:jc w:val="left"/>
              <w:rPr>
                <w:rFonts w:hint="eastAsia" w:ascii="仿宋" w:hAnsi="仿宋" w:eastAsia="仿宋" w:cs="仿宋"/>
                <w:color w:val="000000"/>
                <w:kern w:val="0"/>
                <w:szCs w:val="21"/>
                <w:highlight w:val="none"/>
              </w:rPr>
            </w:pPr>
          </w:p>
        </w:tc>
        <w:tc>
          <w:tcPr>
            <w:tcW w:w="962" w:type="dxa"/>
            <w:gridSpan w:val="2"/>
            <w:vMerge w:val="continue"/>
            <w:tcBorders>
              <w:left w:val="single" w:color="auto" w:sz="4" w:space="0"/>
              <w:right w:val="single" w:color="auto" w:sz="4" w:space="0"/>
            </w:tcBorders>
            <w:noWrap w:val="0"/>
            <w:vAlign w:val="center"/>
          </w:tcPr>
          <w:p w14:paraId="50A97C54">
            <w:pPr>
              <w:widowControl/>
              <w:spacing w:line="360" w:lineRule="exact"/>
              <w:jc w:val="left"/>
              <w:rPr>
                <w:rFonts w:ascii="仿宋" w:hAnsi="仿宋" w:eastAsia="仿宋" w:cs="仿宋"/>
                <w:color w:val="000000"/>
                <w:kern w:val="0"/>
                <w:szCs w:val="21"/>
                <w:highlight w:val="none"/>
              </w:rPr>
            </w:pPr>
          </w:p>
        </w:tc>
      </w:tr>
      <w:tr w14:paraId="016933FD">
        <w:tblPrEx>
          <w:tblCellMar>
            <w:top w:w="0" w:type="dxa"/>
            <w:left w:w="108" w:type="dxa"/>
            <w:bottom w:w="0" w:type="dxa"/>
            <w:right w:w="108" w:type="dxa"/>
          </w:tblCellMar>
        </w:tblPrEx>
        <w:trPr>
          <w:gridBefore w:val="1"/>
          <w:wBefore w:w="146" w:type="dxa"/>
          <w:trHeight w:val="885" w:hRule="atLeast"/>
          <w:jc w:val="center"/>
        </w:trPr>
        <w:tc>
          <w:tcPr>
            <w:tcW w:w="737" w:type="dxa"/>
            <w:vMerge w:val="continue"/>
            <w:tcBorders>
              <w:left w:val="single" w:color="auto" w:sz="4" w:space="0"/>
              <w:right w:val="single" w:color="auto" w:sz="4" w:space="0"/>
            </w:tcBorders>
            <w:noWrap w:val="0"/>
            <w:vAlign w:val="center"/>
          </w:tcPr>
          <w:p w14:paraId="634989DF">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4" w:space="0"/>
              <w:right w:val="single" w:color="auto" w:sz="4" w:space="0"/>
            </w:tcBorders>
            <w:noWrap w:val="0"/>
            <w:vAlign w:val="center"/>
          </w:tcPr>
          <w:p w14:paraId="36BDF709">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建立各项规章制度</w:t>
            </w:r>
            <w:r>
              <w:rPr>
                <w:rFonts w:hint="eastAsia" w:ascii="仿宋" w:hAnsi="仿宋" w:eastAsia="仿宋" w:cs="仿宋"/>
                <w:color w:val="000000"/>
                <w:kern w:val="0"/>
                <w:szCs w:val="21"/>
                <w:highlight w:val="none"/>
                <w:lang w:eastAsia="zh-CN"/>
              </w:rPr>
              <w:t>和</w:t>
            </w:r>
            <w:r>
              <w:rPr>
                <w:rFonts w:hint="eastAsia" w:ascii="仿宋" w:hAnsi="仿宋" w:eastAsia="仿宋" w:cs="仿宋"/>
                <w:color w:val="000000"/>
                <w:kern w:val="0"/>
                <w:szCs w:val="21"/>
                <w:highlight w:val="none"/>
              </w:rPr>
              <w:t>人员档案，资料分类成册，方便查阅</w:t>
            </w:r>
          </w:p>
        </w:tc>
        <w:tc>
          <w:tcPr>
            <w:tcW w:w="2963" w:type="dxa"/>
            <w:tcBorders>
              <w:top w:val="nil"/>
              <w:left w:val="nil"/>
              <w:bottom w:val="single" w:color="auto" w:sz="4" w:space="0"/>
              <w:right w:val="single" w:color="auto" w:sz="4" w:space="0"/>
            </w:tcBorders>
            <w:noWrap w:val="0"/>
            <w:vAlign w:val="center"/>
          </w:tcPr>
          <w:p w14:paraId="1917DD86">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不符合的，每项扣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single" w:color="auto" w:sz="4" w:space="0"/>
              <w:left w:val="nil"/>
              <w:bottom w:val="single" w:color="auto" w:sz="4" w:space="0"/>
              <w:right w:val="single" w:color="auto" w:sz="4" w:space="0"/>
            </w:tcBorders>
            <w:noWrap w:val="0"/>
            <w:vAlign w:val="center"/>
          </w:tcPr>
          <w:p w14:paraId="672A73D2">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right w:val="single" w:color="auto" w:sz="4" w:space="0"/>
            </w:tcBorders>
            <w:noWrap w:val="0"/>
            <w:vAlign w:val="center"/>
          </w:tcPr>
          <w:p w14:paraId="32CB1212">
            <w:pPr>
              <w:widowControl/>
              <w:spacing w:line="360" w:lineRule="exact"/>
              <w:jc w:val="left"/>
              <w:rPr>
                <w:rFonts w:ascii="仿宋" w:hAnsi="仿宋" w:eastAsia="仿宋" w:cs="仿宋"/>
                <w:color w:val="000000"/>
                <w:kern w:val="0"/>
                <w:szCs w:val="21"/>
                <w:highlight w:val="none"/>
              </w:rPr>
            </w:pPr>
          </w:p>
        </w:tc>
      </w:tr>
      <w:tr w14:paraId="76076DDD">
        <w:tblPrEx>
          <w:tblCellMar>
            <w:top w:w="0" w:type="dxa"/>
            <w:left w:w="108" w:type="dxa"/>
            <w:bottom w:w="0" w:type="dxa"/>
            <w:right w:w="108" w:type="dxa"/>
          </w:tblCellMar>
        </w:tblPrEx>
        <w:trPr>
          <w:gridBefore w:val="1"/>
          <w:wBefore w:w="146" w:type="dxa"/>
          <w:trHeight w:val="365" w:hRule="atLeast"/>
          <w:jc w:val="center"/>
        </w:trPr>
        <w:tc>
          <w:tcPr>
            <w:tcW w:w="737" w:type="dxa"/>
            <w:vMerge w:val="continue"/>
            <w:tcBorders>
              <w:left w:val="single" w:color="auto" w:sz="4" w:space="0"/>
              <w:bottom w:val="single" w:color="auto" w:sz="8" w:space="0"/>
              <w:right w:val="single" w:color="auto" w:sz="4" w:space="0"/>
            </w:tcBorders>
            <w:noWrap w:val="0"/>
            <w:vAlign w:val="center"/>
          </w:tcPr>
          <w:p w14:paraId="650B47D4">
            <w:pPr>
              <w:widowControl/>
              <w:spacing w:line="360" w:lineRule="exact"/>
              <w:jc w:val="left"/>
              <w:rPr>
                <w:rFonts w:ascii="仿宋" w:hAnsi="仿宋" w:eastAsia="仿宋" w:cs="仿宋"/>
                <w:color w:val="000000"/>
                <w:kern w:val="0"/>
                <w:szCs w:val="21"/>
                <w:highlight w:val="none"/>
              </w:rPr>
            </w:pPr>
          </w:p>
        </w:tc>
        <w:tc>
          <w:tcPr>
            <w:tcW w:w="3425" w:type="dxa"/>
            <w:tcBorders>
              <w:top w:val="nil"/>
              <w:left w:val="nil"/>
              <w:bottom w:val="single" w:color="auto" w:sz="8" w:space="0"/>
              <w:right w:val="single" w:color="auto" w:sz="4" w:space="0"/>
            </w:tcBorders>
            <w:noWrap w:val="0"/>
            <w:vAlign w:val="center"/>
          </w:tcPr>
          <w:p w14:paraId="49952590">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加强对物业人员意识形态教育管理</w:t>
            </w:r>
          </w:p>
        </w:tc>
        <w:tc>
          <w:tcPr>
            <w:tcW w:w="2963" w:type="dxa"/>
            <w:tcBorders>
              <w:top w:val="nil"/>
              <w:left w:val="nil"/>
              <w:bottom w:val="single" w:color="auto" w:sz="8" w:space="0"/>
              <w:right w:val="single" w:color="auto" w:sz="4" w:space="0"/>
            </w:tcBorders>
            <w:noWrap w:val="0"/>
            <w:vAlign w:val="center"/>
          </w:tcPr>
          <w:p w14:paraId="2175D20C">
            <w:pPr>
              <w:keepNext w:val="0"/>
              <w:keepLines w:val="0"/>
              <w:pageBreakBefore w:val="0"/>
              <w:widowControl/>
              <w:kinsoku/>
              <w:wordWrap/>
              <w:overflowPunct/>
              <w:topLinePunct w:val="0"/>
              <w:autoSpaceDE/>
              <w:autoSpaceDN/>
              <w:bidi w:val="0"/>
              <w:adjustRightInd/>
              <w:snapToGrid/>
              <w:spacing w:line="380" w:lineRule="exact"/>
              <w:jc w:val="left"/>
              <w:textAlignment w:val="auto"/>
              <w:rPr>
                <w:rFonts w:ascii="仿宋" w:hAnsi="仿宋" w:eastAsia="仿宋" w:cs="仿宋"/>
                <w:color w:val="auto"/>
                <w:kern w:val="0"/>
                <w:szCs w:val="21"/>
                <w:highlight w:val="none"/>
              </w:rPr>
            </w:pPr>
            <w:r>
              <w:rPr>
                <w:rFonts w:hint="eastAsia" w:ascii="仿宋" w:hAnsi="仿宋" w:eastAsia="仿宋" w:cs="仿宋"/>
                <w:color w:val="auto"/>
                <w:kern w:val="0"/>
                <w:szCs w:val="21"/>
                <w:highlight w:val="none"/>
              </w:rPr>
              <w:t>物业人员出现意识形态问题并对甲方产生实质影响的，每次扣</w:t>
            </w:r>
            <w:r>
              <w:rPr>
                <w:rFonts w:hint="eastAsia" w:ascii="仿宋" w:hAnsi="仿宋" w:eastAsia="仿宋" w:cs="仿宋"/>
                <w:color w:val="auto"/>
                <w:kern w:val="0"/>
                <w:szCs w:val="21"/>
                <w:highlight w:val="none"/>
                <w:lang w:val="en-US" w:eastAsia="zh-CN"/>
              </w:rPr>
              <w:t>2</w:t>
            </w:r>
            <w:r>
              <w:rPr>
                <w:rFonts w:hint="eastAsia" w:ascii="仿宋" w:hAnsi="仿宋" w:eastAsia="仿宋" w:cs="仿宋"/>
                <w:color w:val="auto"/>
                <w:kern w:val="0"/>
                <w:szCs w:val="21"/>
                <w:highlight w:val="none"/>
              </w:rPr>
              <w:t>分</w:t>
            </w:r>
          </w:p>
        </w:tc>
        <w:tc>
          <w:tcPr>
            <w:tcW w:w="825" w:type="dxa"/>
            <w:tcBorders>
              <w:top w:val="nil"/>
              <w:left w:val="nil"/>
              <w:bottom w:val="single" w:color="auto" w:sz="8" w:space="0"/>
              <w:right w:val="single" w:color="auto" w:sz="4" w:space="0"/>
            </w:tcBorders>
            <w:noWrap w:val="0"/>
            <w:vAlign w:val="center"/>
          </w:tcPr>
          <w:p w14:paraId="7750F745">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c>
          <w:tcPr>
            <w:tcW w:w="962" w:type="dxa"/>
            <w:gridSpan w:val="2"/>
            <w:vMerge w:val="continue"/>
            <w:tcBorders>
              <w:left w:val="single" w:color="auto" w:sz="4" w:space="0"/>
              <w:bottom w:val="single" w:color="auto" w:sz="8" w:space="0"/>
              <w:right w:val="single" w:color="auto" w:sz="4" w:space="0"/>
            </w:tcBorders>
            <w:noWrap w:val="0"/>
            <w:vAlign w:val="center"/>
          </w:tcPr>
          <w:p w14:paraId="38EA329D">
            <w:pPr>
              <w:widowControl/>
              <w:spacing w:line="360" w:lineRule="exact"/>
              <w:jc w:val="left"/>
              <w:rPr>
                <w:rFonts w:ascii="仿宋" w:hAnsi="仿宋" w:eastAsia="仿宋" w:cs="仿宋"/>
                <w:color w:val="000000"/>
                <w:kern w:val="0"/>
                <w:szCs w:val="21"/>
                <w:highlight w:val="none"/>
              </w:rPr>
            </w:pPr>
          </w:p>
        </w:tc>
      </w:tr>
      <w:tr w14:paraId="761F808B">
        <w:tblPrEx>
          <w:tblCellMar>
            <w:top w:w="0" w:type="dxa"/>
            <w:left w:w="108" w:type="dxa"/>
            <w:bottom w:w="0" w:type="dxa"/>
            <w:right w:w="108" w:type="dxa"/>
          </w:tblCellMar>
        </w:tblPrEx>
        <w:trPr>
          <w:gridBefore w:val="1"/>
          <w:wBefore w:w="146" w:type="dxa"/>
          <w:trHeight w:val="545" w:hRule="atLeast"/>
          <w:jc w:val="center"/>
        </w:trPr>
        <w:tc>
          <w:tcPr>
            <w:tcW w:w="737" w:type="dxa"/>
            <w:tcBorders>
              <w:top w:val="single" w:color="auto" w:sz="8" w:space="0"/>
              <w:left w:val="single" w:color="auto" w:sz="4" w:space="0"/>
              <w:bottom w:val="single" w:color="auto" w:sz="4" w:space="0"/>
              <w:right w:val="single" w:color="auto" w:sz="4" w:space="0"/>
            </w:tcBorders>
            <w:noWrap w:val="0"/>
            <w:vAlign w:val="center"/>
          </w:tcPr>
          <w:p w14:paraId="542D5248">
            <w:pPr>
              <w:widowControl/>
              <w:spacing w:line="360" w:lineRule="exact"/>
              <w:jc w:val="center"/>
              <w:rPr>
                <w:rFonts w:ascii="仿宋" w:hAnsi="仿宋" w:eastAsia="仿宋" w:cs="仿宋"/>
                <w:color w:val="000000"/>
                <w:kern w:val="0"/>
                <w:szCs w:val="21"/>
                <w:highlight w:val="none"/>
              </w:rPr>
            </w:pPr>
            <w:r>
              <w:rPr>
                <w:rFonts w:hint="eastAsia" w:ascii="仿宋" w:hAnsi="仿宋" w:eastAsia="仿宋" w:cs="仿宋"/>
                <w:color w:val="000000"/>
                <w:kern w:val="0"/>
                <w:sz w:val="28"/>
                <w:szCs w:val="28"/>
                <w:highlight w:val="none"/>
              </w:rPr>
              <w:t>总分</w:t>
            </w:r>
          </w:p>
        </w:tc>
        <w:tc>
          <w:tcPr>
            <w:tcW w:w="3425" w:type="dxa"/>
            <w:tcBorders>
              <w:top w:val="single" w:color="auto" w:sz="8" w:space="0"/>
              <w:left w:val="nil"/>
              <w:bottom w:val="single" w:color="auto" w:sz="4" w:space="0"/>
              <w:right w:val="single" w:color="auto" w:sz="4" w:space="0"/>
            </w:tcBorders>
            <w:noWrap w:val="0"/>
            <w:vAlign w:val="center"/>
          </w:tcPr>
          <w:p w14:paraId="6A071920">
            <w:pPr>
              <w:widowControl/>
              <w:spacing w:line="360" w:lineRule="exact"/>
              <w:jc w:val="center"/>
              <w:rPr>
                <w:rFonts w:hint="default" w:ascii="仿宋" w:hAnsi="仿宋" w:eastAsia="仿宋" w:cs="仿宋"/>
                <w:color w:val="000000"/>
                <w:kern w:val="0"/>
                <w:sz w:val="28"/>
                <w:szCs w:val="28"/>
                <w:highlight w:val="none"/>
                <w:lang w:val="en-US" w:eastAsia="zh-CN"/>
              </w:rPr>
            </w:pPr>
            <w:r>
              <w:rPr>
                <w:rFonts w:hint="eastAsia" w:ascii="仿宋" w:hAnsi="仿宋" w:eastAsia="仿宋" w:cs="仿宋"/>
                <w:color w:val="000000"/>
                <w:kern w:val="0"/>
                <w:sz w:val="28"/>
                <w:szCs w:val="28"/>
                <w:highlight w:val="none"/>
                <w:lang w:val="en-US" w:eastAsia="zh-CN"/>
              </w:rPr>
              <w:t>50</w:t>
            </w:r>
          </w:p>
        </w:tc>
        <w:tc>
          <w:tcPr>
            <w:tcW w:w="3788" w:type="dxa"/>
            <w:gridSpan w:val="2"/>
            <w:tcBorders>
              <w:top w:val="single" w:color="auto" w:sz="8" w:space="0"/>
              <w:left w:val="nil"/>
              <w:bottom w:val="single" w:color="auto" w:sz="4" w:space="0"/>
              <w:right w:val="single" w:color="auto" w:sz="4" w:space="0"/>
            </w:tcBorders>
            <w:noWrap w:val="0"/>
            <w:vAlign w:val="center"/>
          </w:tcPr>
          <w:p w14:paraId="08EE01DF">
            <w:pPr>
              <w:widowControl/>
              <w:spacing w:line="360" w:lineRule="exact"/>
              <w:jc w:val="center"/>
              <w:rPr>
                <w:rFonts w:ascii="仿宋" w:hAnsi="仿宋" w:eastAsia="仿宋" w:cs="仿宋"/>
                <w:color w:val="000000"/>
                <w:kern w:val="0"/>
                <w:sz w:val="28"/>
                <w:szCs w:val="28"/>
                <w:highlight w:val="none"/>
              </w:rPr>
            </w:pPr>
            <w:r>
              <w:rPr>
                <w:rFonts w:hint="eastAsia" w:ascii="仿宋" w:hAnsi="仿宋" w:eastAsia="仿宋" w:cs="仿宋"/>
                <w:color w:val="000000"/>
                <w:kern w:val="0"/>
                <w:sz w:val="28"/>
                <w:szCs w:val="28"/>
                <w:highlight w:val="none"/>
              </w:rPr>
              <w:t>本期得分</w:t>
            </w:r>
          </w:p>
        </w:tc>
        <w:tc>
          <w:tcPr>
            <w:tcW w:w="962" w:type="dxa"/>
            <w:gridSpan w:val="2"/>
            <w:tcBorders>
              <w:top w:val="single" w:color="auto" w:sz="8" w:space="0"/>
              <w:left w:val="nil"/>
              <w:bottom w:val="single" w:color="auto" w:sz="4" w:space="0"/>
              <w:right w:val="single" w:color="auto" w:sz="4" w:space="0"/>
            </w:tcBorders>
            <w:noWrap w:val="0"/>
            <w:vAlign w:val="center"/>
          </w:tcPr>
          <w:p w14:paraId="1A19DA9D">
            <w:pPr>
              <w:widowControl/>
              <w:spacing w:line="360" w:lineRule="exact"/>
              <w:jc w:val="left"/>
              <w:rPr>
                <w:rFonts w:ascii="仿宋" w:hAnsi="仿宋" w:eastAsia="仿宋" w:cs="仿宋"/>
                <w:color w:val="000000"/>
                <w:kern w:val="0"/>
                <w:szCs w:val="21"/>
                <w:highlight w:val="none"/>
              </w:rPr>
            </w:pPr>
            <w:r>
              <w:rPr>
                <w:rFonts w:hint="eastAsia" w:ascii="仿宋" w:hAnsi="仿宋" w:eastAsia="仿宋" w:cs="仿宋"/>
                <w:color w:val="000000"/>
                <w:kern w:val="0"/>
                <w:szCs w:val="21"/>
                <w:highlight w:val="none"/>
              </w:rPr>
              <w:t>　</w:t>
            </w:r>
          </w:p>
        </w:tc>
      </w:tr>
      <w:tr w14:paraId="3A2ECC57">
        <w:tblPrEx>
          <w:tblCellMar>
            <w:top w:w="0" w:type="dxa"/>
            <w:left w:w="108" w:type="dxa"/>
            <w:bottom w:w="0" w:type="dxa"/>
            <w:right w:w="108" w:type="dxa"/>
          </w:tblCellMar>
        </w:tblPrEx>
        <w:trPr>
          <w:gridAfter w:val="1"/>
          <w:wAfter w:w="154" w:type="dxa"/>
          <w:trHeight w:val="420" w:hRule="atLeast"/>
          <w:jc w:val="center"/>
        </w:trPr>
        <w:tc>
          <w:tcPr>
            <w:tcW w:w="8904" w:type="dxa"/>
            <w:gridSpan w:val="6"/>
            <w:tcBorders>
              <w:top w:val="nil"/>
              <w:left w:val="nil"/>
              <w:bottom w:val="nil"/>
              <w:right w:val="nil"/>
            </w:tcBorders>
            <w:noWrap w:val="0"/>
            <w:vAlign w:val="center"/>
          </w:tcPr>
          <w:p w14:paraId="126CCF93">
            <w:pPr>
              <w:widowControl/>
              <w:spacing w:line="360" w:lineRule="exact"/>
              <w:jc w:val="left"/>
              <w:rPr>
                <w:rFonts w:hint="default"/>
                <w:color w:val="000000"/>
                <w:kern w:val="0"/>
                <w:szCs w:val="21"/>
                <w:highlight w:val="none"/>
                <w:lang w:val="en-US"/>
              </w:rPr>
            </w:pPr>
          </w:p>
        </w:tc>
      </w:tr>
      <w:tr w14:paraId="041DE1CE">
        <w:tblPrEx>
          <w:tblCellMar>
            <w:top w:w="0" w:type="dxa"/>
            <w:left w:w="108" w:type="dxa"/>
            <w:bottom w:w="0" w:type="dxa"/>
            <w:right w:w="108" w:type="dxa"/>
          </w:tblCellMar>
        </w:tblPrEx>
        <w:trPr>
          <w:gridAfter w:val="1"/>
          <w:wAfter w:w="154" w:type="dxa"/>
          <w:trHeight w:val="2057" w:hRule="atLeast"/>
          <w:jc w:val="center"/>
        </w:trPr>
        <w:tc>
          <w:tcPr>
            <w:tcW w:w="8904" w:type="dxa"/>
            <w:gridSpan w:val="6"/>
            <w:tcBorders>
              <w:top w:val="nil"/>
              <w:left w:val="nil"/>
              <w:right w:val="nil"/>
            </w:tcBorders>
            <w:noWrap w:val="0"/>
            <w:vAlign w:val="center"/>
          </w:tcPr>
          <w:p w14:paraId="4FC208C3">
            <w:pPr>
              <w:widowControl/>
              <w:spacing w:line="360" w:lineRule="exact"/>
              <w:jc w:val="left"/>
              <w:rPr>
                <w:rFonts w:hint="default" w:eastAsia="宋体"/>
                <w:color w:val="000000"/>
                <w:kern w:val="0"/>
                <w:szCs w:val="21"/>
                <w:highlight w:val="none"/>
                <w:lang w:val="en-US" w:eastAsia="zh-CN"/>
              </w:rPr>
            </w:pPr>
          </w:p>
        </w:tc>
      </w:tr>
    </w:tbl>
    <w:p w14:paraId="6BC8F690">
      <w:pPr>
        <w:keepNext w:val="0"/>
        <w:keepLines w:val="0"/>
        <w:widowControl/>
        <w:suppressLineNumbers w:val="0"/>
        <w:ind w:firstLine="562" w:firstLineChars="200"/>
        <w:jc w:val="left"/>
        <w:rPr>
          <w:rFonts w:hint="default" w:ascii="宋体" w:hAnsi="宋体" w:eastAsia="宋体" w:cs="宋体"/>
          <w:b/>
          <w:bCs/>
          <w:sz w:val="28"/>
          <w:szCs w:val="28"/>
          <w:lang w:val="en-US" w:eastAsia="zh-CN"/>
        </w:rPr>
      </w:pPr>
      <w:r>
        <w:rPr>
          <w:rFonts w:hint="eastAsia" w:ascii="宋体" w:hAnsi="宋体" w:eastAsia="宋体" w:cs="宋体"/>
          <w:b/>
          <w:bCs/>
          <w:sz w:val="28"/>
          <w:szCs w:val="28"/>
          <w:lang w:val="en-US" w:eastAsia="zh-CN"/>
        </w:rPr>
        <w:t>（五）服务人员配置要求</w:t>
      </w:r>
    </w:p>
    <w:p w14:paraId="486FBC8C">
      <w:pPr>
        <w:keepLines w:val="0"/>
        <w:pageBreakBefore w:val="0"/>
        <w:widowControl w:val="0"/>
        <w:numPr>
          <w:ilvl w:val="0"/>
          <w:numId w:val="0"/>
        </w:numPr>
        <w:kinsoku/>
        <w:wordWrap/>
        <w:overflowPunct/>
        <w:topLinePunct w:val="0"/>
        <w:bidi w:val="0"/>
        <w:spacing w:after="0" w:line="480" w:lineRule="exact"/>
        <w:ind w:firstLine="640" w:firstLineChars="200"/>
        <w:jc w:val="both"/>
        <w:textAlignment w:val="auto"/>
        <w:rPr>
          <w:rFonts w:hint="eastAsia" w:ascii="宋体" w:hAnsi="宋体" w:eastAsia="宋体" w:cs="宋体"/>
          <w:b w:val="0"/>
          <w:bCs w:val="0"/>
          <w:color w:val="auto"/>
          <w:sz w:val="32"/>
          <w:szCs w:val="32"/>
          <w:lang w:val="en-US" w:eastAsia="zh-CN"/>
        </w:rPr>
      </w:pPr>
      <w:r>
        <w:rPr>
          <w:rFonts w:hint="eastAsia" w:ascii="宋体" w:hAnsi="宋体" w:eastAsia="宋体" w:cs="宋体"/>
          <w:b w:val="0"/>
          <w:bCs w:val="0"/>
          <w:color w:val="auto"/>
          <w:sz w:val="32"/>
          <w:szCs w:val="32"/>
          <w:lang w:val="en-US" w:eastAsia="zh-CN"/>
        </w:rPr>
        <w:t>1.最低人员配置需求</w:t>
      </w:r>
    </w:p>
    <w:tbl>
      <w:tblPr>
        <w:tblStyle w:val="5"/>
        <w:tblW w:w="9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8"/>
        <w:gridCol w:w="1200"/>
        <w:gridCol w:w="4400"/>
        <w:gridCol w:w="1512"/>
      </w:tblGrid>
      <w:tr w14:paraId="3A1D1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8"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15705A19">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岗 位</w:t>
            </w:r>
          </w:p>
        </w:tc>
        <w:tc>
          <w:tcPr>
            <w:tcW w:w="1200" w:type="dxa"/>
            <w:tcBorders>
              <w:top w:val="single" w:color="auto" w:sz="4" w:space="0"/>
              <w:left w:val="nil"/>
              <w:bottom w:val="single" w:color="auto" w:sz="4" w:space="0"/>
              <w:right w:val="single" w:color="auto" w:sz="4" w:space="0"/>
            </w:tcBorders>
            <w:vAlign w:val="center"/>
          </w:tcPr>
          <w:p w14:paraId="6F6D4C33">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人数</w:t>
            </w:r>
          </w:p>
        </w:tc>
        <w:tc>
          <w:tcPr>
            <w:tcW w:w="4400" w:type="dxa"/>
            <w:tcBorders>
              <w:top w:val="single" w:color="auto" w:sz="4" w:space="0"/>
              <w:left w:val="nil"/>
              <w:bottom w:val="single" w:color="auto" w:sz="4" w:space="0"/>
              <w:right w:val="single" w:color="auto" w:sz="4" w:space="0"/>
            </w:tcBorders>
            <w:vAlign w:val="center"/>
          </w:tcPr>
          <w:p w14:paraId="3952A456">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b/>
                <w:bCs/>
                <w:color w:val="auto"/>
                <w:kern w:val="2"/>
                <w:sz w:val="32"/>
                <w:szCs w:val="32"/>
              </w:rPr>
            </w:pPr>
            <w:r>
              <w:rPr>
                <w:rFonts w:hint="eastAsia" w:ascii="仿宋_GB2312" w:hAnsi="仿宋_GB2312" w:eastAsia="仿宋_GB2312" w:cs="仿宋_GB2312"/>
                <w:b/>
                <w:bCs/>
                <w:color w:val="auto"/>
                <w:sz w:val="32"/>
                <w:szCs w:val="32"/>
              </w:rPr>
              <w:t>具体要求（身体状况、岗位要求等）</w:t>
            </w:r>
          </w:p>
        </w:tc>
        <w:tc>
          <w:tcPr>
            <w:tcW w:w="1512" w:type="dxa"/>
            <w:tcBorders>
              <w:top w:val="single" w:color="auto" w:sz="4" w:space="0"/>
              <w:left w:val="nil"/>
              <w:bottom w:val="single" w:color="auto" w:sz="4" w:space="0"/>
              <w:right w:val="single" w:color="auto" w:sz="4" w:space="0"/>
            </w:tcBorders>
            <w:vAlign w:val="center"/>
          </w:tcPr>
          <w:p w14:paraId="6D35878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备注</w:t>
            </w:r>
          </w:p>
        </w:tc>
      </w:tr>
      <w:tr w14:paraId="28C79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2E2A875A">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项目经理</w:t>
            </w:r>
          </w:p>
        </w:tc>
        <w:tc>
          <w:tcPr>
            <w:tcW w:w="1200" w:type="dxa"/>
            <w:tcBorders>
              <w:top w:val="single" w:color="auto" w:sz="4" w:space="0"/>
              <w:left w:val="nil"/>
              <w:bottom w:val="single" w:color="auto" w:sz="4" w:space="0"/>
              <w:right w:val="single" w:color="auto" w:sz="4" w:space="0"/>
            </w:tcBorders>
            <w:vAlign w:val="center"/>
          </w:tcPr>
          <w:p w14:paraId="675A6BA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tcPr>
          <w:p w14:paraId="7006B314">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w:t>
            </w:r>
            <w:r>
              <w:rPr>
                <w:rFonts w:hint="eastAsia" w:ascii="仿宋_GB2312" w:hAnsi="仿宋_GB2312" w:eastAsia="仿宋_GB2312" w:cs="仿宋_GB2312"/>
                <w:color w:val="auto"/>
                <w:sz w:val="32"/>
                <w:szCs w:val="32"/>
                <w:highlight w:val="yellow"/>
                <w:lang w:val="en-US" w:eastAsia="zh-CN"/>
              </w:rPr>
              <w:t>持有物业项目经理资格证书（</w:t>
            </w:r>
            <w:r>
              <w:rPr>
                <w:rFonts w:hint="eastAsia" w:ascii="仿宋_GB2312" w:hAnsi="仿宋_GB2312" w:eastAsia="仿宋_GB2312" w:cs="仿宋_GB2312"/>
                <w:color w:val="FF0000"/>
                <w:sz w:val="32"/>
                <w:szCs w:val="32"/>
                <w:highlight w:val="yellow"/>
                <w:lang w:val="en-US" w:eastAsia="zh-CN"/>
              </w:rPr>
              <w:t>提供资格证书扫描件）</w:t>
            </w:r>
            <w:r>
              <w:rPr>
                <w:rFonts w:hint="eastAsia" w:ascii="仿宋_GB2312" w:hAnsi="仿宋_GB2312" w:eastAsia="仿宋_GB2312" w:cs="仿宋_GB2312"/>
                <w:color w:val="auto"/>
                <w:sz w:val="32"/>
                <w:szCs w:val="32"/>
                <w:highlight w:val="yellow"/>
                <w:lang w:val="en-US" w:eastAsia="zh-CN"/>
              </w:rPr>
              <w:t>，</w:t>
            </w:r>
            <w:r>
              <w:rPr>
                <w:rFonts w:hint="eastAsia" w:ascii="仿宋_GB2312" w:hAnsi="仿宋_GB2312" w:eastAsia="仿宋_GB2312" w:cs="仿宋_GB2312"/>
                <w:color w:val="auto"/>
                <w:sz w:val="32"/>
                <w:szCs w:val="32"/>
                <w:lang w:val="en-US" w:eastAsia="zh-CN"/>
              </w:rPr>
              <w:t>全面负责项目的服务管理和人员考核管理。</w:t>
            </w:r>
          </w:p>
        </w:tc>
        <w:tc>
          <w:tcPr>
            <w:tcW w:w="1512" w:type="dxa"/>
            <w:vMerge w:val="restart"/>
            <w:tcBorders>
              <w:top w:val="single" w:color="auto" w:sz="4" w:space="0"/>
              <w:left w:val="nil"/>
              <w:right w:val="single" w:color="auto" w:sz="4" w:space="0"/>
            </w:tcBorders>
          </w:tcPr>
          <w:p w14:paraId="7344B65C">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项目经理可不长驻</w:t>
            </w:r>
          </w:p>
        </w:tc>
      </w:tr>
      <w:tr w14:paraId="4935B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7A467B9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保安队长</w:t>
            </w:r>
          </w:p>
        </w:tc>
        <w:tc>
          <w:tcPr>
            <w:tcW w:w="1200" w:type="dxa"/>
            <w:tcBorders>
              <w:top w:val="single" w:color="auto" w:sz="4" w:space="0"/>
              <w:left w:val="nil"/>
              <w:bottom w:val="single" w:color="auto" w:sz="4" w:space="0"/>
              <w:right w:val="single" w:color="auto" w:sz="4" w:space="0"/>
            </w:tcBorders>
            <w:vAlign w:val="center"/>
          </w:tcPr>
          <w:p w14:paraId="12273FCE">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vAlign w:val="center"/>
          </w:tcPr>
          <w:p w14:paraId="580B904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身体健康，训练有素，言语规范，负责保安统筹工作事宜。</w:t>
            </w:r>
          </w:p>
        </w:tc>
        <w:tc>
          <w:tcPr>
            <w:tcW w:w="1512" w:type="dxa"/>
            <w:vMerge w:val="continue"/>
            <w:tcBorders>
              <w:left w:val="nil"/>
              <w:right w:val="single" w:color="auto" w:sz="4" w:space="0"/>
            </w:tcBorders>
            <w:vAlign w:val="center"/>
          </w:tcPr>
          <w:p w14:paraId="3AB06226">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6A275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7F69DC43">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保洁班长</w:t>
            </w:r>
          </w:p>
        </w:tc>
        <w:tc>
          <w:tcPr>
            <w:tcW w:w="1200" w:type="dxa"/>
            <w:tcBorders>
              <w:top w:val="single" w:color="auto" w:sz="4" w:space="0"/>
              <w:left w:val="nil"/>
              <w:bottom w:val="single" w:color="auto" w:sz="4" w:space="0"/>
              <w:right w:val="single" w:color="auto" w:sz="4" w:space="0"/>
            </w:tcBorders>
            <w:vAlign w:val="center"/>
          </w:tcPr>
          <w:p w14:paraId="0BD99FCF">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w:t>
            </w:r>
          </w:p>
        </w:tc>
        <w:tc>
          <w:tcPr>
            <w:tcW w:w="4400" w:type="dxa"/>
            <w:tcBorders>
              <w:top w:val="single" w:color="auto" w:sz="4" w:space="0"/>
              <w:left w:val="nil"/>
              <w:bottom w:val="single" w:color="auto" w:sz="4" w:space="0"/>
              <w:right w:val="single" w:color="auto" w:sz="4" w:space="0"/>
            </w:tcBorders>
            <w:vAlign w:val="center"/>
          </w:tcPr>
          <w:p w14:paraId="3659EB74">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身体健康，工作勤恳，服从管理，负责保洁工作安排考勤等统筹。</w:t>
            </w:r>
          </w:p>
        </w:tc>
        <w:tc>
          <w:tcPr>
            <w:tcW w:w="1512" w:type="dxa"/>
            <w:vMerge w:val="continue"/>
            <w:tcBorders>
              <w:left w:val="nil"/>
              <w:right w:val="single" w:color="auto" w:sz="4" w:space="0"/>
            </w:tcBorders>
            <w:vAlign w:val="center"/>
          </w:tcPr>
          <w:p w14:paraId="13618783">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792F8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0B0CA818">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r>
              <w:rPr>
                <w:rFonts w:hint="eastAsia" w:ascii="仿宋_GB2312" w:hAnsi="仿宋_GB2312" w:eastAsia="仿宋_GB2312" w:cs="仿宋_GB2312"/>
                <w:color w:val="auto"/>
                <w:sz w:val="32"/>
                <w:szCs w:val="32"/>
              </w:rPr>
              <w:t>保洁员</w:t>
            </w:r>
          </w:p>
        </w:tc>
        <w:tc>
          <w:tcPr>
            <w:tcW w:w="1200" w:type="dxa"/>
            <w:tcBorders>
              <w:top w:val="single" w:color="auto" w:sz="4" w:space="0"/>
              <w:left w:val="nil"/>
              <w:bottom w:val="single" w:color="auto" w:sz="4" w:space="0"/>
              <w:right w:val="single" w:color="auto" w:sz="4" w:space="0"/>
            </w:tcBorders>
            <w:vAlign w:val="center"/>
          </w:tcPr>
          <w:p w14:paraId="27FAC495">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4</w:t>
            </w:r>
          </w:p>
        </w:tc>
        <w:tc>
          <w:tcPr>
            <w:tcW w:w="4400" w:type="dxa"/>
            <w:tcBorders>
              <w:top w:val="single" w:color="auto" w:sz="4" w:space="0"/>
              <w:left w:val="nil"/>
              <w:bottom w:val="single" w:color="auto" w:sz="4" w:space="0"/>
              <w:right w:val="single" w:color="auto" w:sz="4" w:space="0"/>
            </w:tcBorders>
            <w:vAlign w:val="center"/>
          </w:tcPr>
          <w:p w14:paraId="188DE554">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身体健康，工作勤恳，认真负责、吃苦耐劳，服从管理</w:t>
            </w:r>
          </w:p>
        </w:tc>
        <w:tc>
          <w:tcPr>
            <w:tcW w:w="1512" w:type="dxa"/>
            <w:vMerge w:val="continue"/>
            <w:tcBorders>
              <w:left w:val="nil"/>
              <w:right w:val="single" w:color="auto" w:sz="4" w:space="0"/>
            </w:tcBorders>
            <w:vAlign w:val="center"/>
          </w:tcPr>
          <w:p w14:paraId="6FC0C31F">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r w14:paraId="787DD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928" w:type="dxa"/>
            <w:tcBorders>
              <w:top w:val="single" w:color="auto" w:sz="4" w:space="0"/>
              <w:left w:val="single" w:color="auto" w:sz="4" w:space="0"/>
              <w:bottom w:val="single" w:color="auto" w:sz="4" w:space="0"/>
              <w:right w:val="single" w:color="auto" w:sz="4" w:space="0"/>
            </w:tcBorders>
            <w:vAlign w:val="center"/>
          </w:tcPr>
          <w:p w14:paraId="30D2F3A5">
            <w:pPr>
              <w:keepLines w:val="0"/>
              <w:pageBreakBefore w:val="0"/>
              <w:widowControl w:val="0"/>
              <w:kinsoku/>
              <w:wordWrap/>
              <w:overflowPunct/>
              <w:topLinePunct w:val="0"/>
              <w:bidi w:val="0"/>
              <w:spacing w:after="0" w:line="520" w:lineRule="exact"/>
              <w:jc w:val="center"/>
              <w:textAlignment w:val="auto"/>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安保员</w:t>
            </w:r>
          </w:p>
        </w:tc>
        <w:tc>
          <w:tcPr>
            <w:tcW w:w="1200" w:type="dxa"/>
            <w:tcBorders>
              <w:top w:val="single" w:color="auto" w:sz="4" w:space="0"/>
              <w:left w:val="nil"/>
              <w:bottom w:val="single" w:color="auto" w:sz="4" w:space="0"/>
              <w:right w:val="single" w:color="auto" w:sz="4" w:space="0"/>
            </w:tcBorders>
            <w:vAlign w:val="center"/>
          </w:tcPr>
          <w:p w14:paraId="7F94ABE1">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4</w:t>
            </w:r>
          </w:p>
        </w:tc>
        <w:tc>
          <w:tcPr>
            <w:tcW w:w="4400" w:type="dxa"/>
            <w:tcBorders>
              <w:top w:val="single" w:color="auto" w:sz="4" w:space="0"/>
              <w:left w:val="nil"/>
              <w:bottom w:val="single" w:color="auto" w:sz="4" w:space="0"/>
              <w:right w:val="single" w:color="auto" w:sz="4" w:space="0"/>
            </w:tcBorders>
            <w:vAlign w:val="center"/>
          </w:tcPr>
          <w:p w14:paraId="4AAA431A">
            <w:pPr>
              <w:spacing w:before="76" w:line="339" w:lineRule="auto"/>
              <w:ind w:left="53"/>
              <w:rPr>
                <w:rFonts w:hint="default" w:ascii="仿宋_GB2312" w:hAnsi="仿宋_GB2312" w:eastAsia="仿宋_GB2312" w:cs="仿宋_GB2312"/>
                <w:color w:val="auto"/>
                <w:kern w:val="2"/>
                <w:sz w:val="32"/>
                <w:szCs w:val="32"/>
                <w:lang w:val="en-US"/>
              </w:rPr>
            </w:pPr>
            <w:r>
              <w:rPr>
                <w:rFonts w:hint="eastAsia" w:ascii="仿宋_GB2312" w:hAnsi="仿宋_GB2312" w:eastAsia="仿宋_GB2312" w:cs="仿宋_GB2312"/>
                <w:color w:val="auto"/>
                <w:sz w:val="32"/>
                <w:szCs w:val="32"/>
                <w:lang w:val="en-US" w:eastAsia="zh-CN"/>
              </w:rPr>
              <w:t>身体健康，实行24小时值班及巡逻制度，熟悉工作区的环境，文明值勤，训练有素，言语规范，认真负责。</w:t>
            </w:r>
          </w:p>
        </w:tc>
        <w:tc>
          <w:tcPr>
            <w:tcW w:w="1512" w:type="dxa"/>
            <w:vMerge w:val="continue"/>
            <w:tcBorders>
              <w:left w:val="nil"/>
              <w:right w:val="single" w:color="auto" w:sz="4" w:space="0"/>
            </w:tcBorders>
            <w:vAlign w:val="center"/>
          </w:tcPr>
          <w:p w14:paraId="2A83918B">
            <w:pPr>
              <w:keepLines w:val="0"/>
              <w:pageBreakBefore w:val="0"/>
              <w:widowControl w:val="0"/>
              <w:kinsoku/>
              <w:wordWrap/>
              <w:overflowPunct/>
              <w:topLinePunct w:val="0"/>
              <w:bidi w:val="0"/>
              <w:spacing w:after="0" w:line="520" w:lineRule="exact"/>
              <w:jc w:val="center"/>
              <w:textAlignment w:val="auto"/>
              <w:rPr>
                <w:rFonts w:hint="eastAsia" w:ascii="仿宋_GB2312" w:hAnsi="仿宋_GB2312" w:eastAsia="仿宋_GB2312" w:cs="仿宋_GB2312"/>
                <w:color w:val="auto"/>
                <w:kern w:val="2"/>
                <w:sz w:val="32"/>
                <w:szCs w:val="32"/>
              </w:rPr>
            </w:pPr>
          </w:p>
        </w:tc>
      </w:tr>
    </w:tbl>
    <w:p w14:paraId="61D69202">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color w:val="auto"/>
          <w:sz w:val="24"/>
          <w:szCs w:val="24"/>
          <w:highlight w:val="none"/>
          <w:lang w:eastAsia="zh-CN"/>
        </w:rPr>
      </w:pPr>
    </w:p>
    <w:p w14:paraId="3F1E00D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6B0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Body Text Indent"/>
    <w:basedOn w:val="1"/>
    <w:unhideWhenUsed/>
    <w:qFormat/>
    <w:uiPriority w:val="99"/>
    <w:pPr>
      <w:spacing w:after="120"/>
      <w:ind w:left="420" w:leftChars="200"/>
    </w:pPr>
    <w:rPr>
      <w:rFonts w:eastAsia="微软雅黑"/>
      <w:kern w:val="0"/>
      <w:sz w:val="24"/>
      <w:szCs w:val="20"/>
    </w:rPr>
  </w:style>
  <w:style w:type="paragraph" w:styleId="4">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2026-05-14T02:31:41Z</dcterms:created>
  <dc:creator>火星一号</dc:creator>
  <cp:lastModifiedBy>火星一号</cp:lastModifiedBy>
  <dcterms:modified xsi:type="dcterms:W3CDTF">2026-05-14T02:31:44Z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eyJoZGlkIjoiNGExYzIwMDNiMGYxM2FjY2U3ZjYzNDk1OGI5YmM2YWEiLCJ1c2VySWQiOiIzMDQyNTE4MTIifQ==</vt:lpwstr>
  </property>
  <property fmtid="{D5CDD505-2E9C-101B-9397-08002B2CF9AE}" pid="4" name="ICV">
    <vt:lpwstr>AB89DCBC9A1145FC8C2FDFBF574D9F86_12</vt:lpwstr>
  </property>
</Properties>
</file>