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04BFFA">
      <w:pPr>
        <w:widowControl w:val="0"/>
        <w:kinsoku/>
        <w:spacing w:before="47" w:line="219" w:lineRule="auto"/>
        <w:ind w:left="3805"/>
        <w:outlineLvl w:val="1"/>
        <w:rPr>
          <w:rFonts w:hint="eastAsia" w:ascii="宋体" w:hAnsi="宋体" w:eastAsia="宋体" w:cs="宋体"/>
          <w:color w:val="auto"/>
          <w:sz w:val="24"/>
          <w:szCs w:val="24"/>
          <w:highlight w:val="none"/>
        </w:rPr>
      </w:pPr>
      <w:r>
        <w:rPr>
          <w:rFonts w:ascii="宋体" w:hAnsi="宋体" w:eastAsia="宋体" w:cs="宋体"/>
          <w:color w:val="auto"/>
          <w:spacing w:val="-2"/>
          <w:sz w:val="24"/>
          <w:szCs w:val="24"/>
          <w:highlight w:val="none"/>
        </w:rPr>
        <w:t>采购</w:t>
      </w:r>
      <w:r>
        <w:rPr>
          <w:rFonts w:hint="eastAsia" w:ascii="宋体" w:hAnsi="宋体" w:eastAsia="宋体" w:cs="宋体"/>
          <w:color w:val="auto"/>
          <w:spacing w:val="-2"/>
          <w:sz w:val="24"/>
          <w:szCs w:val="24"/>
          <w:highlight w:val="none"/>
          <w:lang w:eastAsia="zh-CN"/>
        </w:rPr>
        <w:t>要</w:t>
      </w:r>
      <w:r>
        <w:rPr>
          <w:rFonts w:ascii="宋体" w:hAnsi="宋体" w:eastAsia="宋体" w:cs="宋体"/>
          <w:color w:val="auto"/>
          <w:spacing w:val="-2"/>
          <w:sz w:val="24"/>
          <w:szCs w:val="24"/>
          <w:highlight w:val="none"/>
        </w:rPr>
        <w:t>求</w:t>
      </w:r>
    </w:p>
    <w:p w14:paraId="0DB090F1">
      <w:pPr>
        <w:widowControl w:val="0"/>
        <w:kinsoku/>
        <w:spacing w:line="257" w:lineRule="auto"/>
        <w:rPr>
          <w:color w:val="auto"/>
          <w:highlight w:val="none"/>
        </w:rPr>
      </w:pPr>
    </w:p>
    <w:p w14:paraId="61A63C34">
      <w:pPr>
        <w:widowControl w:val="0"/>
        <w:kinsoku/>
        <w:spacing w:line="258" w:lineRule="auto"/>
        <w:rPr>
          <w:color w:val="auto"/>
          <w:highlight w:val="none"/>
        </w:rPr>
      </w:pPr>
    </w:p>
    <w:p w14:paraId="28FAC5D3">
      <w:pPr>
        <w:widowControl w:val="0"/>
        <w:kinsoku/>
        <w:spacing w:before="78" w:line="219" w:lineRule="auto"/>
        <w:rPr>
          <w:rFonts w:hint="eastAsia"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3E705BBD">
      <w:pPr>
        <w:widowControl w:val="0"/>
        <w:kinsoku/>
        <w:spacing w:line="242" w:lineRule="auto"/>
        <w:rPr>
          <w:color w:val="auto"/>
          <w:highlight w:val="none"/>
        </w:rPr>
      </w:pPr>
    </w:p>
    <w:tbl>
      <w:tblPr>
        <w:tblStyle w:val="2"/>
        <w:tblW w:w="10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1"/>
        <w:gridCol w:w="1277"/>
        <w:gridCol w:w="4603"/>
        <w:gridCol w:w="3336"/>
        <w:gridCol w:w="850"/>
      </w:tblGrid>
      <w:tr w14:paraId="0405C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531" w:type="dxa"/>
            <w:vAlign w:val="center"/>
          </w:tcPr>
          <w:p w14:paraId="47BD9707">
            <w:pPr>
              <w:spacing w:line="360" w:lineRule="auto"/>
              <w:jc w:val="center"/>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序号</w:t>
            </w:r>
          </w:p>
        </w:tc>
        <w:tc>
          <w:tcPr>
            <w:tcW w:w="1277" w:type="dxa"/>
            <w:vAlign w:val="center"/>
          </w:tcPr>
          <w:p w14:paraId="61818E35">
            <w:pPr>
              <w:spacing w:line="360" w:lineRule="auto"/>
              <w:jc w:val="center"/>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项目明细</w:t>
            </w:r>
          </w:p>
        </w:tc>
        <w:tc>
          <w:tcPr>
            <w:tcW w:w="4603" w:type="dxa"/>
            <w:vAlign w:val="center"/>
          </w:tcPr>
          <w:p w14:paraId="02BC71FB">
            <w:pPr>
              <w:spacing w:line="360" w:lineRule="auto"/>
              <w:jc w:val="center"/>
              <w:rPr>
                <w:rFonts w:ascii="宋体" w:hAnsi="宋体" w:eastAsia="宋体" w:cs="宋体"/>
                <w:b/>
                <w:color w:val="auto"/>
                <w:sz w:val="24"/>
                <w:szCs w:val="24"/>
                <w:highlight w:val="none"/>
                <w:lang w:eastAsia="zh-CN"/>
              </w:rPr>
            </w:pPr>
            <w:bookmarkStart w:id="0" w:name="OLE_LINK46"/>
            <w:bookmarkStart w:id="1" w:name="OLE_LINK34"/>
            <w:bookmarkStart w:id="2" w:name="OLE_LINK114"/>
            <w:r>
              <w:rPr>
                <w:rFonts w:hint="eastAsia" w:ascii="宋体" w:hAnsi="宋体" w:eastAsia="宋体" w:cs="宋体"/>
                <w:b/>
                <w:color w:val="auto"/>
                <w:sz w:val="24"/>
                <w:szCs w:val="24"/>
                <w:highlight w:val="none"/>
                <w:lang w:eastAsia="zh-CN"/>
              </w:rPr>
              <w:t>主要技术参数</w:t>
            </w:r>
          </w:p>
          <w:p w14:paraId="615070F2">
            <w:pPr>
              <w:spacing w:line="360" w:lineRule="auto"/>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lang w:eastAsia="zh-CN"/>
              </w:rPr>
              <w:t>（以下外形尺寸（长、宽、高），尺寸≥100mm的，允许偏差</w:t>
            </w:r>
            <w:bookmarkStart w:id="3" w:name="OLE_LINK159"/>
            <w:r>
              <w:rPr>
                <w:rFonts w:hint="eastAsia" w:ascii="宋体" w:hAnsi="宋体" w:eastAsia="宋体" w:cs="宋体"/>
                <w:b/>
                <w:color w:val="auto"/>
                <w:sz w:val="24"/>
                <w:szCs w:val="24"/>
                <w:highlight w:val="none"/>
                <w:lang w:eastAsia="zh-CN"/>
              </w:rPr>
              <w:t>±</w:t>
            </w:r>
            <w:bookmarkEnd w:id="3"/>
            <w:r>
              <w:rPr>
                <w:rFonts w:hint="eastAsia" w:ascii="宋体" w:hAnsi="宋体" w:eastAsia="宋体" w:cs="宋体"/>
                <w:b/>
                <w:color w:val="auto"/>
                <w:sz w:val="24"/>
                <w:szCs w:val="24"/>
                <w:highlight w:val="none"/>
                <w:lang w:eastAsia="zh-CN"/>
              </w:rPr>
              <w:t>5mm；尺寸&lt;100mm的，允许偏差±2mm。钢管、钢板、木板的厚度尺寸不允许负偏差。</w:t>
            </w:r>
            <w:r>
              <w:rPr>
                <w:rFonts w:hint="eastAsia" w:ascii="宋体" w:hAnsi="宋体" w:eastAsia="宋体" w:cs="宋体"/>
                <w:b/>
                <w:color w:val="auto"/>
                <w:sz w:val="24"/>
                <w:szCs w:val="24"/>
                <w:highlight w:val="none"/>
              </w:rPr>
              <w:t>）</w:t>
            </w:r>
            <w:bookmarkEnd w:id="0"/>
            <w:bookmarkEnd w:id="1"/>
            <w:bookmarkEnd w:id="2"/>
          </w:p>
        </w:tc>
        <w:tc>
          <w:tcPr>
            <w:tcW w:w="3336" w:type="dxa"/>
            <w:vAlign w:val="center"/>
          </w:tcPr>
          <w:p w14:paraId="1CA89D99">
            <w:pPr>
              <w:spacing w:line="360" w:lineRule="auto"/>
              <w:jc w:val="center"/>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参考图</w:t>
            </w:r>
          </w:p>
        </w:tc>
        <w:tc>
          <w:tcPr>
            <w:tcW w:w="850" w:type="dxa"/>
            <w:vAlign w:val="center"/>
          </w:tcPr>
          <w:p w14:paraId="61DD52B0">
            <w:pPr>
              <w:spacing w:line="360" w:lineRule="auto"/>
              <w:jc w:val="center"/>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数量</w:t>
            </w:r>
          </w:p>
        </w:tc>
      </w:tr>
      <w:tr w14:paraId="70113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531" w:type="dxa"/>
            <w:vAlign w:val="center"/>
          </w:tcPr>
          <w:p w14:paraId="59A3A3EC">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77" w:type="dxa"/>
            <w:vAlign w:val="center"/>
          </w:tcPr>
          <w:p w14:paraId="4EE1B913">
            <w:pPr>
              <w:spacing w:line="360" w:lineRule="auto"/>
              <w:jc w:val="center"/>
              <w:rPr>
                <w:rFonts w:ascii="宋体" w:hAnsi="宋体" w:eastAsia="宋体" w:cs="宋体"/>
                <w:color w:val="auto"/>
                <w:sz w:val="24"/>
                <w:szCs w:val="24"/>
                <w:highlight w:val="none"/>
              </w:rPr>
            </w:pPr>
            <w:bookmarkStart w:id="4" w:name="OLE_LINK40"/>
            <w:r>
              <w:rPr>
                <w:rFonts w:hint="eastAsia" w:ascii="宋体" w:hAnsi="宋体" w:eastAsia="宋体" w:cs="宋体"/>
                <w:color w:val="auto"/>
                <w:sz w:val="24"/>
                <w:szCs w:val="24"/>
                <w:highlight w:val="none"/>
              </w:rPr>
              <w:t>活动联排课桌椅</w:t>
            </w:r>
            <w:bookmarkEnd w:id="4"/>
          </w:p>
        </w:tc>
        <w:tc>
          <w:tcPr>
            <w:tcW w:w="4603" w:type="dxa"/>
            <w:vAlign w:val="center"/>
          </w:tcPr>
          <w:p w14:paraId="3D3DE238">
            <w:pPr>
              <w:spacing w:line="360" w:lineRule="auto"/>
              <w:ind w:firstLine="1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1、规格：座宽</w:t>
            </w:r>
            <w:bookmarkStart w:id="5" w:name="OLE_LINK19"/>
            <w:bookmarkStart w:id="6" w:name="OLE_LINK18"/>
            <w:r>
              <w:rPr>
                <w:rFonts w:hint="eastAsia" w:ascii="宋体" w:hAnsi="宋体" w:eastAsia="宋体" w:cs="宋体"/>
                <w:color w:val="auto"/>
                <w:sz w:val="24"/>
                <w:szCs w:val="24"/>
                <w:highlight w:val="none"/>
                <w:lang w:eastAsia="zh-CN"/>
              </w:rPr>
              <w:t>中到中距</w:t>
            </w:r>
            <w:bookmarkEnd w:id="5"/>
            <w:bookmarkEnd w:id="6"/>
            <w:r>
              <w:rPr>
                <w:rFonts w:hint="eastAsia" w:ascii="宋体" w:hAnsi="宋体" w:eastAsia="宋体" w:cs="宋体"/>
                <w:color w:val="auto"/>
                <w:sz w:val="24"/>
                <w:szCs w:val="24"/>
                <w:highlight w:val="none"/>
                <w:lang w:eastAsia="zh-CN"/>
              </w:rPr>
              <w:t>520mm，座高450mm，桌面离地高760mm，具体规格</w:t>
            </w:r>
            <w:r>
              <w:rPr>
                <w:rFonts w:hint="eastAsia" w:ascii="宋体" w:hAnsi="宋体" w:eastAsia="宋体" w:cs="宋体"/>
                <w:bCs/>
                <w:color w:val="auto"/>
                <w:sz w:val="24"/>
                <w:szCs w:val="24"/>
                <w:highlight w:val="none"/>
                <w:lang w:eastAsia="zh-CN"/>
              </w:rPr>
              <w:t>、排位按照实际使用的教室大小来确定</w:t>
            </w:r>
            <w:r>
              <w:rPr>
                <w:rFonts w:hint="eastAsia" w:ascii="宋体" w:hAnsi="宋体" w:eastAsia="宋体" w:cs="宋体"/>
                <w:color w:val="auto"/>
                <w:sz w:val="24"/>
                <w:szCs w:val="24"/>
                <w:highlight w:val="none"/>
                <w:lang w:eastAsia="zh-CN"/>
              </w:rPr>
              <w:t>。</w:t>
            </w:r>
            <w:bookmarkStart w:id="7" w:name="OLE_LINK134"/>
            <w:r>
              <w:rPr>
                <w:rFonts w:hint="eastAsia" w:ascii="宋体" w:hAnsi="宋体" w:eastAsia="宋体" w:cs="宋体"/>
                <w:color w:val="auto"/>
                <w:spacing w:val="-6"/>
                <w:sz w:val="24"/>
                <w:szCs w:val="24"/>
                <w:highlight w:val="none"/>
                <w:lang w:eastAsia="zh-CN"/>
              </w:rPr>
              <w:t>木制品颜色中标后由采购人确定</w:t>
            </w:r>
            <w:bookmarkEnd w:id="7"/>
            <w:r>
              <w:rPr>
                <w:rFonts w:hint="eastAsia" w:ascii="宋体" w:hAnsi="宋体" w:eastAsia="宋体" w:cs="宋体"/>
                <w:color w:val="auto"/>
                <w:spacing w:val="-6"/>
                <w:sz w:val="24"/>
                <w:szCs w:val="24"/>
                <w:highlight w:val="none"/>
                <w:lang w:eastAsia="zh-CN"/>
              </w:rPr>
              <w:t>。</w:t>
            </w:r>
            <w:r>
              <w:rPr>
                <w:rFonts w:hint="eastAsia" w:ascii="宋体" w:hAnsi="宋体" w:cs="宋体"/>
                <w:color w:val="auto"/>
                <w:spacing w:val="-6"/>
                <w:sz w:val="24"/>
                <w:szCs w:val="24"/>
                <w:highlight w:val="none"/>
                <w:lang w:val="en-US" w:eastAsia="zh-CN"/>
              </w:rPr>
              <w:t>单个座位</w:t>
            </w:r>
            <w:r>
              <w:rPr>
                <w:rFonts w:hint="eastAsia" w:ascii="宋体" w:hAnsi="宋体" w:eastAsia="宋体" w:cs="宋体"/>
                <w:bCs/>
                <w:color w:val="auto"/>
                <w:sz w:val="24"/>
                <w:szCs w:val="24"/>
                <w:highlight w:val="none"/>
                <w:shd w:val="clear" w:color="auto" w:fill="FFFFFF"/>
              </w:rPr>
              <w:t>有效承重</w:t>
            </w:r>
            <w:r>
              <w:rPr>
                <w:rFonts w:hint="eastAsia" w:ascii="宋体" w:hAnsi="宋体" w:eastAsia="宋体" w:cs="宋体"/>
                <w:color w:val="auto"/>
                <w:sz w:val="24"/>
                <w:szCs w:val="24"/>
                <w:highlight w:val="none"/>
              </w:rPr>
              <w:t>≥1</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0公斤。</w:t>
            </w:r>
          </w:p>
          <w:p w14:paraId="59C7B5EC">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2、脚立柱和主横梁：</w:t>
            </w:r>
            <w:bookmarkStart w:id="8" w:name="OLE_LINK41"/>
            <w:r>
              <w:rPr>
                <w:rFonts w:hint="eastAsia" w:ascii="宋体" w:hAnsi="宋体" w:eastAsia="宋体" w:cs="宋体"/>
                <w:color w:val="auto"/>
                <w:sz w:val="24"/>
                <w:szCs w:val="24"/>
                <w:highlight w:val="none"/>
                <w:lang w:eastAsia="zh-CN"/>
              </w:rPr>
              <w:t>脚立柱采用冷轧40mm *80mm*厚度≥1.5mm椭圆管，主横梁采用冷轧40mm *80mm *厚</w:t>
            </w:r>
            <w:bookmarkStart w:id="9" w:name="OLE_LINK7"/>
            <w:bookmarkStart w:id="10" w:name="OLE_LINK8"/>
            <w:r>
              <w:rPr>
                <w:rFonts w:hint="eastAsia" w:ascii="宋体" w:hAnsi="宋体" w:eastAsia="宋体" w:cs="宋体"/>
                <w:color w:val="auto"/>
                <w:sz w:val="24"/>
                <w:szCs w:val="24"/>
                <w:highlight w:val="none"/>
                <w:lang w:eastAsia="zh-CN"/>
              </w:rPr>
              <w:t>度</w:t>
            </w:r>
            <w:bookmarkEnd w:id="9"/>
            <w:bookmarkEnd w:id="10"/>
            <w:r>
              <w:rPr>
                <w:rFonts w:hint="eastAsia" w:ascii="宋体" w:hAnsi="宋体" w:eastAsia="宋体" w:cs="宋体"/>
                <w:color w:val="auto"/>
                <w:sz w:val="24"/>
                <w:szCs w:val="24"/>
                <w:highlight w:val="none"/>
                <w:lang w:eastAsia="zh-CN"/>
              </w:rPr>
              <w:t>≥2.0mm方管，</w:t>
            </w:r>
            <w:bookmarkEnd w:id="8"/>
            <w:r>
              <w:rPr>
                <w:rFonts w:hint="eastAsia" w:ascii="宋体" w:hAnsi="宋体" w:eastAsia="宋体" w:cs="宋体"/>
                <w:color w:val="auto"/>
                <w:sz w:val="24"/>
                <w:szCs w:val="24"/>
                <w:highlight w:val="none"/>
                <w:lang w:eastAsia="zh-CN"/>
              </w:rPr>
              <w:t>管材表面作防氧化处理后经高温喷涂处理，抗冲击、耐腐蚀、不生锈、不褪色、经久耐用。</w:t>
            </w:r>
          </w:p>
          <w:p w14:paraId="055CB8AD">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3、脚掌：规格</w:t>
            </w:r>
            <w:r>
              <w:rPr>
                <w:rFonts w:hint="eastAsia" w:ascii="宋体" w:hAnsi="宋体" w:cs="宋体"/>
                <w:color w:val="auto"/>
                <w:sz w:val="24"/>
                <w:szCs w:val="24"/>
                <w:highlight w:val="none"/>
                <w:lang w:val="en-US" w:eastAsia="zh-CN"/>
              </w:rPr>
              <w:t>600</w:t>
            </w:r>
            <w:r>
              <w:rPr>
                <w:rFonts w:hint="eastAsia" w:ascii="宋体" w:hAnsi="宋体" w:eastAsia="宋体" w:cs="宋体"/>
                <w:color w:val="auto"/>
                <w:sz w:val="24"/>
                <w:szCs w:val="24"/>
                <w:highlight w:val="none"/>
                <w:lang w:eastAsia="zh-CN"/>
              </w:rPr>
              <w:t xml:space="preserve"> mm（长）*</w:t>
            </w:r>
            <w:r>
              <w:rPr>
                <w:rFonts w:hint="eastAsia" w:ascii="宋体" w:hAnsi="宋体" w:cs="宋体"/>
                <w:color w:val="auto"/>
                <w:sz w:val="24"/>
                <w:szCs w:val="24"/>
                <w:highlight w:val="none"/>
                <w:lang w:val="en-US" w:eastAsia="zh-CN"/>
              </w:rPr>
              <w:t>73</w:t>
            </w:r>
            <w:r>
              <w:rPr>
                <w:rFonts w:hint="eastAsia" w:ascii="宋体" w:hAnsi="宋体" w:eastAsia="宋体" w:cs="宋体"/>
                <w:color w:val="auto"/>
                <w:sz w:val="24"/>
                <w:szCs w:val="24"/>
                <w:highlight w:val="none"/>
                <w:lang w:eastAsia="zh-CN"/>
              </w:rPr>
              <w:t>mm（宽），采用厚度≥2.0 mm冷轧钢经模具一次冲压成型，与脚立柱焊接组合成型。</w:t>
            </w:r>
            <w:bookmarkStart w:id="11" w:name="OLE_LINK126"/>
            <w:bookmarkStart w:id="12" w:name="OLE_LINK125"/>
            <w:bookmarkStart w:id="13" w:name="OLE_LINK53"/>
            <w:bookmarkStart w:id="14" w:name="OLE_LINK54"/>
            <w:r>
              <w:rPr>
                <w:rFonts w:hint="eastAsia" w:ascii="宋体" w:hAnsi="宋体" w:eastAsia="宋体" w:cs="宋体"/>
                <w:color w:val="auto"/>
                <w:sz w:val="24"/>
                <w:szCs w:val="24"/>
                <w:highlight w:val="none"/>
                <w:lang w:eastAsia="zh-CN"/>
              </w:rPr>
              <w:t>脚掌底部安装</w:t>
            </w:r>
            <w:bookmarkStart w:id="15" w:name="OLE_LINK99"/>
            <w:r>
              <w:rPr>
                <w:rFonts w:hint="eastAsia" w:ascii="宋体" w:hAnsi="宋体" w:eastAsia="宋体" w:cs="宋体"/>
                <w:color w:val="auto"/>
                <w:sz w:val="24"/>
                <w:szCs w:val="24"/>
                <w:highlight w:val="none"/>
                <w:lang w:eastAsia="zh-CN"/>
              </w:rPr>
              <w:t>加厚耐磨</w:t>
            </w:r>
            <w:bookmarkEnd w:id="15"/>
            <w:r>
              <w:rPr>
                <w:rFonts w:hint="eastAsia" w:ascii="宋体" w:hAnsi="宋体" w:eastAsia="宋体" w:cs="宋体"/>
                <w:color w:val="auto"/>
                <w:sz w:val="24"/>
                <w:szCs w:val="24"/>
                <w:highlight w:val="none"/>
                <w:lang w:eastAsia="zh-CN"/>
              </w:rPr>
              <w:t>橡胶脚垫保护地面，确保课桌椅摆放平稳，移动时噪音小。</w:t>
            </w:r>
            <w:bookmarkEnd w:id="11"/>
            <w:bookmarkEnd w:id="12"/>
            <w:r>
              <w:rPr>
                <w:rFonts w:hint="eastAsia" w:ascii="宋体" w:hAnsi="宋体" w:eastAsia="宋体" w:cs="宋体"/>
                <w:color w:val="auto"/>
                <w:sz w:val="24"/>
                <w:szCs w:val="24"/>
                <w:highlight w:val="none"/>
                <w:lang w:eastAsia="zh-CN"/>
              </w:rPr>
              <w:t xml:space="preserve"> </w:t>
            </w:r>
          </w:p>
          <w:bookmarkEnd w:id="13"/>
          <w:bookmarkEnd w:id="14"/>
          <w:p w14:paraId="191CD88C">
            <w:pPr>
              <w:spacing w:line="360" w:lineRule="auto"/>
              <w:ind w:firstLine="12" w:firstLineChars="5"/>
              <w:rPr>
                <w:rFonts w:ascii="宋体" w:hAnsi="宋体" w:eastAsia="宋体" w:cs="宋体"/>
                <w:color w:val="auto"/>
                <w:sz w:val="24"/>
                <w:szCs w:val="24"/>
                <w:highlight w:val="none"/>
                <w:lang w:eastAsia="zh-CN"/>
              </w:rPr>
            </w:pPr>
            <w:bookmarkStart w:id="16" w:name="OLE_LINK85"/>
            <w:bookmarkStart w:id="17" w:name="OLE_LINK83"/>
            <w:r>
              <w:rPr>
                <w:rFonts w:hint="eastAsia" w:ascii="宋体" w:hAnsi="宋体" w:eastAsia="宋体" w:cs="宋体"/>
                <w:color w:val="auto"/>
                <w:sz w:val="24"/>
                <w:szCs w:val="24"/>
                <w:highlight w:val="none"/>
                <w:lang w:eastAsia="zh-CN"/>
              </w:rPr>
              <w:t>4、桌面板、层板：桌面板宽350mm，厚度≥18mm；层板宽300mm，厚≥16mm；</w:t>
            </w:r>
            <w:bookmarkStart w:id="18" w:name="OLE_LINK72"/>
            <w:bookmarkStart w:id="19" w:name="OLE_LINK73"/>
            <w:r>
              <w:rPr>
                <w:rFonts w:hint="eastAsia" w:ascii="宋体" w:hAnsi="宋体" w:eastAsia="宋体" w:cs="宋体"/>
                <w:color w:val="auto"/>
                <w:sz w:val="24"/>
                <w:szCs w:val="24"/>
                <w:highlight w:val="none"/>
                <w:lang w:eastAsia="zh-CN"/>
              </w:rPr>
              <w:t>均采用多层板裁切成型后经干燥、防虫防腐处理，双面贴防火板，四周采用油漆封边工艺处理；板材无空心、气泡、松散、发霉、虫蛀，无明显崩缺及加工锯痕。</w:t>
            </w:r>
            <w:bookmarkEnd w:id="18"/>
            <w:bookmarkEnd w:id="19"/>
            <w:r>
              <w:rPr>
                <w:rFonts w:hint="eastAsia" w:ascii="宋体" w:hAnsi="宋体" w:eastAsia="宋体" w:cs="宋体"/>
                <w:color w:val="auto"/>
                <w:spacing w:val="-6"/>
                <w:sz w:val="24"/>
                <w:szCs w:val="24"/>
                <w:highlight w:val="none"/>
                <w:lang w:eastAsia="zh-CN"/>
              </w:rPr>
              <w:t>两人位、三人位课桌椅并排对齐摆放时，两块桌面板中间应做到无</w:t>
            </w:r>
            <w:r>
              <w:rPr>
                <w:rFonts w:hint="eastAsia" w:ascii="宋体" w:hAnsi="宋体" w:cs="宋体"/>
                <w:color w:val="auto"/>
                <w:spacing w:val="-6"/>
                <w:sz w:val="24"/>
                <w:szCs w:val="24"/>
                <w:highlight w:val="none"/>
                <w:lang w:val="en-US" w:eastAsia="zh-CN"/>
              </w:rPr>
              <w:t>明显</w:t>
            </w:r>
            <w:r>
              <w:rPr>
                <w:rFonts w:hint="eastAsia" w:ascii="宋体" w:hAnsi="宋体" w:eastAsia="宋体" w:cs="宋体"/>
                <w:color w:val="auto"/>
                <w:spacing w:val="-6"/>
                <w:sz w:val="24"/>
                <w:szCs w:val="24"/>
                <w:highlight w:val="none"/>
                <w:lang w:eastAsia="zh-CN"/>
              </w:rPr>
              <w:t>间隙。</w:t>
            </w:r>
          </w:p>
          <w:p w14:paraId="2E72353C">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5、座板、背板：厚度≥13mm</w:t>
            </w:r>
            <w:bookmarkStart w:id="20" w:name="OLE_LINK47"/>
            <w:bookmarkStart w:id="21" w:name="OLE_LINK36"/>
            <w:bookmarkStart w:id="22" w:name="OLE_LINK35"/>
            <w:r>
              <w:rPr>
                <w:rFonts w:hint="eastAsia" w:ascii="宋体" w:hAnsi="宋体" w:eastAsia="宋体" w:cs="宋体"/>
                <w:color w:val="auto"/>
                <w:sz w:val="24"/>
                <w:szCs w:val="24"/>
                <w:highlight w:val="none"/>
                <w:lang w:eastAsia="zh-CN"/>
              </w:rPr>
              <w:t>；均采用多层板裁切成型后经干燥、防虫防腐处理，双面贴防火板，四周采用油漆封边工艺处理；板材无空心、气泡、松散、发霉、虫蛀，无明显崩缺及加工锯痕。</w:t>
            </w:r>
            <w:bookmarkStart w:id="23" w:name="OLE_LINK127"/>
            <w:bookmarkStart w:id="24" w:name="OLE_LINK130"/>
            <w:r>
              <w:rPr>
                <w:rFonts w:hint="eastAsia" w:ascii="宋体" w:hAnsi="宋体" w:eastAsia="宋体" w:cs="宋体"/>
                <w:color w:val="auto"/>
                <w:sz w:val="24"/>
                <w:szCs w:val="24"/>
                <w:highlight w:val="none"/>
                <w:lang w:eastAsia="zh-CN"/>
              </w:rPr>
              <w:t>背板上下均采用U型钢板卡槽进行装饰并在反面用螺丝固定，装饰条与背板贴合紧密不起翘。座板和背板的设计和安装必须符合人体工程学原理，能自由形成身体曲线，坐感舒适。</w:t>
            </w:r>
            <w:bookmarkEnd w:id="20"/>
            <w:bookmarkEnd w:id="23"/>
            <w:bookmarkEnd w:id="24"/>
          </w:p>
          <w:bookmarkEnd w:id="16"/>
          <w:bookmarkEnd w:id="17"/>
          <w:bookmarkEnd w:id="21"/>
          <w:bookmarkEnd w:id="22"/>
          <w:p w14:paraId="26D3E36F">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6、支撑钢板：</w:t>
            </w:r>
            <w:bookmarkStart w:id="25" w:name="OLE_LINK48"/>
            <w:r>
              <w:rPr>
                <w:rFonts w:hint="eastAsia" w:ascii="宋体" w:hAnsi="宋体" w:eastAsia="宋体" w:cs="宋体"/>
                <w:color w:val="auto"/>
                <w:sz w:val="24"/>
                <w:szCs w:val="24"/>
                <w:highlight w:val="none"/>
                <w:lang w:eastAsia="zh-CN"/>
              </w:rPr>
              <w:t>桌面板支撑钢板采用厚度≥1.8mm冷轧钢板一次冲压成型，层板支撑钢板采用厚度≥1.5mm冷轧钢板一次冲压成型。座板底部支撑钢板采用厚度≥2.5mm冷轧钢板一次冲压成型。座板支撑架与主横梁采用螺丝固定，与主横梁的连接钢板采用厚度≥4mm冷轧钢板一次冲压成型</w:t>
            </w:r>
            <w:bookmarkStart w:id="26" w:name="OLE_LINK80"/>
            <w:r>
              <w:rPr>
                <w:rFonts w:hint="eastAsia" w:ascii="宋体" w:hAnsi="宋体" w:eastAsia="宋体" w:cs="宋体"/>
                <w:color w:val="auto"/>
                <w:sz w:val="24"/>
                <w:szCs w:val="24"/>
                <w:highlight w:val="none"/>
                <w:lang w:eastAsia="zh-CN"/>
              </w:rPr>
              <w:t>，</w:t>
            </w:r>
            <w:bookmarkEnd w:id="25"/>
            <w:r>
              <w:rPr>
                <w:rFonts w:hint="eastAsia" w:ascii="宋体" w:hAnsi="宋体" w:eastAsia="宋体" w:cs="宋体"/>
                <w:color w:val="auto"/>
                <w:sz w:val="24"/>
                <w:szCs w:val="24"/>
                <w:highlight w:val="none"/>
                <w:lang w:eastAsia="zh-CN"/>
              </w:rPr>
              <w:t>确保安全牢固。</w:t>
            </w:r>
            <w:bookmarkEnd w:id="26"/>
          </w:p>
          <w:p w14:paraId="40CD385B">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7、回复机构：</w:t>
            </w:r>
            <w:bookmarkStart w:id="27" w:name="OLE_LINK57"/>
            <w:r>
              <w:rPr>
                <w:rFonts w:hint="eastAsia" w:ascii="宋体" w:hAnsi="宋体" w:eastAsia="宋体" w:cs="宋体"/>
                <w:color w:val="auto"/>
                <w:sz w:val="24"/>
                <w:szCs w:val="24"/>
                <w:highlight w:val="none"/>
                <w:lang w:eastAsia="zh-CN"/>
              </w:rPr>
              <w:t>采用带阻尼缓冲自动回位机构</w:t>
            </w:r>
            <w:bookmarkStart w:id="28" w:name="OLE_LINK132"/>
            <w:bookmarkStart w:id="29" w:name="OLE_LINK131"/>
            <w:r>
              <w:rPr>
                <w:rFonts w:hint="eastAsia" w:ascii="宋体" w:hAnsi="宋体" w:eastAsia="宋体" w:cs="宋体"/>
                <w:color w:val="auto"/>
                <w:sz w:val="24"/>
                <w:szCs w:val="24"/>
                <w:highlight w:val="none"/>
                <w:lang w:eastAsia="zh-CN"/>
              </w:rPr>
              <w:t>，</w:t>
            </w:r>
            <w:bookmarkStart w:id="30" w:name="OLE_LINK32"/>
            <w:r>
              <w:rPr>
                <w:rFonts w:hint="eastAsia" w:ascii="宋体" w:hAnsi="宋体" w:eastAsia="宋体" w:cs="宋体"/>
                <w:color w:val="auto"/>
                <w:sz w:val="24"/>
                <w:szCs w:val="24"/>
                <w:highlight w:val="none"/>
                <w:lang w:eastAsia="zh-CN"/>
              </w:rPr>
              <w:t>座板坐下去和回弹复位时都要做到回复顺畅</w:t>
            </w:r>
            <w:bookmarkEnd w:id="30"/>
            <w:bookmarkStart w:id="31" w:name="OLE_LINK95"/>
            <w:bookmarkStart w:id="32" w:name="OLE_LINK98"/>
            <w:r>
              <w:rPr>
                <w:rFonts w:hint="eastAsia" w:ascii="宋体" w:hAnsi="宋体" w:eastAsia="宋体" w:cs="宋体"/>
                <w:color w:val="auto"/>
                <w:sz w:val="24"/>
                <w:szCs w:val="24"/>
                <w:highlight w:val="none"/>
                <w:lang w:eastAsia="zh-CN"/>
              </w:rPr>
              <w:t>无异响</w:t>
            </w:r>
            <w:bookmarkEnd w:id="28"/>
            <w:bookmarkEnd w:id="29"/>
            <w:bookmarkEnd w:id="31"/>
            <w:bookmarkEnd w:id="32"/>
            <w:r>
              <w:rPr>
                <w:rFonts w:hint="eastAsia" w:ascii="宋体" w:hAnsi="宋体" w:eastAsia="宋体" w:cs="宋体"/>
                <w:color w:val="auto"/>
                <w:sz w:val="24"/>
                <w:szCs w:val="24"/>
                <w:highlight w:val="none"/>
                <w:lang w:eastAsia="zh-CN"/>
              </w:rPr>
              <w:t>。</w:t>
            </w:r>
            <w:bookmarkEnd w:id="27"/>
          </w:p>
          <w:p w14:paraId="3711E197">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8、螺丝：采用电镀圆柱头内六角螺杆，坚固、耐用、不易生锈。</w:t>
            </w:r>
          </w:p>
          <w:p w14:paraId="6D9026D2">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9、焊接工艺：所有钢管要求采用优质国标钢材，焊接全部采用二氧化碳保护焊接，表面波纹均匀，焊接无裂纹、无夹渣、无气孔、无焊丝头咬边，无脱焊、虚焊、焊穿。</w:t>
            </w:r>
          </w:p>
          <w:p w14:paraId="7E2B465D">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10、</w:t>
            </w:r>
            <w:bookmarkStart w:id="33" w:name="OLE_LINK97"/>
            <w:bookmarkStart w:id="34" w:name="OLE_LINK96"/>
            <w:bookmarkStart w:id="35" w:name="OLE_LINK33"/>
            <w:r>
              <w:rPr>
                <w:rFonts w:hint="eastAsia" w:ascii="宋体" w:hAnsi="宋体" w:eastAsia="宋体" w:cs="宋体"/>
                <w:color w:val="auto"/>
                <w:sz w:val="24"/>
                <w:szCs w:val="24"/>
                <w:highlight w:val="none"/>
                <w:lang w:eastAsia="zh-CN"/>
              </w:rPr>
              <w:t>所有钢材经过除锈、除油、物理抛丸处理，管材表面无裂纹、毛刺、结疤、错位、压痕或划痕。采用环保产品环氧聚酯塑粉静电喷塑，喷塑外膜的表面光滑平整，色泽均匀，喷塑层无漏喷、起泡、模糊、划痕或碰伤等缺陷。</w:t>
            </w:r>
            <w:bookmarkStart w:id="36" w:name="OLE_LINK16"/>
            <w:r>
              <w:rPr>
                <w:rFonts w:hint="eastAsia" w:ascii="宋体" w:hAnsi="宋体" w:eastAsia="宋体" w:cs="宋体"/>
                <w:color w:val="auto"/>
                <w:sz w:val="24"/>
                <w:szCs w:val="24"/>
                <w:highlight w:val="none"/>
                <w:lang w:eastAsia="zh-CN"/>
              </w:rPr>
              <w:t>成品件喷塑表面漆膜厚度≥100</w:t>
            </w:r>
            <w:r>
              <w:rPr>
                <w:rFonts w:hint="eastAsia" w:ascii="宋体" w:hAnsi="宋体" w:eastAsia="宋体" w:cs="宋体"/>
                <w:color w:val="auto"/>
                <w:sz w:val="24"/>
                <w:szCs w:val="24"/>
                <w:highlight w:val="none"/>
              </w:rPr>
              <w:t>μ</w:t>
            </w:r>
            <w:r>
              <w:rPr>
                <w:rFonts w:hint="eastAsia" w:ascii="宋体" w:hAnsi="宋体" w:eastAsia="宋体" w:cs="宋体"/>
                <w:color w:val="auto"/>
                <w:sz w:val="24"/>
                <w:szCs w:val="24"/>
                <w:highlight w:val="none"/>
                <w:lang w:eastAsia="zh-CN"/>
              </w:rPr>
              <w:t>m。</w:t>
            </w:r>
          </w:p>
          <w:bookmarkEnd w:id="36"/>
          <w:p w14:paraId="5EBA3165">
            <w:pPr>
              <w:spacing w:line="360" w:lineRule="auto"/>
              <w:ind w:firstLine="12" w:firstLineChars="5"/>
              <w:rPr>
                <w:rFonts w:ascii="宋体" w:hAnsi="宋体" w:eastAsia="宋体" w:cs="宋体"/>
                <w:color w:val="auto"/>
                <w:sz w:val="24"/>
                <w:szCs w:val="24"/>
                <w:highlight w:val="none"/>
                <w:lang w:eastAsia="zh-CN"/>
              </w:rPr>
            </w:pPr>
            <w:bookmarkStart w:id="37" w:name="OLE_LINK164"/>
            <w:bookmarkStart w:id="38" w:name="OLE_LINK165"/>
            <w:r>
              <w:rPr>
                <w:rFonts w:hint="eastAsia" w:ascii="宋体" w:hAnsi="宋体" w:eastAsia="宋体" w:cs="宋体"/>
                <w:color w:val="auto"/>
                <w:sz w:val="24"/>
                <w:szCs w:val="24"/>
                <w:highlight w:val="none"/>
                <w:lang w:eastAsia="zh-CN"/>
              </w:rPr>
              <w:t>11、外观设计：符合人体工程学原理，结构全拆装设置。所有与学生身体接触部位（含桌面边缘、桌腿、椅面边缘、椅背及支撑结构等）须进行倒圆处理，防止安全事故发生。</w:t>
            </w:r>
          </w:p>
          <w:p w14:paraId="2B414793">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12、所有钢板、钢管、饰面多层板、五金配件、塑料件及其他组件均须为全新制造的原厂材料，未曾经过任何形式的使用、翻新、维修或二次加工。</w:t>
            </w:r>
          </w:p>
          <w:bookmarkEnd w:id="33"/>
          <w:bookmarkEnd w:id="34"/>
          <w:bookmarkEnd w:id="35"/>
          <w:bookmarkEnd w:id="37"/>
          <w:bookmarkEnd w:id="38"/>
          <w:p w14:paraId="6FDF7EF7">
            <w:pPr>
              <w:spacing w:line="360" w:lineRule="auto"/>
              <w:ind w:firstLine="12" w:firstLineChars="5"/>
              <w:textAlignment w:val="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13、原材料及成品符合GB/T 11253-2019《碳素结构钢冷轧钢板及钢带》、GB/T 9846-2015《普通胶合板》、GB/T 34722-</w:t>
            </w:r>
            <w:r>
              <w:rPr>
                <w:rFonts w:hint="eastAsia" w:ascii="宋体" w:hAnsi="宋体" w:cs="宋体"/>
                <w:color w:val="auto"/>
                <w:sz w:val="24"/>
                <w:szCs w:val="24"/>
                <w:highlight w:val="none"/>
                <w:lang w:val="en-US" w:eastAsia="zh-CN"/>
              </w:rPr>
              <w:t>2025</w:t>
            </w:r>
            <w:r>
              <w:rPr>
                <w:rFonts w:hint="eastAsia" w:ascii="宋体" w:hAnsi="宋体" w:eastAsia="宋体" w:cs="宋体"/>
                <w:color w:val="auto"/>
                <w:sz w:val="24"/>
                <w:szCs w:val="24"/>
                <w:highlight w:val="none"/>
                <w:lang w:eastAsia="zh-CN"/>
              </w:rPr>
              <w:t>《浸渍胶膜纸饰面胶合板和细木工板》、QB/T4071-2021《课桌椅》、GB 18580-2017《室内装饰装修材料人造板及其制品中甲醛释放限量》、GB/T39600-2021《人造板及其制品甲醛释放量分级》、GB/T35607-2024《绿色产品评价家具》、GB/T 3325-2024 《金属家具通用技术条件》</w:t>
            </w:r>
            <w:r>
              <w:rPr>
                <w:rFonts w:hint="eastAsia" w:ascii="宋体" w:hAnsi="宋体" w:cs="宋体"/>
                <w:color w:val="auto"/>
                <w:sz w:val="24"/>
                <w:szCs w:val="24"/>
                <w:highlight w:val="none"/>
                <w:lang w:eastAsia="zh-CN"/>
              </w:rPr>
              <w:t>、</w:t>
            </w:r>
            <w:r>
              <w:rPr>
                <w:rFonts w:hint="eastAsia" w:ascii="宋体" w:hAnsi="宋体" w:eastAsia="宋体" w:cs="宋体"/>
                <w:bCs w:val="0"/>
                <w:color w:val="auto"/>
                <w:sz w:val="24"/>
                <w:szCs w:val="24"/>
                <w:highlight w:val="none"/>
                <w:shd w:val="clear" w:color="auto" w:fill="auto"/>
                <w:lang w:eastAsia="zh-CN"/>
              </w:rPr>
              <w:t>GB28008-2024《家具结构安全技术规范》</w:t>
            </w:r>
            <w:r>
              <w:rPr>
                <w:rFonts w:hint="eastAsia" w:ascii="宋体" w:hAnsi="宋体" w:eastAsia="宋体" w:cs="宋体"/>
                <w:bCs w:val="0"/>
                <w:color w:val="auto"/>
                <w:sz w:val="24"/>
                <w:szCs w:val="24"/>
                <w:highlight w:val="none"/>
                <w:shd w:val="clear" w:color="auto" w:fill="auto"/>
                <w:lang w:val="en-US" w:eastAsia="zh-CN"/>
              </w:rPr>
              <w:t>、</w:t>
            </w:r>
            <w:r>
              <w:rPr>
                <w:rFonts w:hint="eastAsia" w:ascii="宋体" w:hAnsi="宋体" w:eastAsia="宋体" w:cs="宋体"/>
                <w:bCs w:val="0"/>
                <w:color w:val="auto"/>
                <w:sz w:val="24"/>
                <w:szCs w:val="24"/>
                <w:highlight w:val="none"/>
                <w:shd w:val="clear" w:color="auto" w:fill="auto"/>
                <w:lang w:eastAsia="zh-CN"/>
              </w:rPr>
              <w:t>GB18584-2024《家具中有害物质限量》</w:t>
            </w:r>
            <w:r>
              <w:rPr>
                <w:rFonts w:hint="eastAsia" w:ascii="宋体" w:hAnsi="宋体" w:eastAsia="宋体" w:cs="宋体"/>
                <w:color w:val="auto"/>
                <w:sz w:val="24"/>
                <w:szCs w:val="24"/>
                <w:highlight w:val="none"/>
                <w:lang w:eastAsia="zh-CN"/>
              </w:rPr>
              <w:t>等标准。</w:t>
            </w:r>
          </w:p>
          <w:p w14:paraId="034F7E29">
            <w:pPr>
              <w:spacing w:line="360" w:lineRule="auto"/>
              <w:textAlignment w:val="bottom"/>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14、符合GB 18580-2017《室内装饰装修材料人造板及其制品中甲醛释放限量》、GB/T39600-2021《人造板及其制品甲醛释放量分级》</w:t>
            </w:r>
            <w:r>
              <w:rPr>
                <w:rFonts w:hint="eastAsia" w:ascii="宋体" w:hAnsi="宋体" w:cs="宋体"/>
                <w:color w:val="auto"/>
                <w:sz w:val="24"/>
                <w:szCs w:val="24"/>
                <w:highlight w:val="none"/>
                <w:lang w:eastAsia="zh-CN"/>
              </w:rPr>
              <w:t>标准</w:t>
            </w:r>
            <w:r>
              <w:rPr>
                <w:rFonts w:hint="eastAsia" w:ascii="宋体" w:hAnsi="宋体" w:eastAsia="宋体" w:cs="宋体"/>
                <w:color w:val="auto"/>
                <w:sz w:val="24"/>
                <w:szCs w:val="24"/>
                <w:highlight w:val="none"/>
                <w:lang w:eastAsia="zh-CN"/>
              </w:rPr>
              <w:t>，饰面多层板的甲醛释放量≤0.05㎎/m³。</w:t>
            </w:r>
            <w:r>
              <w:rPr>
                <w:rFonts w:hint="eastAsia" w:ascii="宋体" w:hAnsi="宋体" w:eastAsia="宋体" w:cs="宋体"/>
                <w:b/>
                <w:bCs/>
                <w:color w:val="auto"/>
                <w:sz w:val="24"/>
                <w:szCs w:val="24"/>
                <w:highlight w:val="none"/>
                <w:lang w:eastAsia="zh-CN"/>
              </w:rPr>
              <w:t>（响应文件中需同时提供第三方检测机构出具合格的“带有CMA标识”检验（测）报告扫描件及国家认证认可公共信息服务平台及检验机构报告真伪查询结果截图）</w:t>
            </w:r>
          </w:p>
        </w:tc>
        <w:tc>
          <w:tcPr>
            <w:tcW w:w="3336" w:type="dxa"/>
            <w:vAlign w:val="center"/>
          </w:tcPr>
          <w:p w14:paraId="09FF252E">
            <w:pPr>
              <w:spacing w:line="360" w:lineRule="auto"/>
              <w:jc w:val="center"/>
              <w:rPr>
                <w:rFonts w:ascii="宋体" w:hAnsi="宋体" w:eastAsia="宋体" w:cs="宋体"/>
                <w:color w:val="auto"/>
                <w:sz w:val="24"/>
                <w:szCs w:val="24"/>
                <w:highlight w:val="none"/>
                <w:lang w:eastAsia="zh-CN"/>
              </w:rPr>
            </w:pPr>
          </w:p>
          <w:p w14:paraId="3A2A15B8">
            <w:pPr>
              <w:spacing w:line="360" w:lineRule="auto"/>
              <w:jc w:val="center"/>
              <w:rPr>
                <w:rFonts w:ascii="宋体" w:hAnsi="宋体" w:eastAsia="宋体" w:cs="宋体"/>
                <w:color w:val="auto"/>
                <w:sz w:val="24"/>
                <w:szCs w:val="24"/>
                <w:highlight w:val="none"/>
                <w:lang w:eastAsia="zh-CN"/>
              </w:rPr>
            </w:pPr>
          </w:p>
          <w:p w14:paraId="2B3C97D9">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drawing>
                <wp:inline distT="0" distB="0" distL="114300" distR="114300">
                  <wp:extent cx="2171700" cy="2868930"/>
                  <wp:effectExtent l="0" t="0" r="0" b="7620"/>
                  <wp:docPr id="9" name="图片 11" descr="236783130698400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 descr="236783130698400550"/>
                          <pic:cNvPicPr>
                            <a:picLocks noChangeAspect="1"/>
                          </pic:cNvPicPr>
                        </pic:nvPicPr>
                        <pic:blipFill>
                          <a:blip r:embed="rId4" cstate="print"/>
                          <a:stretch>
                            <a:fillRect/>
                          </a:stretch>
                        </pic:blipFill>
                        <pic:spPr>
                          <a:xfrm>
                            <a:off x="0" y="0"/>
                            <a:ext cx="2171700" cy="2868930"/>
                          </a:xfrm>
                          <a:prstGeom prst="rect">
                            <a:avLst/>
                          </a:prstGeom>
                          <a:noFill/>
                          <a:ln>
                            <a:noFill/>
                          </a:ln>
                        </pic:spPr>
                      </pic:pic>
                    </a:graphicData>
                  </a:graphic>
                </wp:inline>
              </w:drawing>
            </w:r>
          </w:p>
        </w:tc>
        <w:tc>
          <w:tcPr>
            <w:tcW w:w="850" w:type="dxa"/>
            <w:vAlign w:val="center"/>
          </w:tcPr>
          <w:p w14:paraId="5525F4FD">
            <w:pPr>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Cs w:val="21"/>
                <w:highlight w:val="none"/>
              </w:rPr>
              <w:t>550位</w:t>
            </w:r>
          </w:p>
        </w:tc>
      </w:tr>
      <w:tr w14:paraId="261EF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 w:hRule="atLeast"/>
          <w:jc w:val="center"/>
        </w:trPr>
        <w:tc>
          <w:tcPr>
            <w:tcW w:w="531" w:type="dxa"/>
            <w:vAlign w:val="center"/>
          </w:tcPr>
          <w:p w14:paraId="05974FA0">
            <w:pPr>
              <w:spacing w:line="360" w:lineRule="auto"/>
              <w:jc w:val="center"/>
              <w:rPr>
                <w:rFonts w:ascii="宋体" w:hAnsi="宋体" w:eastAsia="宋体" w:cs="宋体"/>
                <w:color w:val="auto"/>
                <w:sz w:val="24"/>
                <w:szCs w:val="24"/>
                <w:highlight w:val="none"/>
              </w:rPr>
            </w:pPr>
            <w:bookmarkStart w:id="39" w:name="_Hlk201674522"/>
            <w:r>
              <w:rPr>
                <w:rFonts w:hint="eastAsia" w:ascii="宋体" w:hAnsi="宋体" w:eastAsia="宋体" w:cs="宋体"/>
                <w:color w:val="auto"/>
                <w:sz w:val="24"/>
                <w:szCs w:val="24"/>
                <w:highlight w:val="none"/>
              </w:rPr>
              <w:t>2</w:t>
            </w:r>
          </w:p>
        </w:tc>
        <w:tc>
          <w:tcPr>
            <w:tcW w:w="1277" w:type="dxa"/>
            <w:shd w:val="clear" w:color="auto" w:fill="auto"/>
            <w:vAlign w:val="center"/>
          </w:tcPr>
          <w:p w14:paraId="65A2F3CD">
            <w:pPr>
              <w:spacing w:line="360" w:lineRule="auto"/>
              <w:jc w:val="center"/>
              <w:rPr>
                <w:rFonts w:ascii="宋体" w:hAnsi="宋体" w:eastAsia="宋体" w:cs="宋体"/>
                <w:color w:val="auto"/>
                <w:sz w:val="24"/>
                <w:szCs w:val="24"/>
                <w:highlight w:val="none"/>
              </w:rPr>
            </w:pPr>
            <w:bookmarkStart w:id="40" w:name="OLE_LINK59"/>
            <w:r>
              <w:rPr>
                <w:rFonts w:hint="eastAsia" w:ascii="宋体" w:hAnsi="宋体" w:eastAsia="宋体" w:cs="宋体"/>
                <w:color w:val="auto"/>
                <w:sz w:val="24"/>
                <w:szCs w:val="24"/>
                <w:highlight w:val="none"/>
              </w:rPr>
              <w:t>阶梯教室</w:t>
            </w:r>
          </w:p>
          <w:p w14:paraId="12F71B4F">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固定课桌椅</w:t>
            </w:r>
            <w:bookmarkEnd w:id="40"/>
          </w:p>
        </w:tc>
        <w:tc>
          <w:tcPr>
            <w:tcW w:w="4603" w:type="dxa"/>
            <w:shd w:val="clear" w:color="auto" w:fill="auto"/>
            <w:vAlign w:val="center"/>
          </w:tcPr>
          <w:p w14:paraId="797BFDA7">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1、规格</w:t>
            </w:r>
            <w:r>
              <w:rPr>
                <w:rFonts w:hint="eastAsia" w:ascii="宋体" w:hAnsi="宋体" w:eastAsia="宋体" w:cs="宋体"/>
                <w:color w:val="auto"/>
                <w:spacing w:val="-6"/>
                <w:sz w:val="24"/>
                <w:szCs w:val="24"/>
                <w:highlight w:val="none"/>
                <w:lang w:eastAsia="zh-CN"/>
              </w:rPr>
              <w:t>：座宽</w:t>
            </w:r>
            <w:r>
              <w:rPr>
                <w:rFonts w:hint="eastAsia" w:ascii="宋体" w:hAnsi="宋体" w:eastAsia="宋体" w:cs="宋体"/>
                <w:color w:val="auto"/>
                <w:sz w:val="24"/>
                <w:szCs w:val="24"/>
                <w:highlight w:val="none"/>
                <w:lang w:eastAsia="zh-CN"/>
              </w:rPr>
              <w:t>中到中距</w:t>
            </w:r>
            <w:r>
              <w:rPr>
                <w:rFonts w:hint="eastAsia" w:ascii="宋体" w:hAnsi="宋体" w:eastAsia="宋体" w:cs="宋体"/>
                <w:color w:val="auto"/>
                <w:spacing w:val="-6"/>
                <w:sz w:val="24"/>
                <w:szCs w:val="24"/>
                <w:highlight w:val="none"/>
                <w:lang w:eastAsia="zh-CN"/>
              </w:rPr>
              <w:t>5</w:t>
            </w:r>
            <w:r>
              <w:rPr>
                <w:rFonts w:hint="eastAsia" w:ascii="宋体" w:hAnsi="宋体" w:eastAsia="宋体" w:cs="宋体"/>
                <w:color w:val="auto"/>
                <w:spacing w:val="-6"/>
                <w:sz w:val="24"/>
                <w:szCs w:val="24"/>
                <w:highlight w:val="none"/>
                <w:lang w:val="en-US" w:eastAsia="zh-CN"/>
              </w:rPr>
              <w:t>2</w:t>
            </w:r>
            <w:r>
              <w:rPr>
                <w:rFonts w:hint="eastAsia" w:ascii="宋体" w:hAnsi="宋体" w:eastAsia="宋体" w:cs="宋体"/>
                <w:color w:val="auto"/>
                <w:spacing w:val="-6"/>
                <w:sz w:val="24"/>
                <w:szCs w:val="24"/>
                <w:highlight w:val="none"/>
                <w:lang w:eastAsia="zh-CN"/>
              </w:rPr>
              <w:t>0mm，座高45</w:t>
            </w:r>
            <w:r>
              <w:rPr>
                <w:rFonts w:hint="eastAsia" w:ascii="宋体" w:hAnsi="宋体" w:eastAsia="宋体" w:cs="宋体"/>
                <w:color w:val="auto"/>
                <w:sz w:val="24"/>
                <w:szCs w:val="24"/>
                <w:highlight w:val="none"/>
                <w:lang w:eastAsia="zh-CN"/>
              </w:rPr>
              <w:t>0mm，桌面离地高760mm</w:t>
            </w:r>
            <w:r>
              <w:rPr>
                <w:rFonts w:hint="eastAsia" w:ascii="宋体" w:hAnsi="宋体" w:eastAsia="宋体" w:cs="宋体"/>
                <w:bCs/>
                <w:color w:val="auto"/>
                <w:sz w:val="24"/>
                <w:szCs w:val="24"/>
                <w:highlight w:val="none"/>
                <w:lang w:eastAsia="zh-CN"/>
              </w:rPr>
              <w:t>，具体规格、排位按照实际使用的教室大小来确定</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pacing w:val="-6"/>
                <w:sz w:val="24"/>
                <w:szCs w:val="24"/>
                <w:highlight w:val="none"/>
                <w:lang w:eastAsia="zh-CN"/>
              </w:rPr>
              <w:t>木制品颜色中标后由采购人确定。</w:t>
            </w:r>
            <w:r>
              <w:rPr>
                <w:rFonts w:hint="eastAsia" w:ascii="宋体" w:hAnsi="宋体" w:cs="宋体"/>
                <w:color w:val="auto"/>
                <w:spacing w:val="-6"/>
                <w:sz w:val="24"/>
                <w:szCs w:val="24"/>
                <w:highlight w:val="none"/>
                <w:lang w:val="en-US" w:eastAsia="zh-CN"/>
              </w:rPr>
              <w:t>单个座位</w:t>
            </w:r>
            <w:r>
              <w:rPr>
                <w:rFonts w:hint="eastAsia" w:ascii="宋体" w:hAnsi="宋体" w:eastAsia="宋体" w:cs="宋体"/>
                <w:bCs/>
                <w:color w:val="auto"/>
                <w:sz w:val="24"/>
                <w:szCs w:val="24"/>
                <w:highlight w:val="none"/>
                <w:shd w:val="clear" w:color="auto" w:fill="FFFFFF"/>
              </w:rPr>
              <w:t>有效承重</w:t>
            </w:r>
            <w:r>
              <w:rPr>
                <w:rFonts w:hint="eastAsia" w:ascii="宋体" w:hAnsi="宋体" w:eastAsia="宋体" w:cs="宋体"/>
                <w:color w:val="auto"/>
                <w:sz w:val="24"/>
                <w:szCs w:val="24"/>
                <w:highlight w:val="none"/>
              </w:rPr>
              <w:t>≥1</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0公斤。</w:t>
            </w:r>
          </w:p>
          <w:p w14:paraId="460DE530">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2、脚立柱：采用冷轧30mm</w:t>
            </w:r>
            <w:bookmarkStart w:id="41" w:name="OLE_LINK28"/>
            <w:bookmarkStart w:id="42" w:name="OLE_LINK29"/>
            <w:r>
              <w:rPr>
                <w:rFonts w:hint="eastAsia" w:ascii="宋体" w:hAnsi="宋体" w:eastAsia="宋体" w:cs="宋体"/>
                <w:color w:val="auto"/>
                <w:sz w:val="24"/>
                <w:szCs w:val="24"/>
                <w:highlight w:val="none"/>
                <w:lang w:eastAsia="zh-CN"/>
              </w:rPr>
              <w:t>*</w:t>
            </w:r>
            <w:bookmarkEnd w:id="41"/>
            <w:bookmarkEnd w:id="42"/>
            <w:r>
              <w:rPr>
                <w:rFonts w:hint="eastAsia" w:ascii="宋体" w:hAnsi="宋体" w:eastAsia="宋体" w:cs="宋体"/>
                <w:color w:val="auto"/>
                <w:sz w:val="24"/>
                <w:szCs w:val="24"/>
                <w:highlight w:val="none"/>
                <w:lang w:eastAsia="zh-CN"/>
              </w:rPr>
              <w:t>80mm*厚度≥1.5mm扁圆管，靠背：采用冷轧30mm*60mm*厚度≥1.5mm扁圆管，经一次抽心弯曲，无炸纹。</w:t>
            </w:r>
          </w:p>
          <w:p w14:paraId="53589C66">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3、脚掌：规格</w:t>
            </w:r>
            <w:r>
              <w:rPr>
                <w:rFonts w:hint="eastAsia" w:ascii="宋体" w:hAnsi="宋体" w:cs="宋体"/>
                <w:color w:val="auto"/>
                <w:sz w:val="24"/>
                <w:szCs w:val="24"/>
                <w:highlight w:val="none"/>
                <w:lang w:val="en-US" w:eastAsia="zh-CN"/>
              </w:rPr>
              <w:t>350mm</w:t>
            </w:r>
            <w:r>
              <w:rPr>
                <w:rFonts w:hint="eastAsia" w:ascii="宋体" w:hAnsi="宋体" w:eastAsia="宋体" w:cs="宋体"/>
                <w:color w:val="auto"/>
                <w:sz w:val="24"/>
                <w:szCs w:val="24"/>
                <w:highlight w:val="none"/>
                <w:lang w:eastAsia="zh-CN"/>
              </w:rPr>
              <w:t>（长）*80mm（宽），采用厚度≥2.0 mm冷轧钢经模具一次冲压成型，与脚立柱焊接组合成型。采用膨胀螺丝固定地面，整体结构稳固。</w:t>
            </w:r>
          </w:p>
          <w:p w14:paraId="0DFFFB87">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4、桌面板、层板：桌面板宽3</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0mm，厚度≥18mm；层板宽</w:t>
            </w:r>
            <w:r>
              <w:rPr>
                <w:rFonts w:hint="eastAsia" w:ascii="宋体" w:hAnsi="宋体" w:eastAsia="宋体" w:cs="宋体"/>
                <w:color w:val="auto"/>
                <w:sz w:val="24"/>
                <w:szCs w:val="24"/>
                <w:highlight w:val="none"/>
                <w:lang w:val="en-US" w:eastAsia="zh-CN"/>
              </w:rPr>
              <w:t>300</w:t>
            </w:r>
            <w:r>
              <w:rPr>
                <w:rFonts w:hint="eastAsia" w:ascii="宋体" w:hAnsi="宋体" w:eastAsia="宋体" w:cs="宋体"/>
                <w:color w:val="auto"/>
                <w:sz w:val="24"/>
                <w:szCs w:val="24"/>
                <w:highlight w:val="none"/>
                <w:lang w:eastAsia="zh-CN"/>
              </w:rPr>
              <w:t>mm，厚度≥16mm；均采用多层板裁切成型后经干燥、防虫防腐处理，双面贴防火板，四周采用油漆封边工艺处理；板材无空心、气泡、松散、发霉、虫蛀，无明显崩缺及加工锯痕。</w:t>
            </w:r>
          </w:p>
          <w:p w14:paraId="4880475B">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座板、背板：厚度≥13mm；均采用多层板裁切成型后经干燥、防虫防腐处理，双面贴防火板，四周采用油漆封边工艺处理；板材无空心、气泡、松散、发霉、虫蛀，无明显崩缺及加工锯痕。座板和背板的设计和安装必须符合人体工程学原理，能自由形成身体曲线，坐感舒适。</w:t>
            </w:r>
          </w:p>
          <w:p w14:paraId="3D9EC0C5">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支撑钢板：桌面板支撑钢板采用厚度≥1.8mm冷轧钢板一次冲压成型，层板支撑钢板采用厚度≥1.5mm冷轧钢板一次冲压成型。座板底部支撑钢板采用厚度≥2.5mm冷轧钢板一次冲压成型。椅面两边铁受力杠采用直径≥12mm 国标实心圆钢，确保安全牢固，座板面活动自如。</w:t>
            </w:r>
          </w:p>
          <w:p w14:paraId="60109490">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7、自动翻转装置：采用加大型自动翻转头，壁厚度≥1.5mm，采用重力自回弹设计，</w:t>
            </w:r>
            <w:bookmarkStart w:id="43" w:name="OLE_LINK136"/>
            <w:bookmarkStart w:id="44" w:name="OLE_LINK135"/>
            <w:r>
              <w:rPr>
                <w:rFonts w:hint="eastAsia" w:ascii="宋体" w:hAnsi="宋体" w:eastAsia="宋体" w:cs="宋体"/>
                <w:color w:val="auto"/>
                <w:sz w:val="24"/>
                <w:szCs w:val="24"/>
                <w:highlight w:val="none"/>
                <w:lang w:eastAsia="zh-CN"/>
              </w:rPr>
              <w:t>装有加厚消音橡胶，回位顺畅无异响。</w:t>
            </w:r>
            <w:bookmarkEnd w:id="43"/>
            <w:bookmarkEnd w:id="44"/>
          </w:p>
          <w:p w14:paraId="466BCB2D">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8、焊接工艺：</w:t>
            </w:r>
            <w:bookmarkStart w:id="45" w:name="OLE_LINK50"/>
            <w:bookmarkStart w:id="46" w:name="OLE_LINK49"/>
            <w:r>
              <w:rPr>
                <w:rFonts w:hint="eastAsia" w:ascii="宋体" w:hAnsi="宋体" w:eastAsia="宋体" w:cs="宋体"/>
                <w:color w:val="auto"/>
                <w:sz w:val="24"/>
                <w:szCs w:val="24"/>
                <w:highlight w:val="none"/>
                <w:lang w:eastAsia="zh-CN"/>
              </w:rPr>
              <w:t>所有钢管要求采用国标钢材，焊接全部采用二氧化碳保护焊接，表面波纹均匀，焊接无裂纹、无夹渣、无气孔、无焊丝头咬边，无脱焊、虚焊、焊穿。</w:t>
            </w:r>
            <w:bookmarkEnd w:id="45"/>
            <w:bookmarkEnd w:id="46"/>
          </w:p>
          <w:p w14:paraId="3F3FC481">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9、所有钢材经过除锈、除油、物理抛丸处理，管材表面无裂纹、毛刺、结疤、错位、压痕或划痕。采用环保产品环氧聚酯塑粉静电喷塑，喷塑外膜的表面光滑平整，色泽均匀，喷塑层无漏喷、起泡、模糊、划痕或碰伤等缺陷。成品件喷塑表面漆膜厚度≥100</w:t>
            </w:r>
            <w:r>
              <w:rPr>
                <w:rFonts w:hint="eastAsia" w:ascii="宋体" w:hAnsi="宋体" w:eastAsia="宋体" w:cs="宋体"/>
                <w:color w:val="auto"/>
                <w:sz w:val="24"/>
                <w:szCs w:val="24"/>
                <w:highlight w:val="none"/>
              </w:rPr>
              <w:t>μ</w:t>
            </w:r>
            <w:r>
              <w:rPr>
                <w:rFonts w:hint="eastAsia" w:ascii="宋体" w:hAnsi="宋体" w:eastAsia="宋体" w:cs="宋体"/>
                <w:color w:val="auto"/>
                <w:sz w:val="24"/>
                <w:szCs w:val="24"/>
                <w:highlight w:val="none"/>
                <w:lang w:eastAsia="zh-CN"/>
              </w:rPr>
              <w:t>m。</w:t>
            </w:r>
          </w:p>
          <w:p w14:paraId="21AB9570">
            <w:pPr>
              <w:spacing w:line="360" w:lineRule="auto"/>
              <w:ind w:firstLine="12" w:firstLineChars="5"/>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10、外观设计：符合人体工程学原理，结构全拆装设置。所有与学生身体接触部位（含桌面边缘、桌腿、椅面边缘、椅背及支撑结构等）须进行倒圆处理，防止安全事故发生。</w:t>
            </w:r>
          </w:p>
          <w:p w14:paraId="449A7898">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11、所有钢板、钢管、饰面多层板、五金配件、塑料件及其他组件均须为全新制造的原厂材料，未曾经过任何形式的使用、翻新、维修或二次加工。</w:t>
            </w:r>
          </w:p>
          <w:p w14:paraId="691286CF">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12、原材料及成品符合GB/T 11253-2019《碳素结构钢冷轧钢板及钢带》、GB/T 9846-2015《普通胶合板》、GB/T 34722-20</w:t>
            </w:r>
            <w:r>
              <w:rPr>
                <w:rFonts w:hint="eastAsia" w:ascii="宋体" w:hAnsi="宋体" w:cs="宋体"/>
                <w:color w:val="auto"/>
                <w:sz w:val="24"/>
                <w:szCs w:val="24"/>
                <w:highlight w:val="none"/>
                <w:lang w:val="en-US" w:eastAsia="zh-CN"/>
              </w:rPr>
              <w:t>25</w:t>
            </w:r>
            <w:r>
              <w:rPr>
                <w:rFonts w:hint="eastAsia" w:ascii="宋体" w:hAnsi="宋体" w:eastAsia="宋体" w:cs="宋体"/>
                <w:color w:val="auto"/>
                <w:sz w:val="24"/>
                <w:szCs w:val="24"/>
                <w:highlight w:val="none"/>
                <w:lang w:eastAsia="zh-CN"/>
              </w:rPr>
              <w:t>《浸渍胶膜纸饰面胶合板和细木工板》、QB/T4071-2021《课桌椅》、GB 18580-2017《室内装饰装修材料人造板及其制品中甲醛释放限量》、GB/T39600-2021《人造板及其制品甲醛释放量分级》、GB/T35607-2024《绿色产品评价家具》、GB/T 3325-2024 《金属家具通用技术条件》</w:t>
            </w:r>
            <w:r>
              <w:rPr>
                <w:rFonts w:hint="eastAsia" w:ascii="宋体" w:hAnsi="宋体" w:cs="宋体"/>
                <w:color w:val="auto"/>
                <w:sz w:val="24"/>
                <w:szCs w:val="24"/>
                <w:highlight w:val="none"/>
                <w:lang w:eastAsia="zh-CN"/>
              </w:rPr>
              <w:t>、</w:t>
            </w:r>
            <w:r>
              <w:rPr>
                <w:rFonts w:hint="eastAsia" w:ascii="宋体" w:hAnsi="宋体" w:eastAsia="宋体" w:cs="宋体"/>
                <w:bCs w:val="0"/>
                <w:color w:val="auto"/>
                <w:sz w:val="24"/>
                <w:szCs w:val="24"/>
                <w:highlight w:val="none"/>
                <w:shd w:val="clear"/>
                <w:lang w:eastAsia="zh-CN"/>
              </w:rPr>
              <w:t>GB28008-2024《家具结构安全技术规范》</w:t>
            </w:r>
            <w:r>
              <w:rPr>
                <w:rFonts w:hint="eastAsia" w:ascii="宋体" w:hAnsi="宋体" w:eastAsia="宋体" w:cs="宋体"/>
                <w:bCs w:val="0"/>
                <w:color w:val="auto"/>
                <w:sz w:val="24"/>
                <w:szCs w:val="24"/>
                <w:highlight w:val="none"/>
                <w:shd w:val="clear"/>
                <w:lang w:val="en-US" w:eastAsia="zh-CN"/>
              </w:rPr>
              <w:t>、</w:t>
            </w:r>
            <w:r>
              <w:rPr>
                <w:rFonts w:hint="eastAsia" w:ascii="宋体" w:hAnsi="宋体" w:eastAsia="宋体" w:cs="宋体"/>
                <w:bCs w:val="0"/>
                <w:color w:val="auto"/>
                <w:sz w:val="24"/>
                <w:szCs w:val="24"/>
                <w:highlight w:val="none"/>
                <w:shd w:val="clear"/>
                <w:lang w:eastAsia="zh-CN"/>
              </w:rPr>
              <w:t>GB18584-2024《家具中有害物质限量》</w:t>
            </w:r>
            <w:r>
              <w:rPr>
                <w:rFonts w:hint="eastAsia" w:ascii="宋体" w:hAnsi="宋体" w:eastAsia="宋体" w:cs="宋体"/>
                <w:color w:val="auto"/>
                <w:sz w:val="24"/>
                <w:szCs w:val="24"/>
                <w:highlight w:val="none"/>
                <w:lang w:eastAsia="zh-CN"/>
              </w:rPr>
              <w:t>等标准。</w:t>
            </w:r>
          </w:p>
          <w:p w14:paraId="573230EC">
            <w:pPr>
              <w:spacing w:line="360" w:lineRule="auto"/>
              <w:ind w:firstLine="12" w:firstLineChars="5"/>
              <w:rPr>
                <w:rFonts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lang w:eastAsia="zh-CN"/>
              </w:rPr>
              <w:t>13、符合GB 18580-2017《室内装饰装修材料人造板及其制品中甲醛释放限量》、GB/T39600-2021《人造板及其制品甲醛释放量分级》</w:t>
            </w:r>
            <w:r>
              <w:rPr>
                <w:rFonts w:hint="eastAsia" w:ascii="宋体" w:hAnsi="宋体" w:cs="宋体"/>
                <w:color w:val="auto"/>
                <w:sz w:val="24"/>
                <w:szCs w:val="24"/>
                <w:highlight w:val="none"/>
                <w:lang w:eastAsia="zh-CN"/>
              </w:rPr>
              <w:t>标准</w:t>
            </w:r>
            <w:r>
              <w:rPr>
                <w:rFonts w:hint="eastAsia" w:ascii="宋体" w:hAnsi="宋体" w:eastAsia="宋体" w:cs="宋体"/>
                <w:color w:val="auto"/>
                <w:sz w:val="24"/>
                <w:szCs w:val="24"/>
                <w:highlight w:val="none"/>
                <w:lang w:eastAsia="zh-CN"/>
              </w:rPr>
              <w:t>，饰面多层板的甲醛释放量≤0.05㎎/m³。</w:t>
            </w:r>
            <w:r>
              <w:rPr>
                <w:rFonts w:hint="eastAsia" w:ascii="宋体" w:hAnsi="宋体" w:eastAsia="宋体" w:cs="宋体"/>
                <w:b/>
                <w:bCs/>
                <w:color w:val="auto"/>
                <w:sz w:val="24"/>
                <w:szCs w:val="24"/>
                <w:highlight w:val="none"/>
                <w:lang w:eastAsia="zh-CN"/>
              </w:rPr>
              <w:t>（响应文件中需同时提供第三方检测机构出具合格的“带有CMA标识”检验（测）报告扫描件及国家认证认可公共信息服务平台及检验机构报告真伪查询结果截图）</w:t>
            </w:r>
          </w:p>
        </w:tc>
        <w:tc>
          <w:tcPr>
            <w:tcW w:w="3336" w:type="dxa"/>
            <w:shd w:val="clear" w:color="auto" w:fill="auto"/>
            <w:vAlign w:val="center"/>
          </w:tcPr>
          <w:p w14:paraId="7C2C3EB8">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drawing>
                <wp:inline distT="0" distB="0" distL="114300" distR="114300">
                  <wp:extent cx="1581150" cy="1238250"/>
                  <wp:effectExtent l="0" t="0" r="0" b="0"/>
                  <wp:docPr id="10" name="图片 2" descr="16063768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descr="1606376888(1)"/>
                          <pic:cNvPicPr>
                            <a:picLocks noChangeAspect="1"/>
                          </pic:cNvPicPr>
                        </pic:nvPicPr>
                        <pic:blipFill>
                          <a:blip r:embed="rId5" cstate="print"/>
                          <a:stretch>
                            <a:fillRect/>
                          </a:stretch>
                        </pic:blipFill>
                        <pic:spPr>
                          <a:xfrm>
                            <a:off x="0" y="0"/>
                            <a:ext cx="1581150" cy="1238250"/>
                          </a:xfrm>
                          <a:prstGeom prst="rect">
                            <a:avLst/>
                          </a:prstGeom>
                          <a:noFill/>
                          <a:ln>
                            <a:noFill/>
                          </a:ln>
                        </pic:spPr>
                      </pic:pic>
                    </a:graphicData>
                  </a:graphic>
                </wp:inline>
              </w:drawing>
            </w:r>
          </w:p>
          <w:p w14:paraId="18D39E39">
            <w:pP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drawing>
                <wp:inline distT="0" distB="0" distL="0" distR="0">
                  <wp:extent cx="2287270" cy="1718945"/>
                  <wp:effectExtent l="0" t="0" r="17780" b="14605"/>
                  <wp:docPr id="31198322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983220" name="图片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2289208" cy="1720610"/>
                          </a:xfrm>
                          <a:prstGeom prst="rect">
                            <a:avLst/>
                          </a:prstGeom>
                          <a:noFill/>
                        </pic:spPr>
                      </pic:pic>
                    </a:graphicData>
                  </a:graphic>
                </wp:inline>
              </w:drawing>
            </w:r>
          </w:p>
          <w:p w14:paraId="7D879375">
            <w:pPr>
              <w:spacing w:line="360" w:lineRule="auto"/>
              <w:jc w:val="center"/>
              <w:rPr>
                <w:rFonts w:ascii="宋体" w:hAnsi="宋体" w:eastAsia="宋体" w:cs="宋体"/>
                <w:color w:val="auto"/>
                <w:sz w:val="24"/>
                <w:szCs w:val="24"/>
                <w:highlight w:val="none"/>
              </w:rPr>
            </w:pPr>
          </w:p>
          <w:p w14:paraId="61CD041F">
            <w:pPr>
              <w:spacing w:line="360" w:lineRule="auto"/>
              <w:jc w:val="center"/>
              <w:rPr>
                <w:rFonts w:ascii="宋体" w:hAnsi="宋体" w:eastAsia="宋体" w:cs="宋体"/>
                <w:color w:val="auto"/>
                <w:sz w:val="24"/>
                <w:szCs w:val="24"/>
                <w:highlight w:val="none"/>
              </w:rPr>
            </w:pPr>
          </w:p>
          <w:p w14:paraId="59B03195">
            <w:pPr>
              <w:spacing w:line="360" w:lineRule="auto"/>
              <w:jc w:val="center"/>
              <w:rPr>
                <w:rFonts w:ascii="宋体" w:hAnsi="宋体" w:eastAsia="宋体" w:cs="宋体"/>
                <w:color w:val="auto"/>
                <w:sz w:val="24"/>
                <w:szCs w:val="24"/>
                <w:highlight w:val="none"/>
              </w:rPr>
            </w:pPr>
          </w:p>
          <w:p w14:paraId="1747CC81">
            <w:pPr>
              <w:spacing w:line="360" w:lineRule="auto"/>
              <w:jc w:val="center"/>
              <w:rPr>
                <w:rFonts w:ascii="宋体" w:hAnsi="宋体" w:eastAsia="宋体" w:cs="宋体"/>
                <w:color w:val="auto"/>
                <w:sz w:val="24"/>
                <w:szCs w:val="24"/>
                <w:highlight w:val="none"/>
              </w:rPr>
            </w:pPr>
          </w:p>
        </w:tc>
        <w:tc>
          <w:tcPr>
            <w:tcW w:w="850" w:type="dxa"/>
            <w:vAlign w:val="center"/>
          </w:tcPr>
          <w:p w14:paraId="0BE7F8CD">
            <w:pPr>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Cs w:val="21"/>
                <w:highlight w:val="none"/>
              </w:rPr>
              <w:t>995位</w:t>
            </w:r>
          </w:p>
        </w:tc>
      </w:tr>
      <w:tr w14:paraId="2011C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531" w:type="dxa"/>
            <w:vAlign w:val="center"/>
          </w:tcPr>
          <w:p w14:paraId="5AC8AAAC">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1277" w:type="dxa"/>
            <w:vAlign w:val="center"/>
          </w:tcPr>
          <w:p w14:paraId="4081FCEC">
            <w:pPr>
              <w:spacing w:line="360" w:lineRule="auto"/>
              <w:jc w:val="center"/>
              <w:rPr>
                <w:rFonts w:ascii="宋体" w:hAnsi="宋体" w:eastAsia="宋体" w:cs="宋体"/>
                <w:color w:val="auto"/>
                <w:sz w:val="24"/>
                <w:szCs w:val="24"/>
                <w:highlight w:val="none"/>
              </w:rPr>
            </w:pPr>
            <w:bookmarkStart w:id="47" w:name="OLE_LINK58"/>
            <w:r>
              <w:rPr>
                <w:rFonts w:hint="eastAsia" w:ascii="宋体" w:hAnsi="宋体" w:eastAsia="宋体" w:cs="宋体"/>
                <w:color w:val="auto"/>
                <w:sz w:val="24"/>
                <w:szCs w:val="24"/>
                <w:highlight w:val="none"/>
                <w:shd w:val="clear" w:color="auto" w:fill="FFFFFF"/>
              </w:rPr>
              <w:t>单人课桌椅</w:t>
            </w:r>
            <w:bookmarkEnd w:id="47"/>
          </w:p>
        </w:tc>
        <w:tc>
          <w:tcPr>
            <w:tcW w:w="4603" w:type="dxa"/>
            <w:vAlign w:val="center"/>
          </w:tcPr>
          <w:p w14:paraId="4AFD8CC3">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一、课桌</w:t>
            </w:r>
          </w:p>
          <w:p w14:paraId="233AD6E2">
            <w:pPr>
              <w:spacing w:line="360" w:lineRule="auto"/>
              <w:ind w:firstLine="12" w:firstLineChars="5"/>
              <w:rPr>
                <w:rFonts w:ascii="宋体" w:hAnsi="宋体" w:eastAsia="宋体" w:cs="宋体"/>
                <w:color w:val="auto"/>
                <w:sz w:val="24"/>
                <w:szCs w:val="24"/>
                <w:highlight w:val="none"/>
                <w:lang w:eastAsia="zh-CN"/>
              </w:rPr>
            </w:pPr>
            <w:bookmarkStart w:id="48" w:name="OLE_LINK137"/>
            <w:r>
              <w:rPr>
                <w:rFonts w:hint="eastAsia" w:ascii="宋体" w:hAnsi="宋体" w:eastAsia="宋体" w:cs="宋体"/>
                <w:color w:val="auto"/>
                <w:sz w:val="24"/>
                <w:szCs w:val="24"/>
                <w:highlight w:val="none"/>
                <w:lang w:eastAsia="zh-CN"/>
              </w:rPr>
              <w:t>1、总体规格：长650mm×宽450mm</w:t>
            </w:r>
            <w:bookmarkStart w:id="49" w:name="OLE_LINK51"/>
            <w:bookmarkStart w:id="50" w:name="OLE_LINK52"/>
            <w:r>
              <w:rPr>
                <w:rFonts w:hint="eastAsia" w:ascii="宋体" w:hAnsi="宋体" w:eastAsia="宋体" w:cs="宋体"/>
                <w:color w:val="auto"/>
                <w:sz w:val="24"/>
                <w:szCs w:val="24"/>
                <w:highlight w:val="none"/>
                <w:lang w:eastAsia="zh-CN"/>
              </w:rPr>
              <w:t>×</w:t>
            </w:r>
            <w:bookmarkEnd w:id="49"/>
            <w:bookmarkEnd w:id="50"/>
            <w:r>
              <w:rPr>
                <w:rFonts w:hint="eastAsia" w:ascii="宋体" w:hAnsi="宋体" w:eastAsia="宋体" w:cs="宋体"/>
                <w:color w:val="auto"/>
                <w:sz w:val="24"/>
                <w:szCs w:val="24"/>
                <w:highlight w:val="none"/>
                <w:lang w:eastAsia="zh-CN"/>
              </w:rPr>
              <w:t>高760mm。</w:t>
            </w:r>
          </w:p>
          <w:bookmarkEnd w:id="48"/>
          <w:p w14:paraId="1C0C82D6">
            <w:pPr>
              <w:spacing w:line="360" w:lineRule="auto"/>
              <w:ind w:firstLine="12" w:firstLineChars="5"/>
              <w:rPr>
                <w:rFonts w:ascii="宋体" w:hAnsi="宋体" w:eastAsia="宋体" w:cs="宋体"/>
                <w:color w:val="auto"/>
                <w:sz w:val="24"/>
                <w:szCs w:val="24"/>
                <w:highlight w:val="none"/>
                <w:lang w:eastAsia="zh-CN"/>
              </w:rPr>
            </w:pPr>
            <w:bookmarkStart w:id="51" w:name="OLE_LINK139"/>
            <w:bookmarkStart w:id="52" w:name="OLE_LINK138"/>
            <w:r>
              <w:rPr>
                <w:rFonts w:hint="eastAsia" w:ascii="宋体" w:hAnsi="宋体" w:eastAsia="宋体" w:cs="宋体"/>
                <w:color w:val="auto"/>
                <w:sz w:val="24"/>
                <w:szCs w:val="24"/>
                <w:highlight w:val="none"/>
                <w:lang w:eastAsia="zh-CN"/>
              </w:rPr>
              <w:t>2、桌面板：长650mm×宽450mm，厚度</w:t>
            </w:r>
            <w:bookmarkStart w:id="53" w:name="OLE_LINK25"/>
            <w:bookmarkStart w:id="54" w:name="OLE_LINK24"/>
            <w:bookmarkStart w:id="55" w:name="OLE_LINK22"/>
            <w:r>
              <w:rPr>
                <w:rFonts w:hint="eastAsia" w:ascii="宋体" w:hAnsi="宋体" w:eastAsia="宋体" w:cs="宋体"/>
                <w:color w:val="auto"/>
                <w:sz w:val="24"/>
                <w:szCs w:val="24"/>
                <w:highlight w:val="none"/>
                <w:lang w:eastAsia="zh-CN"/>
              </w:rPr>
              <w:t>≥</w:t>
            </w:r>
            <w:bookmarkEnd w:id="53"/>
            <w:bookmarkEnd w:id="54"/>
            <w:bookmarkEnd w:id="55"/>
            <w:r>
              <w:rPr>
                <w:rFonts w:hint="eastAsia" w:ascii="宋体" w:hAnsi="宋体" w:eastAsia="宋体" w:cs="宋体"/>
                <w:color w:val="auto"/>
                <w:sz w:val="24"/>
                <w:szCs w:val="24"/>
                <w:highlight w:val="none"/>
                <w:lang w:eastAsia="zh-CN"/>
              </w:rPr>
              <w:t>18mm，采用</w:t>
            </w:r>
            <w:bookmarkStart w:id="56" w:name="OLE_LINK92"/>
            <w:r>
              <w:rPr>
                <w:rFonts w:hint="eastAsia" w:ascii="宋体" w:hAnsi="宋体" w:eastAsia="宋体" w:cs="宋体"/>
                <w:color w:val="auto"/>
                <w:sz w:val="24"/>
                <w:szCs w:val="24"/>
                <w:highlight w:val="none"/>
                <w:lang w:eastAsia="zh-CN"/>
              </w:rPr>
              <w:t>饰面</w:t>
            </w:r>
            <w:bookmarkStart w:id="57" w:name="OLE_LINK42"/>
            <w:bookmarkStart w:id="58" w:name="OLE_LINK43"/>
            <w:r>
              <w:rPr>
                <w:rFonts w:hint="eastAsia" w:ascii="宋体" w:hAnsi="宋体" w:eastAsia="宋体" w:cs="宋体"/>
                <w:color w:val="auto"/>
                <w:sz w:val="24"/>
                <w:szCs w:val="24"/>
                <w:highlight w:val="none"/>
                <w:lang w:eastAsia="zh-CN"/>
              </w:rPr>
              <w:t>中纤板</w:t>
            </w:r>
            <w:bookmarkEnd w:id="56"/>
            <w:bookmarkEnd w:id="57"/>
            <w:bookmarkEnd w:id="58"/>
            <w:r>
              <w:rPr>
                <w:rFonts w:hint="eastAsia" w:ascii="宋体" w:hAnsi="宋体" w:eastAsia="宋体" w:cs="宋体"/>
                <w:color w:val="auto"/>
                <w:sz w:val="24"/>
                <w:szCs w:val="24"/>
                <w:highlight w:val="none"/>
                <w:lang w:eastAsia="zh-CN"/>
              </w:rPr>
              <w:t>，</w:t>
            </w:r>
            <w:bookmarkStart w:id="59" w:name="OLE_LINK10"/>
            <w:r>
              <w:rPr>
                <w:rFonts w:hint="eastAsia" w:ascii="宋体" w:hAnsi="宋体" w:eastAsia="宋体" w:cs="宋体"/>
                <w:color w:val="auto"/>
                <w:sz w:val="24"/>
                <w:szCs w:val="24"/>
                <w:highlight w:val="none"/>
                <w:lang w:eastAsia="zh-CN"/>
              </w:rPr>
              <w:t>桌</w:t>
            </w:r>
            <w:bookmarkEnd w:id="59"/>
            <w:r>
              <w:rPr>
                <w:rFonts w:hint="eastAsia" w:ascii="宋体" w:hAnsi="宋体" w:eastAsia="宋体" w:cs="宋体"/>
                <w:color w:val="auto"/>
                <w:sz w:val="24"/>
                <w:szCs w:val="24"/>
                <w:highlight w:val="none"/>
                <w:lang w:eastAsia="zh-CN"/>
              </w:rPr>
              <w:t>面封边采用工程塑料一次注塑成型。</w:t>
            </w:r>
          </w:p>
          <w:bookmarkEnd w:id="51"/>
          <w:bookmarkEnd w:id="52"/>
          <w:p w14:paraId="7127F188">
            <w:pPr>
              <w:spacing w:line="360" w:lineRule="auto"/>
              <w:ind w:firstLine="12" w:firstLineChars="5"/>
              <w:jc w:val="both"/>
              <w:rPr>
                <w:rFonts w:ascii="宋体" w:hAnsi="宋体" w:eastAsia="宋体" w:cs="宋体"/>
                <w:color w:val="auto"/>
                <w:sz w:val="24"/>
                <w:szCs w:val="24"/>
                <w:highlight w:val="none"/>
                <w:lang w:eastAsia="zh-CN"/>
              </w:rPr>
            </w:pPr>
            <w:bookmarkStart w:id="60" w:name="OLE_LINK140"/>
            <w:bookmarkStart w:id="61" w:name="OLE_LINK141"/>
            <w:bookmarkStart w:id="62" w:name="OLE_LINK142"/>
            <w:bookmarkStart w:id="63" w:name="OLE_LINK143"/>
            <w:r>
              <w:rPr>
                <w:rFonts w:hint="eastAsia" w:ascii="宋体" w:hAnsi="宋体" w:eastAsia="宋体" w:cs="宋体"/>
                <w:color w:val="auto"/>
                <w:sz w:val="24"/>
                <w:szCs w:val="24"/>
                <w:highlight w:val="none"/>
                <w:lang w:eastAsia="zh-CN"/>
              </w:rPr>
              <w:drawing>
                <wp:anchor distT="0" distB="0" distL="0" distR="0" simplePos="0" relativeHeight="251659264" behindDoc="0" locked="0" layoutInCell="1" allowOverlap="1">
                  <wp:simplePos x="0" y="0"/>
                  <wp:positionH relativeFrom="column">
                    <wp:posOffset>3072765</wp:posOffset>
                  </wp:positionH>
                  <wp:positionV relativeFrom="paragraph">
                    <wp:posOffset>706755</wp:posOffset>
                  </wp:positionV>
                  <wp:extent cx="1630680" cy="1662430"/>
                  <wp:effectExtent l="0" t="0" r="7620" b="13970"/>
                  <wp:wrapNone/>
                  <wp:docPr id="920002736"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0002736" name="图片 9"/>
                          <pic:cNvPicPr>
                            <a:picLocks noChangeAspect="1" noChangeArrowheads="1"/>
                          </pic:cNvPicPr>
                        </pic:nvPicPr>
                        <pic:blipFill>
                          <a:blip r:embed="rId7" cstate="print"/>
                          <a:stretch>
                            <a:fillRect/>
                          </a:stretch>
                        </pic:blipFill>
                        <pic:spPr>
                          <a:xfrm>
                            <a:off x="0" y="0"/>
                            <a:ext cx="1630680" cy="1662430"/>
                          </a:xfrm>
                          <a:prstGeom prst="rect">
                            <a:avLst/>
                          </a:prstGeom>
                          <a:noFill/>
                        </pic:spPr>
                      </pic:pic>
                    </a:graphicData>
                  </a:graphic>
                </wp:anchor>
              </w:drawing>
            </w:r>
            <w:r>
              <w:rPr>
                <w:rFonts w:hint="eastAsia" w:ascii="宋体" w:hAnsi="宋体" w:eastAsia="宋体" w:cs="宋体"/>
                <w:color w:val="auto"/>
                <w:sz w:val="24"/>
                <w:szCs w:val="24"/>
                <w:highlight w:val="none"/>
                <w:lang w:eastAsia="zh-CN"/>
              </w:rPr>
              <w:t>3、桌架：</w:t>
            </w:r>
            <w:bookmarkStart w:id="64" w:name="OLE_LINK56"/>
            <w:bookmarkStart w:id="65" w:name="OLE_LINK76"/>
            <w:r>
              <w:rPr>
                <w:rFonts w:hint="eastAsia" w:ascii="宋体" w:hAnsi="宋体" w:eastAsia="宋体" w:cs="宋体"/>
                <w:color w:val="auto"/>
                <w:sz w:val="24"/>
                <w:szCs w:val="24"/>
                <w:highlight w:val="none"/>
                <w:lang w:eastAsia="zh-CN"/>
              </w:rPr>
              <w:t>桌落地脚</w:t>
            </w:r>
            <w:bookmarkEnd w:id="64"/>
            <w:bookmarkEnd w:id="65"/>
            <w:bookmarkStart w:id="66" w:name="OLE_LINK27"/>
            <w:r>
              <w:rPr>
                <w:rFonts w:hint="eastAsia" w:ascii="宋体" w:hAnsi="宋体" w:eastAsia="宋体" w:cs="宋体"/>
                <w:color w:val="auto"/>
                <w:sz w:val="24"/>
                <w:szCs w:val="24"/>
                <w:highlight w:val="none"/>
                <w:lang w:eastAsia="zh-CN"/>
              </w:rPr>
              <w:t>采用</w:t>
            </w:r>
            <w:bookmarkEnd w:id="66"/>
            <w:r>
              <w:rPr>
                <w:rFonts w:hint="eastAsia" w:ascii="宋体" w:hAnsi="宋体" w:eastAsia="宋体" w:cs="宋体"/>
                <w:color w:val="auto"/>
                <w:sz w:val="24"/>
                <w:szCs w:val="24"/>
                <w:highlight w:val="none"/>
                <w:lang w:eastAsia="zh-CN"/>
              </w:rPr>
              <w:t>30mm*50mm*厚度≥1.5mm椭圆管</w:t>
            </w:r>
            <w:bookmarkStart w:id="67" w:name="OLE_LINK13"/>
            <w:bookmarkStart w:id="68" w:name="OLE_LINK12"/>
            <w:r>
              <w:rPr>
                <w:rFonts w:hint="eastAsia" w:ascii="宋体" w:hAnsi="宋体" w:eastAsia="宋体" w:cs="宋体"/>
                <w:color w:val="auto"/>
                <w:sz w:val="24"/>
                <w:szCs w:val="24"/>
                <w:highlight w:val="none"/>
                <w:lang w:eastAsia="zh-CN"/>
              </w:rPr>
              <w:t>；桌落地脚之间设有上、下两根</w:t>
            </w:r>
            <w:bookmarkStart w:id="69" w:name="OLE_LINK81"/>
            <w:bookmarkStart w:id="70" w:name="OLE_LINK77"/>
            <w:r>
              <w:rPr>
                <w:rFonts w:hint="eastAsia" w:ascii="宋体" w:hAnsi="宋体" w:eastAsia="宋体" w:cs="宋体"/>
                <w:color w:val="auto"/>
                <w:sz w:val="24"/>
                <w:szCs w:val="24"/>
                <w:highlight w:val="none"/>
                <w:lang w:eastAsia="zh-CN"/>
              </w:rPr>
              <w:t>横档</w:t>
            </w:r>
            <w:bookmarkEnd w:id="69"/>
            <w:bookmarkEnd w:id="70"/>
            <w:r>
              <w:rPr>
                <w:rFonts w:hint="eastAsia" w:ascii="宋体" w:hAnsi="宋体" w:eastAsia="宋体" w:cs="宋体"/>
                <w:color w:val="auto"/>
                <w:sz w:val="24"/>
                <w:szCs w:val="24"/>
                <w:highlight w:val="none"/>
                <w:lang w:eastAsia="zh-CN"/>
              </w:rPr>
              <w:t>，</w:t>
            </w:r>
            <w:bookmarkEnd w:id="67"/>
            <w:bookmarkEnd w:id="68"/>
            <w:r>
              <w:rPr>
                <w:rFonts w:hint="eastAsia" w:ascii="宋体" w:hAnsi="宋体" w:eastAsia="宋体" w:cs="宋体"/>
                <w:color w:val="auto"/>
                <w:sz w:val="24"/>
                <w:szCs w:val="24"/>
                <w:highlight w:val="none"/>
                <w:lang w:eastAsia="zh-CN"/>
              </w:rPr>
              <w:t>横档采用30mm*50mm*厚度</w:t>
            </w:r>
            <w:bookmarkStart w:id="71" w:name="OLE_LINK100"/>
            <w:bookmarkStart w:id="72" w:name="OLE_LINK91"/>
            <w:r>
              <w:rPr>
                <w:rFonts w:hint="eastAsia" w:ascii="宋体" w:hAnsi="宋体" w:eastAsia="宋体" w:cs="宋体"/>
                <w:color w:val="auto"/>
                <w:sz w:val="24"/>
                <w:szCs w:val="24"/>
                <w:highlight w:val="none"/>
                <w:lang w:eastAsia="zh-CN"/>
              </w:rPr>
              <w:t>≥</w:t>
            </w:r>
            <w:bookmarkEnd w:id="71"/>
            <w:bookmarkEnd w:id="72"/>
            <w:r>
              <w:rPr>
                <w:rFonts w:hint="eastAsia" w:ascii="宋体" w:hAnsi="宋体" w:eastAsia="宋体" w:cs="宋体"/>
                <w:color w:val="auto"/>
                <w:sz w:val="24"/>
                <w:szCs w:val="24"/>
                <w:highlight w:val="none"/>
                <w:lang w:eastAsia="zh-CN"/>
              </w:rPr>
              <w:t>1.5mm椭圆管；桌面下支撑钢板或矩形管厚度≥1.5mm。</w:t>
            </w:r>
            <w:bookmarkEnd w:id="60"/>
            <w:bookmarkEnd w:id="61"/>
          </w:p>
          <w:p w14:paraId="0ED2D431">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、书包架采用</w:t>
            </w:r>
            <w:bookmarkStart w:id="73" w:name="OLE_LINK87"/>
            <w:bookmarkStart w:id="74" w:name="OLE_LINK86"/>
            <w:r>
              <w:rPr>
                <w:rFonts w:hint="eastAsia" w:ascii="宋体" w:hAnsi="宋体" w:eastAsia="宋体" w:cs="宋体"/>
                <w:color w:val="auto"/>
                <w:sz w:val="24"/>
                <w:szCs w:val="24"/>
                <w:highlight w:val="none"/>
                <w:lang w:eastAsia="zh-CN"/>
              </w:rPr>
              <w:t>≥</w:t>
            </w:r>
            <w:bookmarkEnd w:id="73"/>
            <w:bookmarkEnd w:id="74"/>
            <w:bookmarkStart w:id="75" w:name="OLE_LINK20"/>
            <w:bookmarkStart w:id="76" w:name="OLE_LINK23"/>
            <w:r>
              <w:rPr>
                <w:rFonts w:hint="eastAsia" w:ascii="宋体" w:hAnsi="宋体" w:eastAsia="宋体" w:cs="宋体"/>
                <w:color w:val="auto"/>
                <w:sz w:val="24"/>
                <w:szCs w:val="24"/>
                <w:highlight w:val="none"/>
              </w:rPr>
              <w:t>φ</w:t>
            </w:r>
            <w:bookmarkEnd w:id="75"/>
            <w:bookmarkEnd w:id="76"/>
            <w:r>
              <w:rPr>
                <w:rFonts w:hint="eastAsia" w:ascii="宋体" w:hAnsi="宋体" w:eastAsia="宋体" w:cs="宋体"/>
                <w:color w:val="auto"/>
                <w:sz w:val="24"/>
                <w:szCs w:val="24"/>
                <w:highlight w:val="none"/>
                <w:lang w:eastAsia="zh-CN"/>
              </w:rPr>
              <w:t>7mm实心铁线组合带有书包挂钩。</w:t>
            </w:r>
          </w:p>
          <w:bookmarkEnd w:id="62"/>
          <w:bookmarkEnd w:id="63"/>
          <w:p w14:paraId="684114B6">
            <w:pPr>
              <w:spacing w:line="360" w:lineRule="auto"/>
              <w:ind w:firstLine="12" w:firstLineChars="5"/>
              <w:rPr>
                <w:rFonts w:ascii="宋体" w:hAnsi="宋体" w:eastAsia="宋体" w:cs="宋体"/>
                <w:color w:val="auto"/>
                <w:sz w:val="24"/>
                <w:szCs w:val="24"/>
                <w:highlight w:val="none"/>
                <w:lang w:eastAsia="zh-CN"/>
              </w:rPr>
            </w:pPr>
            <w:bookmarkStart w:id="77" w:name="OLE_LINK144"/>
            <w:bookmarkStart w:id="78" w:name="OLE_LINK145"/>
            <w:r>
              <w:rPr>
                <w:rFonts w:hint="eastAsia" w:ascii="宋体" w:hAnsi="宋体" w:eastAsia="宋体" w:cs="宋体"/>
                <w:color w:val="auto"/>
                <w:sz w:val="24"/>
                <w:szCs w:val="24"/>
                <w:highlight w:val="none"/>
                <w:lang w:eastAsia="zh-CN"/>
              </w:rPr>
              <w:t>二、课椅</w:t>
            </w:r>
          </w:p>
          <w:bookmarkEnd w:id="77"/>
          <w:bookmarkEnd w:id="78"/>
          <w:p w14:paraId="6E312C85">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坐板：宽430mm*深450mm，靠背板：宽475mm*高280mm，座板和背板选用PP材料，用吹塑模具在吹塑机上中空吹塑一次成型，表面有防滑功能。座板和背板的设计必须符合人体工程学原理，能自由形成身体曲线，坐感舒适。</w:t>
            </w:r>
          </w:p>
          <w:p w14:paraId="24A7B75F">
            <w:pPr>
              <w:spacing w:line="360" w:lineRule="auto"/>
              <w:ind w:firstLine="12" w:firstLineChars="5"/>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2、椅架：椅</w:t>
            </w:r>
            <w:bookmarkStart w:id="79" w:name="OLE_LINK44"/>
            <w:r>
              <w:rPr>
                <w:rFonts w:hint="eastAsia" w:ascii="宋体" w:hAnsi="宋体" w:eastAsia="宋体" w:cs="宋体"/>
                <w:color w:val="auto"/>
                <w:sz w:val="24"/>
                <w:szCs w:val="24"/>
                <w:highlight w:val="none"/>
                <w:lang w:eastAsia="zh-CN"/>
              </w:rPr>
              <w:t>脚</w:t>
            </w:r>
            <w:bookmarkEnd w:id="79"/>
            <w:r>
              <w:rPr>
                <w:rFonts w:hint="eastAsia" w:ascii="宋体" w:hAnsi="宋体" w:eastAsia="宋体" w:cs="宋体"/>
                <w:color w:val="auto"/>
                <w:sz w:val="24"/>
                <w:szCs w:val="24"/>
                <w:highlight w:val="none"/>
                <w:lang w:eastAsia="zh-CN"/>
              </w:rPr>
              <w:t>采用</w:t>
            </w:r>
            <w:bookmarkStart w:id="80" w:name="OLE_LINK45"/>
            <w:bookmarkStart w:id="81" w:name="OLE_LINK55"/>
            <w:r>
              <w:rPr>
                <w:rFonts w:hint="eastAsia" w:ascii="宋体" w:hAnsi="宋体" w:eastAsia="宋体" w:cs="宋体"/>
                <w:color w:val="auto"/>
                <w:sz w:val="24"/>
                <w:szCs w:val="24"/>
                <w:highlight w:val="none"/>
                <w:lang w:eastAsia="zh-CN"/>
              </w:rPr>
              <w:t>40mm*20mm* 厚度≥1.5mm椭圆钢管</w:t>
            </w:r>
            <w:bookmarkEnd w:id="80"/>
            <w:bookmarkEnd w:id="81"/>
            <w:r>
              <w:rPr>
                <w:rFonts w:hint="eastAsia" w:ascii="宋体" w:hAnsi="宋体" w:eastAsia="宋体" w:cs="宋体"/>
                <w:color w:val="auto"/>
                <w:sz w:val="24"/>
                <w:szCs w:val="24"/>
                <w:highlight w:val="none"/>
                <w:lang w:eastAsia="zh-CN"/>
              </w:rPr>
              <w:t>；坐板架采用30mm*15mm* 厚度≥1.5mm椭圆钢管；两椅脚间设有横档，横档采用40mm*20mm* 厚度≥1.5mm椭圆钢管。</w:t>
            </w:r>
          </w:p>
          <w:p w14:paraId="4117B3D2">
            <w:pPr>
              <w:spacing w:line="360" w:lineRule="auto"/>
              <w:ind w:firstLine="11" w:firstLineChars="5"/>
              <w:rPr>
                <w:rFonts w:hint="eastAsia" w:ascii="宋体" w:hAnsi="宋体" w:eastAsia="宋体" w:cs="宋体"/>
                <w:color w:val="auto"/>
                <w:sz w:val="24"/>
                <w:szCs w:val="24"/>
                <w:highlight w:val="none"/>
                <w:lang w:eastAsia="zh-CN"/>
              </w:rPr>
            </w:pPr>
            <w:r>
              <w:rPr>
                <w:rFonts w:hint="eastAsia" w:ascii="宋体" w:hAnsi="宋体" w:cs="宋体"/>
                <w:color w:val="auto"/>
                <w:spacing w:val="-6"/>
                <w:sz w:val="24"/>
                <w:szCs w:val="24"/>
                <w:highlight w:val="none"/>
                <w:lang w:val="en-US" w:eastAsia="zh-CN"/>
              </w:rPr>
              <w:t>3、单个座位</w:t>
            </w:r>
            <w:r>
              <w:rPr>
                <w:rFonts w:hint="eastAsia" w:ascii="宋体" w:hAnsi="宋体" w:eastAsia="宋体" w:cs="宋体"/>
                <w:bCs/>
                <w:color w:val="auto"/>
                <w:sz w:val="24"/>
                <w:szCs w:val="24"/>
                <w:highlight w:val="none"/>
                <w:shd w:val="clear" w:color="auto" w:fill="FFFFFF"/>
              </w:rPr>
              <w:t>有效承重</w:t>
            </w:r>
            <w:r>
              <w:rPr>
                <w:rFonts w:hint="eastAsia" w:ascii="宋体" w:hAnsi="宋体" w:eastAsia="宋体" w:cs="宋体"/>
                <w:color w:val="auto"/>
                <w:sz w:val="24"/>
                <w:szCs w:val="24"/>
                <w:highlight w:val="none"/>
              </w:rPr>
              <w:t>≥1</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0公斤。</w:t>
            </w:r>
          </w:p>
          <w:p w14:paraId="1441F639">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三、工艺要求</w:t>
            </w:r>
          </w:p>
          <w:p w14:paraId="0F2A32F9">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1、所有钢管要求采用国标钢材，焊接全部采用二氧化碳保护焊接，表面波纹均匀，焊接无裂纹、无夹渣、无气孔、无焊丝头咬边，无脱焊、虚焊、焊穿。</w:t>
            </w:r>
          </w:p>
          <w:p w14:paraId="0595CD20">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2、脚套：桌、椅脚套采用≧2mm厚ABS工程塑料防护套，螺丝固定，确保耐磨，不易脱落。</w:t>
            </w:r>
          </w:p>
          <w:p w14:paraId="4BC97271">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3、钢制件喷塑前须预无磷脱脂、有机酸锈、水洗、硅烷、陶化、高温烘干固化等工序；喷涂采用环氧聚脂固体粉末高压静电喷塑，喷塑表面光亮平整，无颗粒渣点，颜色均匀，再经高温烘干。</w:t>
            </w:r>
          </w:p>
          <w:p w14:paraId="3B1D764B">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4、原材料及成品符合QB/T4071-2021《课桌椅》、GB/T 15102-2017《浸渍胶膜纸饰面纤维板和刨花板》、GB 18580-2017《室内装饰装修材料人造板及其制品中甲醛释放限量》、GB/T39600-2021《人造板及其制品甲醛释放量分级》、GB/T35607-2024《绿色产品评价家具》、GB/T 3325-2024 《金属家具通用技术条件》</w:t>
            </w:r>
            <w:r>
              <w:rPr>
                <w:rFonts w:hint="eastAsia" w:ascii="宋体" w:hAnsi="宋体" w:cs="宋体"/>
                <w:color w:val="auto"/>
                <w:sz w:val="24"/>
                <w:szCs w:val="24"/>
                <w:highlight w:val="none"/>
                <w:lang w:eastAsia="zh-CN"/>
              </w:rPr>
              <w:t>、</w:t>
            </w:r>
            <w:r>
              <w:rPr>
                <w:rFonts w:hint="eastAsia" w:ascii="宋体" w:hAnsi="宋体" w:eastAsia="宋体" w:cs="宋体"/>
                <w:bCs w:val="0"/>
                <w:color w:val="auto"/>
                <w:sz w:val="24"/>
                <w:szCs w:val="24"/>
                <w:highlight w:val="none"/>
                <w:shd w:val="clear"/>
                <w:lang w:eastAsia="zh-CN"/>
              </w:rPr>
              <w:t>GB28008-2024《家具结构安全技术规范》</w:t>
            </w:r>
            <w:r>
              <w:rPr>
                <w:rFonts w:hint="eastAsia" w:ascii="宋体" w:hAnsi="宋体" w:eastAsia="宋体" w:cs="宋体"/>
                <w:bCs w:val="0"/>
                <w:color w:val="auto"/>
                <w:sz w:val="24"/>
                <w:szCs w:val="24"/>
                <w:highlight w:val="none"/>
                <w:shd w:val="clear"/>
                <w:lang w:val="en-US" w:eastAsia="zh-CN"/>
              </w:rPr>
              <w:t>、</w:t>
            </w:r>
            <w:r>
              <w:rPr>
                <w:rFonts w:hint="eastAsia" w:ascii="宋体" w:hAnsi="宋体" w:eastAsia="宋体" w:cs="宋体"/>
                <w:bCs w:val="0"/>
                <w:color w:val="auto"/>
                <w:sz w:val="24"/>
                <w:szCs w:val="24"/>
                <w:highlight w:val="none"/>
                <w:shd w:val="clear"/>
                <w:lang w:eastAsia="zh-CN"/>
              </w:rPr>
              <w:t>GB18584-2024</w:t>
            </w:r>
            <w:r>
              <w:rPr>
                <w:rFonts w:hint="eastAsia" w:ascii="宋体" w:hAnsi="宋体" w:eastAsia="宋体" w:cs="宋体"/>
                <w:bCs w:val="0"/>
                <w:color w:val="auto"/>
                <w:sz w:val="24"/>
                <w:szCs w:val="24"/>
                <w:highlight w:val="none"/>
                <w:shd w:val="clear"/>
                <w:lang w:eastAsia="zh-CN"/>
              </w:rPr>
              <w:br w:type="textWrapping"/>
            </w:r>
            <w:r>
              <w:rPr>
                <w:rFonts w:hint="eastAsia" w:ascii="宋体" w:hAnsi="宋体" w:eastAsia="宋体" w:cs="宋体"/>
                <w:bCs w:val="0"/>
                <w:color w:val="auto"/>
                <w:sz w:val="24"/>
                <w:szCs w:val="24"/>
                <w:highlight w:val="none"/>
                <w:shd w:val="clear"/>
                <w:lang w:eastAsia="zh-CN"/>
              </w:rPr>
              <w:t>《家具中有害物质限量》</w:t>
            </w:r>
            <w:r>
              <w:rPr>
                <w:rFonts w:hint="eastAsia" w:ascii="宋体" w:hAnsi="宋体" w:eastAsia="宋体" w:cs="宋体"/>
                <w:color w:val="auto"/>
                <w:sz w:val="24"/>
                <w:szCs w:val="24"/>
                <w:highlight w:val="none"/>
                <w:lang w:eastAsia="zh-CN"/>
              </w:rPr>
              <w:t>等标准。</w:t>
            </w:r>
          </w:p>
          <w:p w14:paraId="53E5A7FB">
            <w:pPr>
              <w:spacing w:line="360" w:lineRule="auto"/>
              <w:ind w:firstLine="12" w:firstLineChars="5"/>
              <w:rPr>
                <w:rFonts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lang w:eastAsia="zh-CN"/>
              </w:rPr>
              <w:t>5、符合GB 18580-2017《室内装饰装修材料人造板及其制品中甲醛释放限量》、GB/T39600-2021《人造板及其制品甲醛释放量分级》</w:t>
            </w:r>
            <w:r>
              <w:rPr>
                <w:rFonts w:hint="eastAsia" w:ascii="宋体" w:hAnsi="宋体" w:cs="宋体"/>
                <w:color w:val="auto"/>
                <w:sz w:val="24"/>
                <w:szCs w:val="24"/>
                <w:highlight w:val="none"/>
                <w:lang w:eastAsia="zh-CN"/>
              </w:rPr>
              <w:t>标准</w:t>
            </w:r>
            <w:r>
              <w:rPr>
                <w:rFonts w:hint="eastAsia" w:ascii="宋体" w:hAnsi="宋体" w:eastAsia="宋体" w:cs="宋体"/>
                <w:color w:val="auto"/>
                <w:sz w:val="24"/>
                <w:szCs w:val="24"/>
                <w:highlight w:val="none"/>
                <w:lang w:eastAsia="zh-CN"/>
              </w:rPr>
              <w:t>，饰面中纤板的甲醛释放量≤0.05㎎/m³。</w:t>
            </w:r>
            <w:r>
              <w:rPr>
                <w:rFonts w:hint="eastAsia" w:ascii="宋体" w:hAnsi="宋体" w:eastAsia="宋体" w:cs="宋体"/>
                <w:b/>
                <w:bCs/>
                <w:color w:val="auto"/>
                <w:sz w:val="24"/>
                <w:szCs w:val="24"/>
                <w:highlight w:val="none"/>
                <w:lang w:eastAsia="zh-CN"/>
              </w:rPr>
              <w:t>（响应文件中需同时提供第三方检测机构出具合格的“带有CMA标识”检验（测）报告扫描件及国家认证认可公共信息服务平台及检验机构报告真伪查询结果截图）</w:t>
            </w:r>
          </w:p>
        </w:tc>
        <w:tc>
          <w:tcPr>
            <w:tcW w:w="3336" w:type="dxa"/>
            <w:vAlign w:val="center"/>
          </w:tcPr>
          <w:p w14:paraId="7697174B">
            <w:pPr>
              <w:spacing w:line="360" w:lineRule="auto"/>
              <w:jc w:val="center"/>
              <w:rPr>
                <w:rFonts w:ascii="宋体" w:hAnsi="宋体" w:eastAsia="宋体" w:cs="宋体"/>
                <w:color w:val="auto"/>
                <w:sz w:val="24"/>
                <w:szCs w:val="24"/>
                <w:highlight w:val="none"/>
                <w:lang w:eastAsia="zh-CN"/>
              </w:rPr>
            </w:pPr>
          </w:p>
        </w:tc>
        <w:tc>
          <w:tcPr>
            <w:tcW w:w="850" w:type="dxa"/>
            <w:vAlign w:val="center"/>
          </w:tcPr>
          <w:p w14:paraId="56C0ACCE">
            <w:pPr>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Cs w:val="21"/>
                <w:highlight w:val="none"/>
              </w:rPr>
              <w:t>100套</w:t>
            </w:r>
          </w:p>
        </w:tc>
      </w:tr>
      <w:tr w14:paraId="3A6A6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531" w:type="dxa"/>
            <w:vAlign w:val="center"/>
          </w:tcPr>
          <w:p w14:paraId="162DBA15">
            <w:pPr>
              <w:spacing w:line="360" w:lineRule="auto"/>
              <w:jc w:val="center"/>
              <w:rPr>
                <w:rFonts w:hint="eastAsia" w:ascii="宋体" w:hAnsi="宋体" w:eastAsia="宋体" w:cs="宋体"/>
                <w:color w:val="auto"/>
                <w:sz w:val="24"/>
                <w:szCs w:val="24"/>
                <w:highlight w:val="none"/>
                <w:shd w:val="clear" w:color="auto" w:fill="FFFFFF"/>
                <w:lang w:val="en-US" w:eastAsia="zh-CN"/>
              </w:rPr>
            </w:pPr>
            <w:r>
              <w:rPr>
                <w:rFonts w:hint="eastAsia" w:ascii="宋体" w:hAnsi="宋体" w:eastAsia="宋体" w:cs="宋体"/>
                <w:color w:val="auto"/>
                <w:sz w:val="24"/>
                <w:szCs w:val="24"/>
                <w:highlight w:val="none"/>
                <w:shd w:val="clear" w:color="auto" w:fill="FFFFFF"/>
                <w:lang w:val="en-US" w:eastAsia="zh-CN"/>
              </w:rPr>
              <w:t>4</w:t>
            </w:r>
          </w:p>
        </w:tc>
        <w:tc>
          <w:tcPr>
            <w:tcW w:w="1277" w:type="dxa"/>
            <w:vAlign w:val="center"/>
          </w:tcPr>
          <w:p w14:paraId="79EA7B9B">
            <w:pPr>
              <w:spacing w:line="360" w:lineRule="auto"/>
              <w:jc w:val="center"/>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活动条形桌</w:t>
            </w:r>
          </w:p>
        </w:tc>
        <w:tc>
          <w:tcPr>
            <w:tcW w:w="4603" w:type="dxa"/>
            <w:vAlign w:val="top"/>
          </w:tcPr>
          <w:p w14:paraId="0E67E5BE">
            <w:pPr>
              <w:spacing w:line="360" w:lineRule="auto"/>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1、桌面板尺寸：1200mm*600mm *厚度≥25mm，材质为实木多层免漆板，PVC机器封边，桌面板高度760 mm。</w:t>
            </w:r>
          </w:p>
          <w:p w14:paraId="4D732707">
            <w:pPr>
              <w:spacing w:line="360" w:lineRule="auto"/>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2、桌面板支撑钢板采用厚度≥2.5mm冷轧钢板一次冲压成型。</w:t>
            </w:r>
          </w:p>
          <w:p w14:paraId="0E985E52">
            <w:pPr>
              <w:spacing w:line="360" w:lineRule="auto"/>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3、后脚管：采用高精度冷扎钢，椭圆管（50mm *25mm*厚度≥1.5mm），表面采用防锈静电喷涂处理。</w:t>
            </w:r>
          </w:p>
          <w:p w14:paraId="3181636D">
            <w:pPr>
              <w:spacing w:line="360" w:lineRule="auto"/>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4、前脚管：采用采用高精度冷扎钢，方管（60mm*30mm*厚度≥1.5mm），表面采用防锈静电喷涂处理。</w:t>
            </w:r>
          </w:p>
          <w:p w14:paraId="0A5B6D7D">
            <w:pPr>
              <w:spacing w:line="360" w:lineRule="auto"/>
              <w:rPr>
                <w:rFonts w:hint="eastAsia" w:ascii="宋体" w:hAnsi="宋体" w:eastAsia="宋体" w:cs="宋体"/>
                <w:color w:val="auto"/>
                <w:sz w:val="24"/>
                <w:szCs w:val="24"/>
                <w:highlight w:val="none"/>
                <w:shd w:val="clear" w:color="auto" w:fill="FFFFFF"/>
                <w:lang w:eastAsia="zh-CN"/>
              </w:rPr>
            </w:pPr>
            <w:r>
              <w:rPr>
                <w:color w:val="auto"/>
                <w:sz w:val="28"/>
                <w:szCs w:val="28"/>
                <w:highlight w:val="none"/>
              </w:rPr>
              <w:drawing>
                <wp:anchor distT="0" distB="0" distL="114300" distR="114300" simplePos="0" relativeHeight="251660288" behindDoc="0" locked="0" layoutInCell="1" allowOverlap="1">
                  <wp:simplePos x="0" y="0"/>
                  <wp:positionH relativeFrom="column">
                    <wp:posOffset>2996565</wp:posOffset>
                  </wp:positionH>
                  <wp:positionV relativeFrom="paragraph">
                    <wp:posOffset>879475</wp:posOffset>
                  </wp:positionV>
                  <wp:extent cx="1661160" cy="1104900"/>
                  <wp:effectExtent l="0" t="0" r="15240" b="0"/>
                  <wp:wrapNone/>
                  <wp:docPr id="2" name="图片 4" descr="微信图片_20251226171728_102_3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4" descr="微信图片_20251226171728_102_355.jpg"/>
                          <pic:cNvPicPr>
                            <a:picLocks noChangeAspect="1"/>
                          </pic:cNvPicPr>
                        </pic:nvPicPr>
                        <pic:blipFill>
                          <a:blip r:embed="rId8" cstate="print"/>
                          <a:stretch>
                            <a:fillRect/>
                          </a:stretch>
                        </pic:blipFill>
                        <pic:spPr>
                          <a:xfrm>
                            <a:off x="0" y="0"/>
                            <a:ext cx="1661160" cy="1104900"/>
                          </a:xfrm>
                          <a:prstGeom prst="rect">
                            <a:avLst/>
                          </a:prstGeom>
                        </pic:spPr>
                      </pic:pic>
                    </a:graphicData>
                  </a:graphic>
                </wp:anchor>
              </w:drawing>
            </w:r>
            <w:r>
              <w:rPr>
                <w:rFonts w:hint="eastAsia" w:ascii="宋体" w:hAnsi="宋体" w:eastAsia="宋体" w:cs="宋体"/>
                <w:color w:val="auto"/>
                <w:sz w:val="24"/>
                <w:szCs w:val="24"/>
                <w:highlight w:val="none"/>
                <w:shd w:val="clear" w:color="auto" w:fill="FFFFFF"/>
                <w:lang w:eastAsia="zh-CN"/>
              </w:rPr>
              <w:t>5、横梁：采用采用高精度冷扎钢，圆管（直径50 mm *厚度≥1.2mm），表面采用防锈静电喷涂处理。</w:t>
            </w:r>
          </w:p>
          <w:p w14:paraId="3BFDD916">
            <w:pPr>
              <w:spacing w:line="360" w:lineRule="auto"/>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6、前挡板：厚度≥18mm，材质为实木多层免漆板，PVC机器封边。</w:t>
            </w:r>
          </w:p>
          <w:p w14:paraId="5EC1F3EC">
            <w:pPr>
              <w:spacing w:line="360" w:lineRule="auto"/>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7、台架有旋钮折叠装置。脚轮采用PU万向脚轮带刹车。</w:t>
            </w:r>
          </w:p>
          <w:p w14:paraId="4CC4E462">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lang w:eastAsia="zh-CN"/>
              </w:rPr>
              <w:t>、原材料及成品符合QB/T4071-2021《课桌椅》、GB 18580-2017《室内装饰装修材料人造板及其制品中甲醛释放限量》、GB/T39600-2021《人造板及其制品甲醛释放量分级》、GB/T35607-2024《绿色产品评价家具》、GB/T 3325-2024 《金属家具通用技术条件》</w:t>
            </w:r>
            <w:r>
              <w:rPr>
                <w:rFonts w:hint="eastAsia" w:ascii="宋体" w:hAnsi="宋体" w:cs="宋体"/>
                <w:color w:val="auto"/>
                <w:sz w:val="24"/>
                <w:szCs w:val="24"/>
                <w:highlight w:val="none"/>
                <w:lang w:eastAsia="zh-CN"/>
              </w:rPr>
              <w:t>、</w:t>
            </w:r>
            <w:r>
              <w:rPr>
                <w:rFonts w:hint="eastAsia" w:ascii="宋体" w:hAnsi="宋体" w:eastAsia="宋体" w:cs="宋体"/>
                <w:bCs w:val="0"/>
                <w:color w:val="auto"/>
                <w:sz w:val="24"/>
                <w:szCs w:val="24"/>
                <w:highlight w:val="none"/>
                <w:shd w:val="clear"/>
                <w:lang w:eastAsia="zh-CN"/>
              </w:rPr>
              <w:t>GB28008-2024《家具结构安全技术规范》</w:t>
            </w:r>
            <w:r>
              <w:rPr>
                <w:rFonts w:hint="eastAsia" w:ascii="宋体" w:hAnsi="宋体" w:eastAsia="宋体" w:cs="宋体"/>
                <w:bCs w:val="0"/>
                <w:color w:val="auto"/>
                <w:sz w:val="24"/>
                <w:szCs w:val="24"/>
                <w:highlight w:val="none"/>
                <w:shd w:val="clear"/>
                <w:lang w:val="en-US" w:eastAsia="zh-CN"/>
              </w:rPr>
              <w:t>、</w:t>
            </w:r>
            <w:r>
              <w:rPr>
                <w:rFonts w:hint="eastAsia" w:ascii="宋体" w:hAnsi="宋体" w:eastAsia="宋体" w:cs="宋体"/>
                <w:bCs w:val="0"/>
                <w:color w:val="auto"/>
                <w:sz w:val="24"/>
                <w:szCs w:val="24"/>
                <w:highlight w:val="none"/>
                <w:shd w:val="clear"/>
                <w:lang w:eastAsia="zh-CN"/>
              </w:rPr>
              <w:t>GB18584-2024《家具中有害物质限量》</w:t>
            </w:r>
            <w:r>
              <w:rPr>
                <w:rFonts w:hint="eastAsia" w:ascii="宋体" w:hAnsi="宋体" w:eastAsia="宋体" w:cs="宋体"/>
                <w:color w:val="auto"/>
                <w:sz w:val="24"/>
                <w:szCs w:val="24"/>
                <w:highlight w:val="none"/>
                <w:lang w:eastAsia="zh-CN"/>
              </w:rPr>
              <w:t>等标准。</w:t>
            </w:r>
          </w:p>
          <w:p w14:paraId="606B6D91">
            <w:pPr>
              <w:spacing w:line="360" w:lineRule="auto"/>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lang w:eastAsia="zh-CN"/>
              </w:rPr>
              <w:t>、符合GB 18580-2017《室内装饰装修材料人造板及其制品中甲醛释放限量》、GB/T39600-2021《人造板及其制品甲醛释放量分级》</w:t>
            </w:r>
            <w:r>
              <w:rPr>
                <w:rFonts w:hint="eastAsia" w:ascii="宋体" w:hAnsi="宋体" w:cs="宋体"/>
                <w:color w:val="auto"/>
                <w:sz w:val="24"/>
                <w:szCs w:val="24"/>
                <w:highlight w:val="none"/>
                <w:lang w:eastAsia="zh-CN"/>
              </w:rPr>
              <w:t>标准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shd w:val="clear" w:color="auto" w:fill="FFFFFF"/>
                <w:lang w:eastAsia="zh-CN"/>
              </w:rPr>
              <w:t>实木多层免漆板</w:t>
            </w:r>
            <w:r>
              <w:rPr>
                <w:rFonts w:hint="eastAsia" w:ascii="宋体" w:hAnsi="宋体" w:eastAsia="宋体" w:cs="宋体"/>
                <w:color w:val="auto"/>
                <w:sz w:val="24"/>
                <w:szCs w:val="24"/>
                <w:highlight w:val="none"/>
                <w:lang w:eastAsia="zh-CN"/>
              </w:rPr>
              <w:t>的甲醛释放量≤0.05㎎/m³。</w:t>
            </w:r>
            <w:r>
              <w:rPr>
                <w:rFonts w:hint="eastAsia" w:ascii="宋体" w:hAnsi="宋体" w:eastAsia="宋体" w:cs="宋体"/>
                <w:b/>
                <w:bCs/>
                <w:color w:val="auto"/>
                <w:sz w:val="24"/>
                <w:szCs w:val="24"/>
                <w:highlight w:val="none"/>
                <w:lang w:eastAsia="zh-CN"/>
              </w:rPr>
              <w:t>（响应文件中需同时提供第三方检测机构出具合格的“带有CMA标识”检验（测）报告扫描件及国家认证认可公共信息服务平台及检验机构报告真伪查询结果截图）</w:t>
            </w:r>
          </w:p>
        </w:tc>
        <w:tc>
          <w:tcPr>
            <w:tcW w:w="3336" w:type="dxa"/>
            <w:vAlign w:val="center"/>
          </w:tcPr>
          <w:p w14:paraId="12199BE5">
            <w:pPr>
              <w:widowControl/>
              <w:jc w:val="center"/>
              <w:textAlignment w:val="center"/>
              <w:rPr>
                <w:rFonts w:hint="eastAsia" w:ascii="宋体" w:hAnsi="宋体" w:eastAsia="宋体" w:cs="宋体"/>
                <w:color w:val="auto"/>
                <w:sz w:val="24"/>
                <w:szCs w:val="24"/>
                <w:highlight w:val="none"/>
                <w:lang w:eastAsia="zh-CN"/>
              </w:rPr>
            </w:pPr>
          </w:p>
        </w:tc>
        <w:tc>
          <w:tcPr>
            <w:tcW w:w="850" w:type="dxa"/>
            <w:vAlign w:val="center"/>
          </w:tcPr>
          <w:p w14:paraId="52FE2003">
            <w:pPr>
              <w:jc w:val="center"/>
              <w:rPr>
                <w:rFonts w:hint="eastAsia" w:ascii="宋体" w:hAnsi="宋体" w:eastAsia="宋体" w:cs="宋体"/>
                <w:color w:val="auto"/>
                <w:sz w:val="24"/>
                <w:szCs w:val="24"/>
                <w:highlight w:val="none"/>
              </w:rPr>
            </w:pPr>
            <w:r>
              <w:rPr>
                <w:rFonts w:hint="eastAsia" w:asciiTheme="minorEastAsia" w:hAnsiTheme="minorEastAsia" w:eastAsiaTheme="minorEastAsia" w:cstheme="minorEastAsia"/>
                <w:color w:val="auto"/>
                <w:szCs w:val="21"/>
                <w:highlight w:val="none"/>
              </w:rPr>
              <w:t>46</w:t>
            </w:r>
            <w:r>
              <w:rPr>
                <w:rFonts w:hint="eastAsia" w:asciiTheme="minorEastAsia" w:hAnsiTheme="minorEastAsia" w:eastAsiaTheme="minorEastAsia" w:cstheme="minorEastAsia"/>
                <w:color w:val="auto"/>
                <w:szCs w:val="21"/>
                <w:highlight w:val="none"/>
                <w:lang w:val="en-US" w:eastAsia="zh-CN"/>
              </w:rPr>
              <w:t>张</w:t>
            </w:r>
          </w:p>
        </w:tc>
      </w:tr>
      <w:tr w14:paraId="2FB18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jc w:val="center"/>
        </w:trPr>
        <w:tc>
          <w:tcPr>
            <w:tcW w:w="531" w:type="dxa"/>
            <w:vAlign w:val="center"/>
          </w:tcPr>
          <w:p w14:paraId="5904820E">
            <w:pPr>
              <w:spacing w:line="360" w:lineRule="auto"/>
              <w:jc w:val="center"/>
              <w:rPr>
                <w:rFonts w:hint="eastAsia" w:ascii="宋体" w:hAnsi="宋体" w:eastAsia="宋体" w:cs="宋体"/>
                <w:color w:val="auto"/>
                <w:sz w:val="24"/>
                <w:szCs w:val="24"/>
                <w:highlight w:val="none"/>
                <w:shd w:val="clear" w:color="auto" w:fill="FFFFFF"/>
                <w:lang w:val="en-US" w:eastAsia="zh-CN"/>
              </w:rPr>
            </w:pPr>
            <w:r>
              <w:rPr>
                <w:rFonts w:hint="eastAsia" w:ascii="宋体" w:hAnsi="宋体" w:eastAsia="宋体" w:cs="宋体"/>
                <w:color w:val="auto"/>
                <w:sz w:val="24"/>
                <w:szCs w:val="24"/>
                <w:highlight w:val="none"/>
                <w:shd w:val="clear" w:color="auto" w:fill="FFFFFF"/>
                <w:lang w:val="en-US" w:eastAsia="zh-CN"/>
              </w:rPr>
              <w:t>5</w:t>
            </w:r>
          </w:p>
        </w:tc>
        <w:tc>
          <w:tcPr>
            <w:tcW w:w="1277" w:type="dxa"/>
            <w:vAlign w:val="center"/>
          </w:tcPr>
          <w:p w14:paraId="04DEBB4D">
            <w:pPr>
              <w:spacing w:line="360" w:lineRule="auto"/>
              <w:jc w:val="center"/>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活动椅</w:t>
            </w:r>
          </w:p>
        </w:tc>
        <w:tc>
          <w:tcPr>
            <w:tcW w:w="4603" w:type="dxa"/>
            <w:vAlign w:val="top"/>
          </w:tcPr>
          <w:p w14:paraId="5A7ABD49">
            <w:pPr>
              <w:spacing w:line="360" w:lineRule="auto"/>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椅高：915mm,椅宽：600mm，椅深：610mm，座高：470mm，座深：480mm。</w:t>
            </w:r>
          </w:p>
          <w:p w14:paraId="69B9D125">
            <w:pPr>
              <w:spacing w:line="360" w:lineRule="auto"/>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1、主铁架由40mm*20mm*厚度≥1.5mm旦管弯制而成。</w:t>
            </w:r>
          </w:p>
          <w:p w14:paraId="5A1A417B">
            <w:pPr>
              <w:spacing w:line="360" w:lineRule="auto"/>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2、扶手面为一次成型塑胶，材质PP+20%GF。</w:t>
            </w:r>
          </w:p>
          <w:p w14:paraId="72C0BB71">
            <w:pPr>
              <w:spacing w:line="360" w:lineRule="auto"/>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3、背框由PP材质注塑而成。</w:t>
            </w:r>
          </w:p>
          <w:p w14:paraId="7D5D6155">
            <w:pPr>
              <w:spacing w:line="360" w:lineRule="auto"/>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4、座板为厚度≥12mm实木多层板，座板海绵为定型绵，由PU材料发泡而成，泡绵回弹性≥95%。</w:t>
            </w:r>
          </w:p>
          <w:p w14:paraId="7427FD9D">
            <w:pPr>
              <w:spacing w:line="360" w:lineRule="auto"/>
              <w:rPr>
                <w:rFonts w:hint="default" w:ascii="宋体" w:hAnsi="宋体" w:eastAsia="宋体" w:cs="宋体"/>
                <w:color w:val="auto"/>
                <w:sz w:val="24"/>
                <w:szCs w:val="24"/>
                <w:highlight w:val="none"/>
                <w:shd w:val="clear" w:color="auto" w:fill="FFFFFF"/>
                <w:lang w:val="en-US" w:eastAsia="zh-CN"/>
              </w:rPr>
            </w:pPr>
            <w:r>
              <w:rPr>
                <w:rFonts w:hint="eastAsia" w:ascii="宋体" w:hAnsi="宋体" w:cs="宋体"/>
                <w:color w:val="auto"/>
                <w:sz w:val="24"/>
                <w:szCs w:val="24"/>
                <w:highlight w:val="none"/>
                <w:shd w:val="clear" w:color="auto" w:fill="FFFFFF"/>
                <w:lang w:val="en-US" w:eastAsia="zh-CN"/>
              </w:rPr>
              <w:t>5、</w:t>
            </w:r>
            <w:r>
              <w:rPr>
                <w:rFonts w:hint="eastAsia" w:ascii="宋体" w:hAnsi="宋体" w:cs="宋体"/>
                <w:color w:val="auto"/>
                <w:spacing w:val="-6"/>
                <w:sz w:val="24"/>
                <w:szCs w:val="24"/>
                <w:highlight w:val="none"/>
                <w:lang w:val="en-US" w:eastAsia="zh-CN"/>
              </w:rPr>
              <w:t>单个座位</w:t>
            </w:r>
            <w:r>
              <w:rPr>
                <w:rFonts w:hint="eastAsia" w:ascii="宋体" w:hAnsi="宋体" w:eastAsia="宋体" w:cs="宋体"/>
                <w:bCs/>
                <w:color w:val="auto"/>
                <w:sz w:val="24"/>
                <w:szCs w:val="24"/>
                <w:highlight w:val="none"/>
                <w:shd w:val="clear" w:color="auto" w:fill="FFFFFF"/>
              </w:rPr>
              <w:t>有效承重</w:t>
            </w:r>
            <w:r>
              <w:rPr>
                <w:rFonts w:hint="eastAsia" w:ascii="宋体" w:hAnsi="宋体" w:eastAsia="宋体" w:cs="宋体"/>
                <w:color w:val="auto"/>
                <w:sz w:val="24"/>
                <w:szCs w:val="24"/>
                <w:highlight w:val="none"/>
              </w:rPr>
              <w:t>≥1</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0公斤。</w:t>
            </w:r>
          </w:p>
        </w:tc>
        <w:tc>
          <w:tcPr>
            <w:tcW w:w="3336" w:type="dxa"/>
            <w:vAlign w:val="center"/>
          </w:tcPr>
          <w:p w14:paraId="1F398FE1">
            <w:pPr>
              <w:widowControl/>
              <w:textAlignment w:val="center"/>
              <w:rPr>
                <w:rFonts w:hint="eastAsia" w:ascii="宋体" w:hAnsi="宋体" w:eastAsia="宋体" w:cs="宋体"/>
                <w:color w:val="auto"/>
                <w:sz w:val="24"/>
                <w:szCs w:val="24"/>
                <w:highlight w:val="none"/>
                <w:lang w:eastAsia="zh-CN"/>
              </w:rPr>
            </w:pPr>
            <w:r>
              <w:rPr>
                <w:color w:val="auto"/>
                <w:sz w:val="28"/>
                <w:szCs w:val="28"/>
                <w:highlight w:val="none"/>
              </w:rPr>
              <w:drawing>
                <wp:anchor distT="0" distB="0" distL="114300" distR="114300" simplePos="0" relativeHeight="251661312" behindDoc="0" locked="0" layoutInCell="1" allowOverlap="1">
                  <wp:simplePos x="0" y="0"/>
                  <wp:positionH relativeFrom="column">
                    <wp:posOffset>309245</wp:posOffset>
                  </wp:positionH>
                  <wp:positionV relativeFrom="paragraph">
                    <wp:posOffset>87630</wp:posOffset>
                  </wp:positionV>
                  <wp:extent cx="1101090" cy="1654810"/>
                  <wp:effectExtent l="0" t="0" r="3810" b="1905"/>
                  <wp:wrapNone/>
                  <wp:docPr id="8" name="图片 8" descr="微信图片_20251226170222_98_3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微信图片_20251226170222_98_355.png"/>
                          <pic:cNvPicPr>
                            <a:picLocks noChangeAspect="1"/>
                          </pic:cNvPicPr>
                        </pic:nvPicPr>
                        <pic:blipFill>
                          <a:blip r:embed="rId9" cstate="print"/>
                          <a:stretch>
                            <a:fillRect/>
                          </a:stretch>
                        </pic:blipFill>
                        <pic:spPr>
                          <a:xfrm>
                            <a:off x="0" y="0"/>
                            <a:ext cx="1112844" cy="1672463"/>
                          </a:xfrm>
                          <a:prstGeom prst="rect">
                            <a:avLst/>
                          </a:prstGeom>
                        </pic:spPr>
                      </pic:pic>
                    </a:graphicData>
                  </a:graphic>
                </wp:anchor>
              </w:drawing>
            </w:r>
          </w:p>
        </w:tc>
        <w:tc>
          <w:tcPr>
            <w:tcW w:w="850" w:type="dxa"/>
            <w:vAlign w:val="center"/>
          </w:tcPr>
          <w:p w14:paraId="2FAA98C8">
            <w:pPr>
              <w:jc w:val="center"/>
              <w:rPr>
                <w:rFonts w:hint="eastAsia" w:ascii="宋体" w:hAnsi="宋体" w:eastAsia="宋体" w:cs="宋体"/>
                <w:color w:val="auto"/>
                <w:sz w:val="24"/>
                <w:szCs w:val="24"/>
                <w:highlight w:val="none"/>
              </w:rPr>
            </w:pPr>
            <w:r>
              <w:rPr>
                <w:rFonts w:hint="eastAsia" w:asciiTheme="minorEastAsia" w:hAnsiTheme="minorEastAsia" w:eastAsiaTheme="minorEastAsia" w:cstheme="minorEastAsia"/>
                <w:color w:val="auto"/>
                <w:szCs w:val="21"/>
                <w:highlight w:val="none"/>
              </w:rPr>
              <w:t>92</w:t>
            </w:r>
            <w:r>
              <w:rPr>
                <w:rFonts w:hint="eastAsia" w:asciiTheme="minorEastAsia" w:hAnsiTheme="minorEastAsia" w:eastAsiaTheme="minorEastAsia" w:cstheme="minorEastAsia"/>
                <w:color w:val="auto"/>
                <w:szCs w:val="21"/>
                <w:highlight w:val="none"/>
                <w:lang w:val="en-US" w:eastAsia="zh-CN"/>
              </w:rPr>
              <w:t>把</w:t>
            </w:r>
          </w:p>
        </w:tc>
      </w:tr>
      <w:tr w14:paraId="3B623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jc w:val="center"/>
        </w:trPr>
        <w:tc>
          <w:tcPr>
            <w:tcW w:w="531" w:type="dxa"/>
            <w:vAlign w:val="center"/>
          </w:tcPr>
          <w:p w14:paraId="78EE63B1">
            <w:pPr>
              <w:spacing w:line="360" w:lineRule="auto"/>
              <w:jc w:val="center"/>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val="en-US" w:eastAsia="zh-CN"/>
              </w:rPr>
              <w:t>6</w:t>
            </w:r>
          </w:p>
        </w:tc>
        <w:tc>
          <w:tcPr>
            <w:tcW w:w="1277" w:type="dxa"/>
            <w:vAlign w:val="center"/>
          </w:tcPr>
          <w:p w14:paraId="4B99FC40">
            <w:pPr>
              <w:spacing w:line="360" w:lineRule="auto"/>
              <w:jc w:val="center"/>
              <w:rPr>
                <w:rFonts w:ascii="宋体" w:hAnsi="宋体" w:eastAsia="宋体" w:cs="宋体"/>
                <w:color w:val="auto"/>
                <w:sz w:val="24"/>
                <w:szCs w:val="24"/>
                <w:highlight w:val="none"/>
                <w:shd w:val="clear" w:color="auto" w:fill="FFFFFF"/>
              </w:rPr>
            </w:pPr>
            <w:bookmarkStart w:id="82" w:name="OLE_LINK78"/>
            <w:bookmarkStart w:id="83" w:name="OLE_LINK79"/>
            <w:r>
              <w:rPr>
                <w:rFonts w:hint="eastAsia" w:ascii="宋体" w:hAnsi="宋体" w:eastAsia="宋体" w:cs="宋体"/>
                <w:color w:val="auto"/>
                <w:sz w:val="24"/>
                <w:szCs w:val="24"/>
                <w:highlight w:val="none"/>
                <w:shd w:val="clear" w:color="auto" w:fill="FFFFFF"/>
              </w:rPr>
              <w:t>踏板（1）</w:t>
            </w:r>
            <w:bookmarkEnd w:id="82"/>
            <w:bookmarkEnd w:id="83"/>
          </w:p>
        </w:tc>
        <w:tc>
          <w:tcPr>
            <w:tcW w:w="4603" w:type="dxa"/>
            <w:vAlign w:val="center"/>
          </w:tcPr>
          <w:p w14:paraId="252D1CF8">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规格：900 mm（宽）* 200 mm（高）*1900 mm（长），每间教室一个，其上用于安放多媒体讲台。</w:t>
            </w:r>
            <w:bookmarkStart w:id="84" w:name="OLE_LINK124"/>
            <w:bookmarkStart w:id="85" w:name="OLE_LINK123"/>
            <w:r>
              <w:rPr>
                <w:rFonts w:hint="eastAsia" w:ascii="宋体" w:hAnsi="宋体" w:eastAsia="宋体" w:cs="宋体"/>
                <w:bCs/>
                <w:color w:val="auto"/>
                <w:sz w:val="24"/>
                <w:szCs w:val="24"/>
                <w:highlight w:val="none"/>
                <w:shd w:val="clear" w:color="auto" w:fill="FFFFFF"/>
                <w:lang w:eastAsia="zh-CN"/>
              </w:rPr>
              <w:t>每间教室的踏板须采用金属件连接固定，防止踏板</w:t>
            </w:r>
            <w:bookmarkStart w:id="86" w:name="OLE_LINK105"/>
            <w:bookmarkStart w:id="87" w:name="OLE_LINK106"/>
            <w:r>
              <w:rPr>
                <w:rFonts w:hint="eastAsia" w:ascii="宋体" w:hAnsi="宋体" w:eastAsia="宋体" w:cs="宋体"/>
                <w:bCs/>
                <w:color w:val="auto"/>
                <w:sz w:val="24"/>
                <w:szCs w:val="24"/>
                <w:highlight w:val="none"/>
                <w:shd w:val="clear" w:color="auto" w:fill="FFFFFF"/>
                <w:lang w:eastAsia="zh-CN"/>
              </w:rPr>
              <w:t>移位后</w:t>
            </w:r>
            <w:bookmarkEnd w:id="86"/>
            <w:bookmarkEnd w:id="87"/>
            <w:r>
              <w:rPr>
                <w:rFonts w:hint="eastAsia" w:ascii="宋体" w:hAnsi="宋体" w:eastAsia="宋体" w:cs="宋体"/>
                <w:bCs/>
                <w:color w:val="auto"/>
                <w:sz w:val="24"/>
                <w:szCs w:val="24"/>
                <w:highlight w:val="none"/>
                <w:shd w:val="clear" w:color="auto" w:fill="FFFFFF"/>
                <w:lang w:eastAsia="zh-CN"/>
              </w:rPr>
              <w:t>中间产生缝隙。</w:t>
            </w:r>
            <w:bookmarkEnd w:id="84"/>
            <w:bookmarkEnd w:id="85"/>
          </w:p>
          <w:p w14:paraId="488CFE56">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1、材质要求：主材采用厚度≥18mm橡胶木指接板，踏板下面每400mm加立板一块，主材含水率8%-13%。</w:t>
            </w:r>
          </w:p>
          <w:p w14:paraId="32E0586C">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2、油漆：家具配套环保油漆，底漆面漆符合GB18581-2020《木器涂料中有害物质限量》。油漆颜色统一，采用五底三面工艺。</w:t>
            </w:r>
          </w:p>
          <w:p w14:paraId="703AF0F1">
            <w:pPr>
              <w:spacing w:line="360" w:lineRule="auto"/>
              <w:rPr>
                <w:rFonts w:ascii="宋体" w:hAnsi="宋体" w:eastAsia="宋体" w:cs="宋体"/>
                <w:bCs/>
                <w:color w:val="auto"/>
                <w:sz w:val="24"/>
                <w:szCs w:val="24"/>
                <w:highlight w:val="none"/>
                <w:shd w:val="clear" w:color="auto" w:fill="FFFFFF"/>
                <w:lang w:eastAsia="zh-CN"/>
              </w:rPr>
            </w:pPr>
            <w:bookmarkStart w:id="88" w:name="OLE_LINK111"/>
            <w:bookmarkStart w:id="89" w:name="OLE_LINK110"/>
            <w:r>
              <w:rPr>
                <w:rFonts w:hint="eastAsia" w:ascii="宋体" w:hAnsi="宋体" w:eastAsia="宋体" w:cs="宋体"/>
                <w:bCs/>
                <w:color w:val="auto"/>
                <w:sz w:val="24"/>
                <w:szCs w:val="24"/>
                <w:highlight w:val="none"/>
                <w:shd w:val="clear" w:color="auto" w:fill="FFFFFF"/>
                <w:lang w:eastAsia="zh-CN"/>
              </w:rPr>
              <w:t>3、符合GB 18580-2017《室内装饰装修材料人造板及其制品中甲醛释放限量》、 GB/T 3324-2024 《木家具通用技术条件》</w:t>
            </w:r>
            <w:r>
              <w:rPr>
                <w:rFonts w:hint="eastAsia" w:ascii="宋体" w:hAnsi="宋体" w:cs="宋体"/>
                <w:color w:val="auto"/>
                <w:sz w:val="24"/>
                <w:szCs w:val="24"/>
                <w:highlight w:val="none"/>
                <w:lang w:eastAsia="zh-CN"/>
              </w:rPr>
              <w:t>、</w:t>
            </w:r>
            <w:r>
              <w:rPr>
                <w:rFonts w:hint="eastAsia" w:ascii="宋体" w:hAnsi="宋体" w:eastAsia="宋体" w:cs="宋体"/>
                <w:bCs w:val="0"/>
                <w:color w:val="auto"/>
                <w:sz w:val="24"/>
                <w:szCs w:val="24"/>
                <w:highlight w:val="none"/>
                <w:shd w:val="clear"/>
                <w:lang w:eastAsia="zh-CN"/>
              </w:rPr>
              <w:t>GB28008-2024《家具结构安全技术规范》</w:t>
            </w:r>
            <w:r>
              <w:rPr>
                <w:rFonts w:hint="eastAsia" w:ascii="宋体" w:hAnsi="宋体" w:eastAsia="宋体" w:cs="宋体"/>
                <w:bCs w:val="0"/>
                <w:color w:val="auto"/>
                <w:sz w:val="24"/>
                <w:szCs w:val="24"/>
                <w:highlight w:val="none"/>
                <w:shd w:val="clear"/>
                <w:lang w:val="en-US" w:eastAsia="zh-CN"/>
              </w:rPr>
              <w:t>、</w:t>
            </w:r>
            <w:r>
              <w:rPr>
                <w:rFonts w:hint="eastAsia" w:ascii="宋体" w:hAnsi="宋体" w:eastAsia="宋体" w:cs="宋体"/>
                <w:bCs w:val="0"/>
                <w:color w:val="auto"/>
                <w:sz w:val="24"/>
                <w:szCs w:val="24"/>
                <w:highlight w:val="none"/>
                <w:shd w:val="clear"/>
                <w:lang w:eastAsia="zh-CN"/>
              </w:rPr>
              <w:t>GB18584-2024《家具中有害物质限量》</w:t>
            </w:r>
            <w:r>
              <w:rPr>
                <w:rFonts w:hint="eastAsia" w:ascii="宋体" w:hAnsi="宋体" w:cs="宋体"/>
                <w:bCs w:val="0"/>
                <w:color w:val="auto"/>
                <w:sz w:val="24"/>
                <w:szCs w:val="24"/>
                <w:highlight w:val="none"/>
                <w:shd w:val="clear"/>
                <w:lang w:val="en-US" w:eastAsia="zh-CN"/>
              </w:rPr>
              <w:t>等</w:t>
            </w:r>
            <w:r>
              <w:rPr>
                <w:rFonts w:hint="eastAsia" w:ascii="宋体" w:hAnsi="宋体" w:cs="宋体"/>
                <w:bCs/>
                <w:color w:val="auto"/>
                <w:sz w:val="24"/>
                <w:szCs w:val="24"/>
                <w:highlight w:val="none"/>
                <w:shd w:val="clear" w:color="auto" w:fill="FFFFFF"/>
                <w:lang w:eastAsia="zh-CN"/>
              </w:rPr>
              <w:t>标准</w:t>
            </w:r>
            <w:r>
              <w:rPr>
                <w:rFonts w:hint="eastAsia" w:ascii="宋体" w:hAnsi="宋体" w:eastAsia="宋体" w:cs="宋体"/>
                <w:bCs/>
                <w:color w:val="auto"/>
                <w:sz w:val="24"/>
                <w:szCs w:val="24"/>
                <w:highlight w:val="none"/>
                <w:shd w:val="clear" w:color="auto" w:fill="FFFFFF"/>
                <w:lang w:eastAsia="zh-CN"/>
              </w:rPr>
              <w:t>。</w:t>
            </w:r>
            <w:bookmarkEnd w:id="88"/>
            <w:bookmarkEnd w:id="89"/>
          </w:p>
        </w:tc>
        <w:tc>
          <w:tcPr>
            <w:tcW w:w="3336" w:type="dxa"/>
            <w:vAlign w:val="center"/>
          </w:tcPr>
          <w:p w14:paraId="1BD5B690">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drawing>
                <wp:inline distT="0" distB="0" distL="114300" distR="114300">
                  <wp:extent cx="1581150" cy="2108200"/>
                  <wp:effectExtent l="0" t="0" r="0" b="6350"/>
                  <wp:docPr id="1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4"/>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82974" cy="2110632"/>
                          </a:xfrm>
                          <a:prstGeom prst="rect">
                            <a:avLst/>
                          </a:prstGeom>
                          <a:noFill/>
                          <a:ln>
                            <a:noFill/>
                          </a:ln>
                        </pic:spPr>
                      </pic:pic>
                    </a:graphicData>
                  </a:graphic>
                </wp:inline>
              </w:drawing>
            </w:r>
          </w:p>
        </w:tc>
        <w:tc>
          <w:tcPr>
            <w:tcW w:w="850" w:type="dxa"/>
            <w:vAlign w:val="center"/>
          </w:tcPr>
          <w:p w14:paraId="11179007">
            <w:pPr>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Cs w:val="21"/>
                <w:highlight w:val="none"/>
              </w:rPr>
              <w:t>7个</w:t>
            </w:r>
          </w:p>
        </w:tc>
      </w:tr>
      <w:tr w14:paraId="1C8EB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531" w:type="dxa"/>
            <w:vAlign w:val="center"/>
          </w:tcPr>
          <w:p w14:paraId="6A240241">
            <w:pPr>
              <w:spacing w:line="360" w:lineRule="auto"/>
              <w:jc w:val="center"/>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val="en-US" w:eastAsia="zh-CN"/>
              </w:rPr>
              <w:t>7</w:t>
            </w:r>
          </w:p>
        </w:tc>
        <w:tc>
          <w:tcPr>
            <w:tcW w:w="1277" w:type="dxa"/>
            <w:vAlign w:val="center"/>
          </w:tcPr>
          <w:p w14:paraId="50E0A294">
            <w:pPr>
              <w:spacing w:line="360" w:lineRule="auto"/>
              <w:jc w:val="center"/>
              <w:rPr>
                <w:rFonts w:ascii="宋体" w:hAnsi="宋体" w:eastAsia="宋体" w:cs="宋体"/>
                <w:color w:val="auto"/>
                <w:sz w:val="24"/>
                <w:szCs w:val="24"/>
                <w:highlight w:val="none"/>
                <w:shd w:val="clear" w:color="auto" w:fill="FFFFFF"/>
              </w:rPr>
            </w:pPr>
            <w:r>
              <w:rPr>
                <w:rFonts w:hint="eastAsia" w:ascii="宋体" w:hAnsi="宋体" w:eastAsia="宋体" w:cs="宋体"/>
                <w:color w:val="auto"/>
                <w:sz w:val="24"/>
                <w:szCs w:val="24"/>
                <w:highlight w:val="none"/>
                <w:shd w:val="clear" w:color="auto" w:fill="FFFFFF"/>
              </w:rPr>
              <w:t>踏板（2）</w:t>
            </w:r>
          </w:p>
        </w:tc>
        <w:tc>
          <w:tcPr>
            <w:tcW w:w="4603" w:type="dxa"/>
            <w:vAlign w:val="center"/>
          </w:tcPr>
          <w:p w14:paraId="638762CA">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规格：</w:t>
            </w:r>
            <w:r>
              <w:rPr>
                <w:rFonts w:hint="eastAsia" w:ascii="宋体" w:hAnsi="宋体" w:cs="宋体"/>
                <w:bCs/>
                <w:color w:val="auto"/>
                <w:sz w:val="24"/>
                <w:szCs w:val="24"/>
                <w:highlight w:val="none"/>
                <w:shd w:val="clear" w:color="auto" w:fill="FFFFFF"/>
                <w:lang w:val="en-US" w:eastAsia="zh-CN"/>
              </w:rPr>
              <w:t>1100</w:t>
            </w:r>
            <w:r>
              <w:rPr>
                <w:rFonts w:hint="eastAsia" w:ascii="宋体" w:hAnsi="宋体" w:eastAsia="宋体" w:cs="宋体"/>
                <w:bCs/>
                <w:color w:val="auto"/>
                <w:sz w:val="24"/>
                <w:szCs w:val="24"/>
                <w:highlight w:val="none"/>
                <w:shd w:val="clear" w:color="auto" w:fill="FFFFFF"/>
                <w:lang w:eastAsia="zh-CN"/>
              </w:rPr>
              <w:t xml:space="preserve"> mm（宽）* 200 mm（高），</w:t>
            </w:r>
            <w:bookmarkStart w:id="90" w:name="OLE_LINK89"/>
            <w:bookmarkStart w:id="91" w:name="OLE_LINK88"/>
            <w:r>
              <w:rPr>
                <w:rFonts w:hint="eastAsia" w:ascii="宋体" w:hAnsi="宋体" w:eastAsia="宋体" w:cs="宋体"/>
                <w:bCs/>
                <w:color w:val="auto"/>
                <w:sz w:val="24"/>
                <w:szCs w:val="24"/>
                <w:highlight w:val="none"/>
                <w:shd w:val="clear" w:color="auto" w:fill="FFFFFF"/>
                <w:lang w:eastAsia="zh-CN"/>
              </w:rPr>
              <w:t>每间教室一组，</w:t>
            </w:r>
            <w:bookmarkEnd w:id="90"/>
            <w:bookmarkEnd w:id="91"/>
            <w:r>
              <w:rPr>
                <w:rFonts w:hint="eastAsia" w:ascii="宋体" w:hAnsi="宋体" w:eastAsia="宋体" w:cs="宋体"/>
                <w:bCs/>
                <w:color w:val="auto"/>
                <w:sz w:val="24"/>
                <w:szCs w:val="24"/>
                <w:highlight w:val="none"/>
                <w:shd w:val="clear" w:color="auto" w:fill="FFFFFF"/>
                <w:lang w:eastAsia="zh-CN"/>
              </w:rPr>
              <w:t>由2至3个踏板组合而成，总长度约5500 mm，实际长度根据教室实际宽度确定。每间教室的踏板须采用金属件连接固定，防止踏板移位后中间产生缝隙。</w:t>
            </w:r>
          </w:p>
          <w:p w14:paraId="02A232FB">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1、材质要求：主材采用厚度</w:t>
            </w:r>
            <w:bookmarkStart w:id="92" w:name="OLE_LINK118"/>
            <w:bookmarkStart w:id="93" w:name="OLE_LINK117"/>
            <w:r>
              <w:rPr>
                <w:rFonts w:hint="eastAsia" w:ascii="宋体" w:hAnsi="宋体" w:eastAsia="宋体" w:cs="宋体"/>
                <w:color w:val="auto"/>
                <w:sz w:val="24"/>
                <w:szCs w:val="24"/>
                <w:highlight w:val="none"/>
                <w:lang w:eastAsia="zh-CN"/>
              </w:rPr>
              <w:t>≥</w:t>
            </w:r>
            <w:bookmarkEnd w:id="92"/>
            <w:bookmarkEnd w:id="93"/>
            <w:r>
              <w:rPr>
                <w:rFonts w:hint="eastAsia" w:ascii="宋体" w:hAnsi="宋体" w:eastAsia="宋体" w:cs="宋体"/>
                <w:bCs/>
                <w:color w:val="auto"/>
                <w:sz w:val="24"/>
                <w:szCs w:val="24"/>
                <w:highlight w:val="none"/>
                <w:shd w:val="clear" w:color="auto" w:fill="FFFFFF"/>
                <w:lang w:eastAsia="zh-CN"/>
              </w:rPr>
              <w:t>18mm橡胶木指接板，踏板下面每400mm加立板一块，主材含水率8%-13%。</w:t>
            </w:r>
          </w:p>
          <w:p w14:paraId="0EC8A452">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2、油漆：家具配套环保油漆，底漆面漆符合GB18581-2020《木器涂料中有害物质限量》。油漆颜色统一，采用五底三面工艺。</w:t>
            </w:r>
          </w:p>
          <w:p w14:paraId="3BBB7ECF">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3、符合GB 18580-2017《室内装饰装修材料人造板及其制品中甲醛释放限量》、 GB/T 3324-2024 《木家具通用技术条件》</w:t>
            </w:r>
            <w:r>
              <w:rPr>
                <w:rFonts w:hint="eastAsia" w:ascii="宋体" w:hAnsi="宋体" w:cs="宋体"/>
                <w:color w:val="auto"/>
                <w:sz w:val="24"/>
                <w:szCs w:val="24"/>
                <w:highlight w:val="none"/>
                <w:lang w:eastAsia="zh-CN"/>
              </w:rPr>
              <w:t>、</w:t>
            </w:r>
            <w:r>
              <w:rPr>
                <w:rFonts w:hint="eastAsia" w:ascii="宋体" w:hAnsi="宋体" w:eastAsia="宋体" w:cs="宋体"/>
                <w:bCs w:val="0"/>
                <w:color w:val="auto"/>
                <w:sz w:val="24"/>
                <w:szCs w:val="24"/>
                <w:highlight w:val="none"/>
                <w:shd w:val="clear"/>
                <w:lang w:eastAsia="zh-CN"/>
              </w:rPr>
              <w:t>GB28008-2024《家具结构安全技术规范》</w:t>
            </w:r>
            <w:r>
              <w:rPr>
                <w:rFonts w:hint="eastAsia" w:ascii="宋体" w:hAnsi="宋体" w:eastAsia="宋体" w:cs="宋体"/>
                <w:bCs w:val="0"/>
                <w:color w:val="auto"/>
                <w:sz w:val="24"/>
                <w:szCs w:val="24"/>
                <w:highlight w:val="none"/>
                <w:shd w:val="clear"/>
                <w:lang w:val="en-US" w:eastAsia="zh-CN"/>
              </w:rPr>
              <w:t>、</w:t>
            </w:r>
            <w:r>
              <w:rPr>
                <w:rFonts w:hint="eastAsia" w:ascii="宋体" w:hAnsi="宋体" w:eastAsia="宋体" w:cs="宋体"/>
                <w:bCs w:val="0"/>
                <w:color w:val="auto"/>
                <w:sz w:val="24"/>
                <w:szCs w:val="24"/>
                <w:highlight w:val="none"/>
                <w:shd w:val="clear"/>
                <w:lang w:eastAsia="zh-CN"/>
              </w:rPr>
              <w:t>GB18584-2024《家具中有害物质限量》</w:t>
            </w:r>
            <w:r>
              <w:rPr>
                <w:rFonts w:hint="eastAsia" w:ascii="宋体" w:hAnsi="宋体" w:cs="宋体"/>
                <w:bCs w:val="0"/>
                <w:color w:val="auto"/>
                <w:sz w:val="24"/>
                <w:szCs w:val="24"/>
                <w:highlight w:val="none"/>
                <w:shd w:val="clear"/>
                <w:lang w:val="en-US" w:eastAsia="zh-CN"/>
              </w:rPr>
              <w:t>等</w:t>
            </w:r>
            <w:r>
              <w:rPr>
                <w:rFonts w:hint="eastAsia" w:ascii="宋体" w:hAnsi="宋体" w:cs="宋体"/>
                <w:bCs/>
                <w:color w:val="auto"/>
                <w:sz w:val="24"/>
                <w:szCs w:val="24"/>
                <w:highlight w:val="none"/>
                <w:shd w:val="clear" w:color="auto" w:fill="FFFFFF"/>
                <w:lang w:eastAsia="zh-CN"/>
              </w:rPr>
              <w:t>标准</w:t>
            </w:r>
            <w:r>
              <w:rPr>
                <w:rFonts w:hint="eastAsia" w:ascii="宋体" w:hAnsi="宋体" w:eastAsia="宋体" w:cs="宋体"/>
                <w:bCs/>
                <w:color w:val="auto"/>
                <w:sz w:val="24"/>
                <w:szCs w:val="24"/>
                <w:highlight w:val="none"/>
                <w:shd w:val="clear" w:color="auto" w:fill="FFFFFF"/>
                <w:lang w:eastAsia="zh-CN"/>
              </w:rPr>
              <w:t>。</w:t>
            </w:r>
          </w:p>
        </w:tc>
        <w:tc>
          <w:tcPr>
            <w:tcW w:w="3336" w:type="dxa"/>
            <w:vAlign w:val="center"/>
          </w:tcPr>
          <w:p w14:paraId="63FA0935">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drawing>
                <wp:inline distT="0" distB="0" distL="114300" distR="114300">
                  <wp:extent cx="1928495" cy="2571750"/>
                  <wp:effectExtent l="0" t="0" r="14605" b="0"/>
                  <wp:docPr id="115718266"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18266" name="图片 14"/>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935098" cy="2580131"/>
                          </a:xfrm>
                          <a:prstGeom prst="rect">
                            <a:avLst/>
                          </a:prstGeom>
                          <a:noFill/>
                          <a:ln>
                            <a:noFill/>
                          </a:ln>
                        </pic:spPr>
                      </pic:pic>
                    </a:graphicData>
                  </a:graphic>
                </wp:inline>
              </w:drawing>
            </w:r>
          </w:p>
        </w:tc>
        <w:tc>
          <w:tcPr>
            <w:tcW w:w="850" w:type="dxa"/>
            <w:vAlign w:val="center"/>
          </w:tcPr>
          <w:p w14:paraId="689AF038">
            <w:pPr>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Cs w:val="21"/>
                <w:highlight w:val="none"/>
              </w:rPr>
              <w:t>7组</w:t>
            </w:r>
          </w:p>
        </w:tc>
      </w:tr>
      <w:tr w14:paraId="603E8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4" w:hRule="atLeast"/>
          <w:jc w:val="center"/>
        </w:trPr>
        <w:tc>
          <w:tcPr>
            <w:tcW w:w="531" w:type="dxa"/>
            <w:vAlign w:val="center"/>
          </w:tcPr>
          <w:p w14:paraId="778382DC">
            <w:pPr>
              <w:spacing w:line="360" w:lineRule="auto"/>
              <w:jc w:val="center"/>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val="en-US" w:eastAsia="zh-CN"/>
              </w:rPr>
              <w:t>8</w:t>
            </w:r>
          </w:p>
        </w:tc>
        <w:tc>
          <w:tcPr>
            <w:tcW w:w="1277" w:type="dxa"/>
            <w:vAlign w:val="center"/>
          </w:tcPr>
          <w:p w14:paraId="19E6C630">
            <w:pPr>
              <w:spacing w:line="360" w:lineRule="auto"/>
              <w:jc w:val="center"/>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教师椅</w:t>
            </w:r>
          </w:p>
        </w:tc>
        <w:tc>
          <w:tcPr>
            <w:tcW w:w="4603" w:type="dxa"/>
            <w:vAlign w:val="center"/>
          </w:tcPr>
          <w:p w14:paraId="5853BC0C">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1、座椅可360度旋转，可升降。</w:t>
            </w:r>
          </w:p>
          <w:p w14:paraId="67E156EB">
            <w:pPr>
              <w:spacing w:line="360" w:lineRule="auto"/>
              <w:rPr>
                <w:rFonts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2、座包：环保皮软包，</w:t>
            </w:r>
            <w:r>
              <w:rPr>
                <w:rFonts w:hint="eastAsia" w:ascii="宋体" w:hAnsi="宋体" w:cs="宋体"/>
                <w:color w:val="auto"/>
                <w:sz w:val="24"/>
                <w:szCs w:val="24"/>
                <w:highlight w:val="none"/>
                <w:shd w:val="clear" w:color="auto" w:fill="FFFFFF"/>
                <w:lang w:val="en-US" w:eastAsia="zh-CN"/>
              </w:rPr>
              <w:t>基材厚度</w:t>
            </w:r>
            <w:r>
              <w:rPr>
                <w:rFonts w:hint="eastAsia" w:ascii="宋体" w:hAnsi="宋体" w:eastAsia="宋体" w:cs="宋体"/>
                <w:color w:val="auto"/>
                <w:sz w:val="24"/>
                <w:szCs w:val="24"/>
                <w:highlight w:val="none"/>
                <w:lang w:eastAsia="zh-CN"/>
              </w:rPr>
              <w:t>≥</w:t>
            </w:r>
            <w:r>
              <w:rPr>
                <w:rFonts w:hint="eastAsia" w:ascii="宋体" w:hAnsi="宋体" w:cs="宋体"/>
                <w:bCs/>
                <w:color w:val="auto"/>
                <w:sz w:val="24"/>
                <w:szCs w:val="24"/>
                <w:highlight w:val="none"/>
                <w:shd w:val="clear" w:color="auto" w:fill="FFFFFF"/>
                <w:lang w:val="en-US" w:eastAsia="zh-CN"/>
              </w:rPr>
              <w:t>1</w:t>
            </w:r>
            <w:r>
              <w:rPr>
                <w:rFonts w:hint="eastAsia" w:ascii="宋体" w:hAnsi="宋体" w:eastAsia="宋体" w:cs="宋体"/>
                <w:bCs/>
                <w:color w:val="auto"/>
                <w:sz w:val="24"/>
                <w:szCs w:val="24"/>
                <w:highlight w:val="none"/>
                <w:shd w:val="clear" w:color="auto" w:fill="FFFFFF"/>
                <w:lang w:eastAsia="zh-CN"/>
              </w:rPr>
              <w:t>.0mm</w:t>
            </w:r>
            <w:r>
              <w:rPr>
                <w:rFonts w:hint="eastAsia" w:ascii="宋体" w:hAnsi="宋体" w:cs="宋体"/>
                <w:color w:val="auto"/>
                <w:sz w:val="24"/>
                <w:szCs w:val="24"/>
                <w:highlight w:val="none"/>
                <w:shd w:val="clear" w:color="auto" w:fill="FFFFFF"/>
                <w:lang w:val="en-US" w:eastAsia="zh-CN"/>
              </w:rPr>
              <w:t>，</w:t>
            </w:r>
            <w:r>
              <w:rPr>
                <w:rFonts w:hint="eastAsia" w:ascii="宋体" w:hAnsi="宋体" w:eastAsia="宋体" w:cs="宋体"/>
                <w:color w:val="auto"/>
                <w:sz w:val="24"/>
                <w:szCs w:val="24"/>
                <w:highlight w:val="none"/>
                <w:shd w:val="clear" w:color="auto" w:fill="FFFFFF"/>
                <w:lang w:eastAsia="zh-CN"/>
              </w:rPr>
              <w:t>内填充4</w:t>
            </w:r>
            <w:r>
              <w:rPr>
                <w:rFonts w:hint="eastAsia" w:ascii="宋体" w:hAnsi="宋体" w:cs="宋体"/>
                <w:color w:val="auto"/>
                <w:sz w:val="24"/>
                <w:szCs w:val="24"/>
                <w:highlight w:val="none"/>
                <w:shd w:val="clear" w:color="auto" w:fill="FFFFFF"/>
                <w:lang w:val="en-US" w:eastAsia="zh-CN"/>
              </w:rPr>
              <w:t>5</w:t>
            </w:r>
            <w:r>
              <w:rPr>
                <w:rFonts w:hint="eastAsia" w:ascii="宋体" w:hAnsi="宋体" w:eastAsia="宋体" w:cs="宋体"/>
                <w:color w:val="auto"/>
                <w:sz w:val="24"/>
                <w:szCs w:val="24"/>
                <w:highlight w:val="none"/>
                <w:shd w:val="clear" w:color="auto" w:fill="FFFFFF"/>
                <w:lang w:eastAsia="zh-CN"/>
              </w:rPr>
              <w:t>#高密度回弹海绵，弹性好。</w:t>
            </w:r>
          </w:p>
          <w:p w14:paraId="27A15D68">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3、底盘: 安全防爆底盘，底盘直径≥410m，厚度</w:t>
            </w:r>
            <w:r>
              <w:rPr>
                <w:rFonts w:hint="eastAsia" w:ascii="宋体" w:hAnsi="宋体" w:eastAsia="宋体" w:cs="宋体"/>
                <w:color w:val="auto"/>
                <w:sz w:val="24"/>
                <w:szCs w:val="24"/>
                <w:highlight w:val="none"/>
                <w:lang w:eastAsia="zh-CN"/>
              </w:rPr>
              <w:t>≥</w:t>
            </w:r>
            <w:r>
              <w:rPr>
                <w:rFonts w:hint="eastAsia" w:ascii="宋体" w:hAnsi="宋体" w:eastAsia="宋体" w:cs="宋体"/>
                <w:bCs/>
                <w:color w:val="auto"/>
                <w:sz w:val="24"/>
                <w:szCs w:val="24"/>
                <w:highlight w:val="none"/>
                <w:shd w:val="clear" w:color="auto" w:fill="FFFFFF"/>
                <w:lang w:eastAsia="zh-CN"/>
              </w:rPr>
              <w:t>2.0mm钢板冲压而成。</w:t>
            </w:r>
          </w:p>
          <w:p w14:paraId="2564BC06">
            <w:pPr>
              <w:spacing w:line="360" w:lineRule="auto"/>
              <w:ind w:firstLine="11"/>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4、气压棒:SGS认证气杆，升降行程</w:t>
            </w:r>
            <w:r>
              <w:rPr>
                <w:rFonts w:hint="eastAsia" w:ascii="宋体" w:hAnsi="宋体" w:eastAsia="宋体" w:cs="宋体"/>
                <w:color w:val="auto"/>
                <w:sz w:val="24"/>
                <w:szCs w:val="24"/>
                <w:highlight w:val="none"/>
                <w:lang w:eastAsia="zh-CN"/>
              </w:rPr>
              <w:t>≥</w:t>
            </w:r>
            <w:r>
              <w:rPr>
                <w:rFonts w:hint="eastAsia" w:ascii="宋体" w:hAnsi="宋体" w:eastAsia="宋体" w:cs="宋体"/>
                <w:bCs/>
                <w:color w:val="auto"/>
                <w:sz w:val="24"/>
                <w:szCs w:val="24"/>
                <w:highlight w:val="none"/>
                <w:shd w:val="clear" w:color="auto" w:fill="FFFFFF"/>
                <w:lang w:eastAsia="zh-CN"/>
              </w:rPr>
              <w:t>100mm，</w:t>
            </w:r>
            <w:r>
              <w:rPr>
                <w:rFonts w:hint="eastAsia" w:ascii="宋体" w:hAnsi="宋体" w:eastAsia="宋体" w:cs="宋体"/>
                <w:color w:val="auto"/>
                <w:sz w:val="24"/>
                <w:szCs w:val="24"/>
                <w:highlight w:val="none"/>
                <w:lang w:eastAsia="zh-CN"/>
              </w:rPr>
              <w:t>厚度</w:t>
            </w:r>
            <w:bookmarkStart w:id="94" w:name="OLE_LINK9"/>
            <w:bookmarkStart w:id="95" w:name="OLE_LINK14"/>
            <w:r>
              <w:rPr>
                <w:rFonts w:hint="eastAsia" w:ascii="宋体" w:hAnsi="宋体" w:eastAsia="宋体" w:cs="宋体"/>
                <w:color w:val="auto"/>
                <w:sz w:val="24"/>
                <w:szCs w:val="24"/>
                <w:highlight w:val="none"/>
                <w:lang w:eastAsia="zh-CN"/>
              </w:rPr>
              <w:t>≥</w:t>
            </w:r>
            <w:r>
              <w:rPr>
                <w:rFonts w:hint="eastAsia" w:ascii="宋体" w:hAnsi="宋体" w:eastAsia="宋体" w:cs="宋体"/>
                <w:bCs/>
                <w:color w:val="auto"/>
                <w:sz w:val="24"/>
                <w:szCs w:val="24"/>
                <w:highlight w:val="none"/>
                <w:shd w:val="clear" w:color="auto" w:fill="FFFFFF"/>
                <w:lang w:eastAsia="zh-CN"/>
              </w:rPr>
              <w:t>2.0mm</w:t>
            </w:r>
            <w:bookmarkEnd w:id="94"/>
            <w:bookmarkEnd w:id="95"/>
            <w:r>
              <w:rPr>
                <w:rFonts w:hint="eastAsia" w:ascii="宋体" w:hAnsi="宋体" w:eastAsia="宋体" w:cs="宋体"/>
                <w:bCs/>
                <w:color w:val="auto"/>
                <w:sz w:val="24"/>
                <w:szCs w:val="24"/>
                <w:highlight w:val="none"/>
                <w:shd w:val="clear" w:color="auto" w:fill="FFFFFF"/>
                <w:lang w:eastAsia="zh-CN"/>
              </w:rPr>
              <w:t>壁管。</w:t>
            </w:r>
          </w:p>
          <w:p w14:paraId="30EDB6C0">
            <w:pPr>
              <w:spacing w:line="360" w:lineRule="auto"/>
              <w:ind w:firstLine="11"/>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shd w:val="clear" w:color="auto" w:fill="FFFFFF"/>
              </w:rPr>
              <w:t>5、有效承重</w:t>
            </w:r>
            <w:r>
              <w:rPr>
                <w:rFonts w:hint="eastAsia" w:ascii="宋体" w:hAnsi="宋体" w:eastAsia="宋体" w:cs="宋体"/>
                <w:color w:val="auto"/>
                <w:sz w:val="24"/>
                <w:szCs w:val="24"/>
                <w:highlight w:val="none"/>
              </w:rPr>
              <w:t>≥120公斤。</w:t>
            </w:r>
          </w:p>
          <w:p w14:paraId="16B0C359">
            <w:pPr>
              <w:spacing w:line="360" w:lineRule="auto"/>
              <w:ind w:firstLine="11"/>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6、</w:t>
            </w:r>
            <w:r>
              <w:rPr>
                <w:rFonts w:hint="eastAsia" w:ascii="宋体" w:hAnsi="宋体" w:eastAsia="宋体" w:cs="宋体"/>
                <w:bCs/>
                <w:color w:val="auto"/>
                <w:sz w:val="24"/>
                <w:szCs w:val="24"/>
                <w:highlight w:val="none"/>
                <w:shd w:val="clear" w:color="auto" w:fill="FFFFFF"/>
                <w:lang w:eastAsia="zh-CN"/>
              </w:rPr>
              <w:t>符合</w:t>
            </w:r>
            <w:r>
              <w:rPr>
                <w:rFonts w:hint="eastAsia" w:ascii="宋体" w:hAnsi="宋体" w:cs="宋体"/>
                <w:bCs/>
                <w:color w:val="auto"/>
                <w:sz w:val="24"/>
                <w:szCs w:val="24"/>
                <w:highlight w:val="none"/>
                <w:shd w:val="clear" w:color="auto" w:fill="FFFFFF"/>
                <w:lang w:val="en-US" w:eastAsia="zh-CN"/>
              </w:rPr>
              <w:t>Q</w:t>
            </w:r>
            <w:r>
              <w:rPr>
                <w:rFonts w:hint="eastAsia" w:ascii="宋体" w:hAnsi="宋体" w:eastAsia="宋体" w:cs="宋体"/>
                <w:bCs/>
                <w:color w:val="auto"/>
                <w:sz w:val="24"/>
                <w:szCs w:val="24"/>
                <w:highlight w:val="none"/>
                <w:shd w:val="clear" w:color="auto" w:fill="FFFFFF"/>
                <w:lang w:eastAsia="zh-CN"/>
              </w:rPr>
              <w:t>B/T</w:t>
            </w:r>
            <w:r>
              <w:rPr>
                <w:rFonts w:hint="eastAsia" w:ascii="宋体" w:hAnsi="宋体" w:cs="宋体"/>
                <w:bCs/>
                <w:color w:val="auto"/>
                <w:sz w:val="24"/>
                <w:szCs w:val="24"/>
                <w:highlight w:val="none"/>
                <w:shd w:val="clear" w:color="auto" w:fill="FFFFFF"/>
                <w:lang w:val="en-US" w:eastAsia="zh-CN"/>
              </w:rPr>
              <w:t xml:space="preserve"> 2280-2016</w:t>
            </w:r>
            <w:r>
              <w:rPr>
                <w:rFonts w:hint="eastAsia" w:ascii="宋体" w:hAnsi="宋体" w:eastAsia="宋体" w:cs="宋体"/>
                <w:bCs/>
                <w:color w:val="auto"/>
                <w:sz w:val="24"/>
                <w:szCs w:val="24"/>
                <w:highlight w:val="none"/>
                <w:shd w:val="clear" w:color="auto" w:fill="FFFFFF"/>
                <w:lang w:eastAsia="zh-CN"/>
              </w:rPr>
              <w:t>《</w:t>
            </w:r>
            <w:r>
              <w:rPr>
                <w:rFonts w:hint="eastAsia" w:ascii="宋体" w:hAnsi="宋体" w:cs="宋体"/>
                <w:bCs/>
                <w:color w:val="auto"/>
                <w:sz w:val="24"/>
                <w:szCs w:val="24"/>
                <w:highlight w:val="none"/>
                <w:shd w:val="clear" w:color="auto" w:fill="FFFFFF"/>
                <w:lang w:val="en-US" w:eastAsia="zh-CN"/>
              </w:rPr>
              <w:t>办公家具 办公椅</w:t>
            </w:r>
            <w:r>
              <w:rPr>
                <w:rFonts w:hint="eastAsia" w:ascii="宋体" w:hAnsi="宋体" w:eastAsia="宋体" w:cs="宋体"/>
                <w:bCs/>
                <w:color w:val="auto"/>
                <w:sz w:val="24"/>
                <w:szCs w:val="24"/>
                <w:highlight w:val="none"/>
                <w:shd w:val="clear" w:color="auto" w:fill="FFFFFF"/>
                <w:lang w:eastAsia="zh-CN"/>
              </w:rPr>
              <w:t>》标准。</w:t>
            </w:r>
          </w:p>
        </w:tc>
        <w:tc>
          <w:tcPr>
            <w:tcW w:w="3336" w:type="dxa"/>
            <w:vAlign w:val="center"/>
          </w:tcPr>
          <w:p w14:paraId="0DFB1E37">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drawing>
                <wp:inline distT="0" distB="0" distL="114300" distR="114300">
                  <wp:extent cx="1533525" cy="1605915"/>
                  <wp:effectExtent l="0" t="0" r="9525" b="13335"/>
                  <wp:docPr id="13" name="图片 12" descr="微信图片_20230308185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2" descr="微信图片_20230308185153"/>
                          <pic:cNvPicPr>
                            <a:picLocks noChangeAspect="1"/>
                          </pic:cNvPicPr>
                        </pic:nvPicPr>
                        <pic:blipFill>
                          <a:blip r:embed="rId12" cstate="print"/>
                          <a:stretch>
                            <a:fillRect/>
                          </a:stretch>
                        </pic:blipFill>
                        <pic:spPr>
                          <a:xfrm>
                            <a:off x="0" y="0"/>
                            <a:ext cx="1537019" cy="1609913"/>
                          </a:xfrm>
                          <a:prstGeom prst="rect">
                            <a:avLst/>
                          </a:prstGeom>
                          <a:noFill/>
                          <a:ln>
                            <a:noFill/>
                          </a:ln>
                        </pic:spPr>
                      </pic:pic>
                    </a:graphicData>
                  </a:graphic>
                </wp:inline>
              </w:drawing>
            </w:r>
          </w:p>
        </w:tc>
        <w:tc>
          <w:tcPr>
            <w:tcW w:w="850" w:type="dxa"/>
            <w:vAlign w:val="center"/>
          </w:tcPr>
          <w:p w14:paraId="7D062D0A">
            <w:pPr>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Cs w:val="21"/>
                <w:highlight w:val="none"/>
              </w:rPr>
              <w:t>12个</w:t>
            </w:r>
          </w:p>
        </w:tc>
      </w:tr>
      <w:tr w14:paraId="1755A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531" w:type="dxa"/>
            <w:vAlign w:val="center"/>
          </w:tcPr>
          <w:p w14:paraId="588D2BB8">
            <w:pPr>
              <w:spacing w:line="360" w:lineRule="auto"/>
              <w:jc w:val="center"/>
              <w:rPr>
                <w:rFonts w:ascii="宋体" w:hAnsi="宋体" w:eastAsia="宋体" w:cs="宋体"/>
                <w:color w:val="auto"/>
                <w:sz w:val="24"/>
                <w:szCs w:val="24"/>
                <w:highlight w:val="none"/>
              </w:rPr>
            </w:pPr>
          </w:p>
          <w:p w14:paraId="19448D64">
            <w:pPr>
              <w:spacing w:line="360" w:lineRule="auto"/>
              <w:jc w:val="center"/>
              <w:rPr>
                <w:rFonts w:ascii="宋体" w:hAnsi="宋体" w:eastAsia="宋体" w:cs="宋体"/>
                <w:color w:val="auto"/>
                <w:sz w:val="24"/>
                <w:szCs w:val="24"/>
                <w:highlight w:val="none"/>
              </w:rPr>
            </w:pPr>
          </w:p>
          <w:p w14:paraId="1E7EC3B9">
            <w:pPr>
              <w:spacing w:line="360" w:lineRule="auto"/>
              <w:jc w:val="center"/>
              <w:rPr>
                <w:rFonts w:ascii="宋体" w:hAnsi="宋体" w:eastAsia="宋体" w:cs="宋体"/>
                <w:color w:val="auto"/>
                <w:sz w:val="24"/>
                <w:szCs w:val="24"/>
                <w:highlight w:val="none"/>
              </w:rPr>
            </w:pPr>
          </w:p>
          <w:p w14:paraId="6DE9B35C">
            <w:pPr>
              <w:spacing w:line="360" w:lineRule="auto"/>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lang w:val="en-US" w:eastAsia="zh-CN"/>
              </w:rPr>
              <w:t>9</w:t>
            </w:r>
          </w:p>
        </w:tc>
        <w:tc>
          <w:tcPr>
            <w:tcW w:w="1277" w:type="dxa"/>
            <w:vAlign w:val="center"/>
          </w:tcPr>
          <w:p w14:paraId="11B9ED8B">
            <w:pPr>
              <w:spacing w:line="360" w:lineRule="auto"/>
              <w:rPr>
                <w:rFonts w:ascii="宋体" w:hAnsi="宋体" w:eastAsia="宋体" w:cs="宋体"/>
                <w:color w:val="auto"/>
                <w:sz w:val="24"/>
                <w:szCs w:val="24"/>
                <w:highlight w:val="none"/>
                <w:shd w:val="clear" w:color="auto" w:fill="FFFFFF"/>
              </w:rPr>
            </w:pPr>
          </w:p>
          <w:p w14:paraId="64060F29">
            <w:pPr>
              <w:spacing w:line="360" w:lineRule="auto"/>
              <w:rPr>
                <w:rFonts w:ascii="宋体" w:hAnsi="宋体" w:eastAsia="宋体" w:cs="宋体"/>
                <w:color w:val="auto"/>
                <w:sz w:val="24"/>
                <w:szCs w:val="24"/>
                <w:highlight w:val="none"/>
                <w:shd w:val="clear" w:color="auto" w:fill="FFFFFF"/>
              </w:rPr>
            </w:pPr>
          </w:p>
          <w:p w14:paraId="1176502A">
            <w:pPr>
              <w:spacing w:line="360" w:lineRule="auto"/>
              <w:rPr>
                <w:rFonts w:ascii="宋体" w:hAnsi="宋体" w:eastAsia="宋体" w:cs="宋体"/>
                <w:color w:val="auto"/>
                <w:sz w:val="24"/>
                <w:szCs w:val="24"/>
                <w:highlight w:val="none"/>
                <w:shd w:val="clear" w:color="auto" w:fill="FFFFFF"/>
              </w:rPr>
            </w:pPr>
          </w:p>
          <w:p w14:paraId="3EF43699">
            <w:pPr>
              <w:spacing w:line="360" w:lineRule="auto"/>
              <w:jc w:val="center"/>
              <w:rPr>
                <w:rFonts w:ascii="宋体" w:hAnsi="宋体" w:eastAsia="宋体" w:cs="宋体"/>
                <w:bCs/>
                <w:color w:val="auto"/>
                <w:sz w:val="24"/>
                <w:szCs w:val="24"/>
                <w:highlight w:val="none"/>
              </w:rPr>
            </w:pPr>
            <w:r>
              <w:rPr>
                <w:rFonts w:hint="eastAsia" w:ascii="宋体" w:hAnsi="宋体" w:eastAsia="宋体" w:cs="宋体"/>
                <w:color w:val="auto"/>
                <w:sz w:val="24"/>
                <w:szCs w:val="24"/>
                <w:highlight w:val="none"/>
                <w:shd w:val="clear" w:color="auto" w:fill="FFFFFF"/>
              </w:rPr>
              <w:t>窗帘</w:t>
            </w:r>
          </w:p>
        </w:tc>
        <w:tc>
          <w:tcPr>
            <w:tcW w:w="4603" w:type="dxa"/>
            <w:vAlign w:val="center"/>
          </w:tcPr>
          <w:p w14:paraId="372DCE89">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尺寸按教室窗户实际规格定制。</w:t>
            </w:r>
          </w:p>
          <w:p w14:paraId="0847E68D">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1、布料</w:t>
            </w:r>
          </w:p>
          <w:p w14:paraId="16E8C35D">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lang w:eastAsia="zh-CN"/>
              </w:rPr>
              <w:t>窗帘褶皱</w:t>
            </w:r>
            <w:r>
              <w:rPr>
                <w:rFonts w:hint="eastAsia" w:ascii="宋体" w:hAnsi="宋体" w:eastAsia="宋体" w:cs="宋体"/>
                <w:bCs/>
                <w:color w:val="auto"/>
                <w:sz w:val="24"/>
                <w:szCs w:val="24"/>
                <w:highlight w:val="none"/>
                <w:shd w:val="clear" w:color="auto" w:fill="FFFFFF"/>
                <w:lang w:eastAsia="zh-CN"/>
              </w:rPr>
              <w:t>≥</w:t>
            </w:r>
            <w:r>
              <w:rPr>
                <w:rFonts w:hint="eastAsia" w:ascii="宋体" w:hAnsi="宋体" w:eastAsia="宋体" w:cs="宋体"/>
                <w:bCs/>
                <w:color w:val="auto"/>
                <w:sz w:val="24"/>
                <w:szCs w:val="24"/>
                <w:highlight w:val="none"/>
                <w:lang w:eastAsia="zh-CN"/>
              </w:rPr>
              <w:t>1.8倍</w:t>
            </w:r>
            <w:r>
              <w:rPr>
                <w:rFonts w:hint="eastAsia" w:ascii="宋体" w:hAnsi="宋体" w:eastAsia="宋体" w:cs="宋体"/>
                <w:bCs/>
                <w:color w:val="auto"/>
                <w:sz w:val="24"/>
                <w:szCs w:val="24"/>
                <w:highlight w:val="none"/>
                <w:shd w:val="clear" w:color="auto" w:fill="FFFFFF"/>
                <w:lang w:eastAsia="zh-CN"/>
              </w:rPr>
              <w:t>。采用色织布面料，聚酯纤维含量100%。符合</w:t>
            </w:r>
            <w:r>
              <w:rPr>
                <w:rFonts w:hint="eastAsia" w:ascii="宋体" w:hAnsi="宋体" w:cs="宋体"/>
                <w:bCs/>
                <w:color w:val="auto"/>
                <w:sz w:val="24"/>
                <w:szCs w:val="24"/>
                <w:highlight w:val="none"/>
                <w:shd w:val="clear" w:color="auto" w:fill="FFFFFF"/>
                <w:lang w:val="en-US" w:eastAsia="zh-CN"/>
              </w:rPr>
              <w:t>GB 18401-2010</w:t>
            </w:r>
            <w:r>
              <w:rPr>
                <w:rFonts w:hint="eastAsia" w:ascii="宋体" w:hAnsi="宋体" w:eastAsia="宋体" w:cs="宋体"/>
                <w:bCs/>
                <w:color w:val="auto"/>
                <w:sz w:val="24"/>
                <w:szCs w:val="24"/>
                <w:highlight w:val="none"/>
                <w:shd w:val="clear" w:color="auto" w:fill="FFFFFF"/>
                <w:lang w:eastAsia="zh-CN"/>
              </w:rPr>
              <w:t>《国家纺织产品基本安全技术规范》，（1）甲醛含量≦50mg/kg；（2）单位面积质量</w:t>
            </w:r>
            <w:bookmarkStart w:id="96" w:name="OLE_LINK133"/>
            <w:bookmarkStart w:id="97" w:name="OLE_LINK129"/>
            <w:r>
              <w:rPr>
                <w:rFonts w:hint="eastAsia" w:ascii="宋体" w:hAnsi="宋体" w:eastAsia="宋体" w:cs="宋体"/>
                <w:bCs/>
                <w:color w:val="auto"/>
                <w:sz w:val="24"/>
                <w:szCs w:val="24"/>
                <w:highlight w:val="none"/>
                <w:shd w:val="clear" w:color="auto" w:fill="FFFFFF"/>
                <w:lang w:eastAsia="zh-CN"/>
              </w:rPr>
              <w:t>≥</w:t>
            </w:r>
            <w:bookmarkEnd w:id="96"/>
            <w:bookmarkEnd w:id="97"/>
            <w:r>
              <w:rPr>
                <w:rFonts w:hint="eastAsia" w:ascii="宋体" w:hAnsi="宋体" w:eastAsia="宋体" w:cs="宋体"/>
                <w:bCs/>
                <w:color w:val="auto"/>
                <w:sz w:val="24"/>
                <w:szCs w:val="24"/>
                <w:highlight w:val="none"/>
                <w:shd w:val="clear" w:color="auto" w:fill="FFFFFF"/>
                <w:lang w:eastAsia="zh-CN"/>
              </w:rPr>
              <w:t>450g/㎡；（3）遮光率≥90%。</w:t>
            </w:r>
          </w:p>
          <w:p w14:paraId="55BFD744">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2、根据教室窗户实际情况选用</w:t>
            </w:r>
            <w:r>
              <w:rPr>
                <w:rFonts w:hint="eastAsia" w:ascii="宋体" w:hAnsi="宋体" w:eastAsia="宋体" w:cs="宋体"/>
                <w:color w:val="auto"/>
                <w:sz w:val="24"/>
                <w:szCs w:val="24"/>
                <w:highlight w:val="none"/>
                <w:shd w:val="clear" w:color="auto" w:fill="FFFFFF"/>
                <w:lang w:eastAsia="zh-CN"/>
              </w:rPr>
              <w:t>铝合金轨道</w:t>
            </w:r>
            <w:r>
              <w:rPr>
                <w:rFonts w:hint="eastAsia" w:ascii="宋体" w:hAnsi="宋体" w:eastAsia="宋体" w:cs="宋体"/>
                <w:bCs/>
                <w:color w:val="auto"/>
                <w:sz w:val="24"/>
                <w:szCs w:val="24"/>
                <w:highlight w:val="none"/>
                <w:shd w:val="clear" w:color="auto" w:fill="FFFFFF"/>
                <w:lang w:eastAsia="zh-CN"/>
              </w:rPr>
              <w:t>或罗马杆，壁厚≥1.6mm，拉感顺畅、结实耐用。铝合金材质符合GB/T6892-2023《一般工业用铝及铝合金挤压型材》</w:t>
            </w:r>
            <w:r>
              <w:rPr>
                <w:rFonts w:hint="eastAsia" w:ascii="宋体" w:hAnsi="宋体" w:cs="宋体"/>
                <w:bCs/>
                <w:color w:val="auto"/>
                <w:sz w:val="24"/>
                <w:szCs w:val="24"/>
                <w:highlight w:val="none"/>
                <w:shd w:val="clear" w:color="auto" w:fill="FFFFFF"/>
                <w:lang w:val="en-US" w:eastAsia="zh-CN"/>
              </w:rPr>
              <w:t>标准</w:t>
            </w:r>
            <w:r>
              <w:rPr>
                <w:rFonts w:hint="eastAsia" w:ascii="宋体" w:hAnsi="宋体" w:cs="宋体"/>
                <w:bCs/>
                <w:color w:val="auto"/>
                <w:sz w:val="24"/>
                <w:szCs w:val="24"/>
                <w:highlight w:val="none"/>
                <w:shd w:val="clear" w:color="auto" w:fill="FFFFFF"/>
                <w:lang w:eastAsia="zh-CN"/>
              </w:rPr>
              <w:t>。</w:t>
            </w:r>
          </w:p>
          <w:p w14:paraId="2304F364">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3、布钩采用304不锈钢，直径≥2.0mm。</w:t>
            </w:r>
          </w:p>
        </w:tc>
        <w:tc>
          <w:tcPr>
            <w:tcW w:w="3336" w:type="dxa"/>
            <w:vAlign w:val="center"/>
          </w:tcPr>
          <w:p w14:paraId="3AA6D81E">
            <w:pPr>
              <w:spacing w:line="360" w:lineRule="auto"/>
              <w:jc w:val="center"/>
              <w:rPr>
                <w:rFonts w:ascii="宋体" w:hAnsi="宋体" w:eastAsia="宋体" w:cs="宋体"/>
                <w:color w:val="auto"/>
                <w:sz w:val="24"/>
                <w:szCs w:val="24"/>
                <w:highlight w:val="none"/>
                <w:lang w:eastAsia="zh-CN"/>
              </w:rPr>
            </w:pPr>
          </w:p>
          <w:p w14:paraId="76334B1F">
            <w:pPr>
              <w:spacing w:line="360" w:lineRule="auto"/>
              <w:jc w:val="center"/>
              <w:rPr>
                <w:rFonts w:ascii="宋体" w:hAnsi="宋体" w:eastAsia="宋体" w:cs="宋体"/>
                <w:color w:val="auto"/>
                <w:sz w:val="24"/>
                <w:szCs w:val="24"/>
                <w:highlight w:val="none"/>
                <w:lang w:eastAsia="zh-CN"/>
              </w:rPr>
            </w:pPr>
          </w:p>
          <w:p w14:paraId="1711B920">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drawing>
                <wp:inline distT="0" distB="0" distL="114300" distR="114300">
                  <wp:extent cx="1329690" cy="1216660"/>
                  <wp:effectExtent l="0" t="0" r="3810" b="2540"/>
                  <wp:docPr id="14" name="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 10"/>
                          <pic:cNvPicPr>
                            <a:picLocks noChangeAspect="1"/>
                          </pic:cNvPicPr>
                        </pic:nvPicPr>
                        <pic:blipFill>
                          <a:blip r:embed="rId13" cstate="print"/>
                          <a:stretch>
                            <a:fillRect/>
                          </a:stretch>
                        </pic:blipFill>
                        <pic:spPr>
                          <a:xfrm>
                            <a:off x="0" y="0"/>
                            <a:ext cx="1329690" cy="1216660"/>
                          </a:xfrm>
                          <a:prstGeom prst="rect">
                            <a:avLst/>
                          </a:prstGeom>
                          <a:noFill/>
                          <a:ln>
                            <a:noFill/>
                          </a:ln>
                        </pic:spPr>
                      </pic:pic>
                    </a:graphicData>
                  </a:graphic>
                </wp:inline>
              </w:drawing>
            </w:r>
          </w:p>
          <w:p w14:paraId="67757A63">
            <w:pPr>
              <w:spacing w:line="360" w:lineRule="auto"/>
              <w:jc w:val="center"/>
              <w:rPr>
                <w:rFonts w:ascii="宋体" w:hAnsi="宋体" w:eastAsia="宋体" w:cs="宋体"/>
                <w:color w:val="auto"/>
                <w:sz w:val="24"/>
                <w:szCs w:val="24"/>
                <w:highlight w:val="none"/>
              </w:rPr>
            </w:pPr>
          </w:p>
        </w:tc>
        <w:tc>
          <w:tcPr>
            <w:tcW w:w="850" w:type="dxa"/>
            <w:vAlign w:val="center"/>
          </w:tcPr>
          <w:p w14:paraId="3745842F">
            <w:pPr>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Cs w:val="21"/>
                <w:highlight w:val="none"/>
              </w:rPr>
              <w:t>200米</w:t>
            </w:r>
          </w:p>
        </w:tc>
      </w:tr>
      <w:tr w14:paraId="6D68A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3" w:hRule="atLeast"/>
          <w:jc w:val="center"/>
        </w:trPr>
        <w:tc>
          <w:tcPr>
            <w:tcW w:w="531" w:type="dxa"/>
            <w:vAlign w:val="center"/>
          </w:tcPr>
          <w:p w14:paraId="4B8F4259">
            <w:pPr>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p>
        </w:tc>
        <w:tc>
          <w:tcPr>
            <w:tcW w:w="1277" w:type="dxa"/>
            <w:vAlign w:val="center"/>
          </w:tcPr>
          <w:p w14:paraId="240033B6">
            <w:pPr>
              <w:spacing w:line="360" w:lineRule="auto"/>
              <w:jc w:val="center"/>
              <w:rPr>
                <w:rFonts w:hint="eastAsia" w:ascii="宋体" w:hAnsi="宋体" w:eastAsia="宋体" w:cs="宋体"/>
                <w:color w:val="auto"/>
                <w:sz w:val="24"/>
                <w:szCs w:val="24"/>
                <w:highlight w:val="none"/>
                <w:shd w:val="clear" w:color="auto" w:fill="FFFFFF"/>
              </w:rPr>
            </w:pPr>
            <w:r>
              <w:rPr>
                <w:rFonts w:hint="eastAsia" w:ascii="宋体" w:hAnsi="宋体" w:eastAsia="宋体" w:cs="宋体"/>
                <w:color w:val="auto"/>
                <w:sz w:val="24"/>
                <w:szCs w:val="24"/>
                <w:highlight w:val="none"/>
                <w:shd w:val="clear" w:color="auto" w:fill="FFFFFF"/>
              </w:rPr>
              <w:t>雨伞挂钩</w:t>
            </w:r>
          </w:p>
        </w:tc>
        <w:tc>
          <w:tcPr>
            <w:tcW w:w="4603" w:type="dxa"/>
            <w:vAlign w:val="center"/>
          </w:tcPr>
          <w:p w14:paraId="6100ED2C">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1、每根8个挂钩，铝合金材质，</w:t>
            </w:r>
            <w:r>
              <w:rPr>
                <w:rFonts w:hint="eastAsia" w:ascii="宋体" w:hAnsi="宋体" w:cs="宋体"/>
                <w:bCs/>
                <w:color w:val="auto"/>
                <w:sz w:val="24"/>
                <w:szCs w:val="24"/>
                <w:highlight w:val="none"/>
                <w:shd w:val="clear" w:color="auto" w:fill="FFFFFF"/>
                <w:lang w:val="en-US" w:eastAsia="zh-CN"/>
              </w:rPr>
              <w:t>铝合金挂钩最薄处的</w:t>
            </w:r>
            <w:r>
              <w:rPr>
                <w:rFonts w:hint="eastAsia" w:ascii="宋体" w:hAnsi="宋体" w:eastAsia="宋体" w:cs="宋体"/>
                <w:bCs/>
                <w:color w:val="auto"/>
                <w:sz w:val="24"/>
                <w:szCs w:val="24"/>
                <w:highlight w:val="none"/>
                <w:shd w:val="clear" w:color="auto" w:fill="FFFFFF"/>
                <w:lang w:val="en-US" w:eastAsia="zh-CN"/>
              </w:rPr>
              <w:t>厚度</w:t>
            </w:r>
            <w:r>
              <w:rPr>
                <w:rFonts w:hint="eastAsia" w:ascii="宋体" w:hAnsi="宋体" w:eastAsia="宋体" w:cs="宋体"/>
                <w:bCs/>
                <w:color w:val="auto"/>
                <w:sz w:val="24"/>
                <w:szCs w:val="24"/>
                <w:highlight w:val="none"/>
                <w:shd w:val="clear" w:color="auto" w:fill="FFFFFF"/>
                <w:lang w:eastAsia="zh-CN"/>
              </w:rPr>
              <w:t>≥2.0mm</w:t>
            </w:r>
            <w:r>
              <w:rPr>
                <w:rFonts w:hint="eastAsia" w:ascii="宋体" w:hAnsi="宋体" w:cs="宋体"/>
                <w:bCs/>
                <w:color w:val="auto"/>
                <w:sz w:val="24"/>
                <w:szCs w:val="24"/>
                <w:highlight w:val="none"/>
                <w:shd w:val="clear" w:color="auto" w:fill="FFFFFF"/>
                <w:lang w:eastAsia="zh-CN"/>
              </w:rPr>
              <w:t>，</w:t>
            </w:r>
            <w:r>
              <w:rPr>
                <w:rFonts w:hint="eastAsia" w:ascii="宋体" w:hAnsi="宋体" w:eastAsia="宋体" w:cs="宋体"/>
                <w:bCs/>
                <w:color w:val="auto"/>
                <w:sz w:val="24"/>
                <w:szCs w:val="24"/>
                <w:highlight w:val="none"/>
                <w:shd w:val="clear" w:color="auto" w:fill="FFFFFF"/>
                <w:lang w:eastAsia="zh-CN"/>
              </w:rPr>
              <w:t>可折叠收纳。</w:t>
            </w:r>
          </w:p>
          <w:p w14:paraId="64D40119">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2、打孔安装，承载力强。</w:t>
            </w:r>
          </w:p>
          <w:p w14:paraId="05B9437B">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3、L型钩体，有效防止雨伞掉落。</w:t>
            </w:r>
          </w:p>
        </w:tc>
        <w:tc>
          <w:tcPr>
            <w:tcW w:w="3336" w:type="dxa"/>
            <w:vAlign w:val="center"/>
          </w:tcPr>
          <w:p w14:paraId="48CC0556">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drawing>
                <wp:inline distT="0" distB="0" distL="114300" distR="114300">
                  <wp:extent cx="1811655" cy="790575"/>
                  <wp:effectExtent l="0" t="0" r="17145" b="9525"/>
                  <wp:docPr id="15" name="图片 20" descr="微信图片_20230321172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0" descr="微信图片_20230321172312"/>
                          <pic:cNvPicPr>
                            <a:picLocks noChangeAspect="1"/>
                          </pic:cNvPicPr>
                        </pic:nvPicPr>
                        <pic:blipFill>
                          <a:blip r:embed="rId14" cstate="print"/>
                          <a:stretch>
                            <a:fillRect/>
                          </a:stretch>
                        </pic:blipFill>
                        <pic:spPr>
                          <a:xfrm>
                            <a:off x="0" y="0"/>
                            <a:ext cx="1822596" cy="795263"/>
                          </a:xfrm>
                          <a:prstGeom prst="rect">
                            <a:avLst/>
                          </a:prstGeom>
                        </pic:spPr>
                      </pic:pic>
                    </a:graphicData>
                  </a:graphic>
                </wp:inline>
              </w:drawing>
            </w:r>
          </w:p>
        </w:tc>
        <w:tc>
          <w:tcPr>
            <w:tcW w:w="850" w:type="dxa"/>
            <w:vAlign w:val="center"/>
          </w:tcPr>
          <w:p w14:paraId="506FC034">
            <w:pPr>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Cs w:val="21"/>
                <w:highlight w:val="none"/>
              </w:rPr>
              <w:t>200根</w:t>
            </w:r>
          </w:p>
        </w:tc>
      </w:tr>
      <w:tr w14:paraId="6D7C4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3" w:hRule="atLeast"/>
          <w:jc w:val="center"/>
        </w:trPr>
        <w:tc>
          <w:tcPr>
            <w:tcW w:w="531" w:type="dxa"/>
            <w:vAlign w:val="center"/>
          </w:tcPr>
          <w:p w14:paraId="03B1DD37">
            <w:pPr>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w:t>
            </w:r>
          </w:p>
        </w:tc>
        <w:tc>
          <w:tcPr>
            <w:tcW w:w="1277" w:type="dxa"/>
            <w:vAlign w:val="center"/>
          </w:tcPr>
          <w:p w14:paraId="7D02C2B1">
            <w:pPr>
              <w:spacing w:line="360" w:lineRule="auto"/>
              <w:jc w:val="center"/>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手机收纳</w:t>
            </w:r>
          </w:p>
          <w:p w14:paraId="4878EE5B">
            <w:pPr>
              <w:spacing w:line="360" w:lineRule="auto"/>
              <w:jc w:val="center"/>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挂袋</w:t>
            </w:r>
          </w:p>
        </w:tc>
        <w:tc>
          <w:tcPr>
            <w:tcW w:w="4603" w:type="dxa"/>
            <w:vAlign w:val="top"/>
          </w:tcPr>
          <w:p w14:paraId="595AF98C">
            <w:pPr>
              <w:spacing w:line="360" w:lineRule="auto"/>
              <w:rPr>
                <w:rFonts w:hint="eastAsia"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1、≥40格大容量口袋，可收纳主流PLUS机型。</w:t>
            </w:r>
          </w:p>
          <w:p w14:paraId="768587B4">
            <w:pPr>
              <w:spacing w:line="360" w:lineRule="auto"/>
              <w:rPr>
                <w:rFonts w:hint="eastAsia"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2、电镀挂孔包边钢圈，坚固耐用。</w:t>
            </w:r>
          </w:p>
          <w:p w14:paraId="6A181AA7">
            <w:pPr>
              <w:spacing w:line="360" w:lineRule="auto"/>
              <w:rPr>
                <w:rFonts w:hint="eastAsia"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3、加厚牛津布材质，包边设计，双针走线。</w:t>
            </w:r>
          </w:p>
          <w:p w14:paraId="3BBEB0DF">
            <w:pPr>
              <w:spacing w:line="360" w:lineRule="auto"/>
              <w:rPr>
                <w:rFonts w:hint="eastAsia"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4、打孔安装，采用加厚PE板承重，承重≥15Kg。</w:t>
            </w:r>
          </w:p>
        </w:tc>
        <w:tc>
          <w:tcPr>
            <w:tcW w:w="3336" w:type="dxa"/>
            <w:vAlign w:val="center"/>
          </w:tcPr>
          <w:p w14:paraId="7BB6DFAB">
            <w:pPr>
              <w:widowControl/>
              <w:jc w:val="center"/>
              <w:textAlignment w:val="center"/>
              <w:rPr>
                <w:rFonts w:hint="eastAsia" w:ascii="宋体" w:hAnsi="宋体" w:eastAsia="宋体" w:cs="宋体"/>
                <w:color w:val="auto"/>
                <w:sz w:val="24"/>
                <w:szCs w:val="24"/>
                <w:highlight w:val="none"/>
                <w:lang w:eastAsia="zh-CN"/>
              </w:rPr>
            </w:pPr>
            <w:r>
              <w:rPr>
                <w:rFonts w:ascii="宋体" w:hAnsi="宋体" w:cs="宋体"/>
                <w:color w:val="auto"/>
                <w:kern w:val="0"/>
                <w:szCs w:val="21"/>
                <w:highlight w:val="none"/>
                <w:lang w:bidi="ar"/>
              </w:rPr>
              <w:drawing>
                <wp:inline distT="0" distB="0" distL="0" distR="0">
                  <wp:extent cx="1686560" cy="948690"/>
                  <wp:effectExtent l="0" t="0" r="8890" b="3810"/>
                  <wp:docPr id="1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1686560" cy="948690"/>
                          </a:xfrm>
                          <a:prstGeom prst="rect">
                            <a:avLst/>
                          </a:prstGeom>
                          <a:noFill/>
                          <a:ln>
                            <a:noFill/>
                          </a:ln>
                        </pic:spPr>
                      </pic:pic>
                    </a:graphicData>
                  </a:graphic>
                </wp:inline>
              </w:drawing>
            </w:r>
          </w:p>
        </w:tc>
        <w:tc>
          <w:tcPr>
            <w:tcW w:w="850" w:type="dxa"/>
            <w:vAlign w:val="center"/>
          </w:tcPr>
          <w:p w14:paraId="3F6D61ED">
            <w:pPr>
              <w:jc w:val="center"/>
              <w:rPr>
                <w:rFonts w:hint="eastAsia" w:ascii="宋体" w:hAnsi="宋体" w:eastAsia="宋体" w:cs="宋体"/>
                <w:color w:val="auto"/>
                <w:sz w:val="24"/>
                <w:szCs w:val="24"/>
                <w:highlight w:val="none"/>
              </w:rPr>
            </w:pPr>
            <w:r>
              <w:rPr>
                <w:rFonts w:hint="eastAsia" w:asciiTheme="minorEastAsia" w:hAnsiTheme="minorEastAsia" w:eastAsiaTheme="minorEastAsia" w:cstheme="minorEastAsia"/>
                <w:color w:val="auto"/>
                <w:szCs w:val="21"/>
                <w:highlight w:val="none"/>
              </w:rPr>
              <w:t>40个</w:t>
            </w:r>
          </w:p>
        </w:tc>
      </w:tr>
      <w:bookmarkEnd w:id="39"/>
    </w:tbl>
    <w:p w14:paraId="6271EB2D">
      <w:pPr>
        <w:widowControl w:val="0"/>
        <w:kinsoku/>
        <w:spacing w:line="242" w:lineRule="auto"/>
        <w:rPr>
          <w:color w:val="auto"/>
          <w:highlight w:val="none"/>
          <w:lang w:eastAsia="zh-CN"/>
        </w:rPr>
      </w:pPr>
    </w:p>
    <w:p w14:paraId="2FC5F9A8">
      <w:pPr>
        <w:spacing w:line="360" w:lineRule="auto"/>
        <w:rPr>
          <w:color w:val="auto"/>
          <w:highlight w:val="none"/>
          <w:lang w:eastAsia="zh-CN"/>
        </w:rPr>
      </w:pPr>
      <w:r>
        <w:rPr>
          <w:rFonts w:hint="eastAsia" w:ascii="宋体" w:hAnsi="宋体"/>
          <w:b/>
          <w:color w:val="auto"/>
          <w:sz w:val="24"/>
          <w:highlight w:val="none"/>
          <w:lang w:eastAsia="zh-CN"/>
        </w:rPr>
        <w:t>以上“参数规格”为实质性要求，必须完全满足或优于，否则响应无效。</w:t>
      </w:r>
    </w:p>
    <w:p w14:paraId="40DAE139">
      <w:pPr>
        <w:widowControl w:val="0"/>
        <w:kinsoku/>
        <w:spacing w:line="245" w:lineRule="auto"/>
        <w:rPr>
          <w:color w:val="auto"/>
          <w:highlight w:val="none"/>
          <w:lang w:eastAsia="zh-CN"/>
        </w:rPr>
      </w:pPr>
    </w:p>
    <w:p w14:paraId="22D06C24">
      <w:pPr>
        <w:widowControl w:val="0"/>
        <w:kinsoku/>
        <w:spacing w:line="245" w:lineRule="auto"/>
        <w:rPr>
          <w:color w:val="auto"/>
          <w:highlight w:val="none"/>
          <w:lang w:eastAsia="zh-CN"/>
        </w:rPr>
      </w:pPr>
    </w:p>
    <w:p w14:paraId="3F6F53B0">
      <w:pPr>
        <w:widowControl w:val="0"/>
        <w:kinsoku/>
        <w:spacing w:before="78" w:line="219" w:lineRule="auto"/>
        <w:rPr>
          <w:rFonts w:hint="eastAsia"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42A77CBA">
      <w:pPr>
        <w:widowControl w:val="0"/>
        <w:kinsoku/>
        <w:spacing w:line="249" w:lineRule="auto"/>
        <w:rPr>
          <w:color w:val="auto"/>
          <w:highlight w:val="none"/>
          <w:lang w:eastAsia="zh-CN"/>
        </w:rPr>
      </w:pPr>
    </w:p>
    <w:p w14:paraId="11BD6A96">
      <w:pPr>
        <w:numPr>
          <w:ilvl w:val="0"/>
          <w:numId w:val="1"/>
        </w:num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交货期：成交供应商应保证在2026年8月15日前完成全部货物的供货、安装、调试试运行和培训工作,符合国家标准、行业规范和合同等相关文件的要求。</w:t>
      </w:r>
    </w:p>
    <w:p w14:paraId="23CE17A6">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2、交货地点：南昌航空大学上海路校区（江西省南昌市青山湖区上海路173号），供应商按本合同项目要求全部向采购人交清并将所有产品安全运送到采购人指定地点，不另收任何费用。</w:t>
      </w:r>
    </w:p>
    <w:p w14:paraId="2ED15D2A">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3、履约保证金：（1）履约保证金为合同总金额的5%，成交供应商接到领取成交通知书的通知后，在合同签订期(15个日历日)之内及时以银行转账、现金支付形式(南昌航空大学，工行南昌市青山湖支行，账号:1502209009026408036)，或保险、支票、汇票或者金融机构、担保机构出具的保函(含电子保函)等非现金形式向采购人提交履为保证金;逾期未交视为放弃中标。</w:t>
      </w:r>
    </w:p>
    <w:p w14:paraId="494D0A1A">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（2）</w:t>
      </w:r>
      <w:r>
        <w:rPr>
          <w:rFonts w:hint="eastAsia" w:ascii="宋体" w:hAnsi="宋体" w:eastAsia="宋体" w:cs="宋体"/>
          <w:color w:val="auto"/>
          <w:sz w:val="24"/>
          <w:szCs w:val="24"/>
          <w:highlight w:val="none"/>
          <w:lang w:eastAsia="zh-CN"/>
        </w:rPr>
        <w:t>上述履约保证金自签订本合同之日起到本合同项目最终验收合格之日止为履约保证金，自本合同项目完成并最终验收合格之后，采购人在30日内退还中标人，不计息(采购人如逾期退还履约保证金，除应当退还保证金本金外，还应当按中国人民银行同期存款基准利率支付超期资金占用费，但因中标人原因造成除外)</w:t>
      </w:r>
      <w:r>
        <w:rPr>
          <w:rFonts w:hint="eastAsia" w:ascii="宋体" w:hAnsi="宋体" w:cs="宋体"/>
          <w:color w:val="auto"/>
          <w:sz w:val="24"/>
          <w:szCs w:val="24"/>
          <w:highlight w:val="none"/>
          <w:lang w:eastAsia="zh-CN"/>
        </w:rPr>
        <w:t>。</w:t>
      </w:r>
    </w:p>
    <w:p w14:paraId="6E7D5678">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履约保证金不子退还情形:签订合同后，如中标人不按双方签订的合同规定履约，则没收其全部履约保证金，履约保证金不足以赔偿损失的，按实际损失赔偿</w:t>
      </w:r>
      <w:r>
        <w:rPr>
          <w:rFonts w:hint="eastAsia" w:ascii="宋体" w:hAnsi="宋体" w:cs="宋体"/>
          <w:color w:val="auto"/>
          <w:sz w:val="24"/>
          <w:szCs w:val="24"/>
          <w:highlight w:val="none"/>
          <w:lang w:eastAsia="zh-CN"/>
        </w:rPr>
        <w:t>。</w:t>
      </w:r>
    </w:p>
    <w:p w14:paraId="1D6CDA4A">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4、付款方式：成交供应商将所有货物按时交货安装调试并初次验收合格后，成交供应商提供合法的增值税专用发票及发票抵扣联原件（服务与工程项目提供合法的增值税发票）、本合同原件和本项目政府采购验收单，采购人一次性向成交供应商付清合同款项的100%。（自收到成交供应商提供完整的付款材料之日起，采购人在10个工作日之内完成项目的付款）。</w:t>
      </w:r>
    </w:p>
    <w:p w14:paraId="559EA766">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5、质量保证和售后服务要求。</w:t>
      </w:r>
    </w:p>
    <w:p w14:paraId="113149CA">
      <w:pPr>
        <w:spacing w:line="360" w:lineRule="auto"/>
        <w:rPr>
          <w:rFonts w:ascii="宋体" w:hAnsi="宋体" w:cs="宋体"/>
          <w:color w:val="auto"/>
          <w:highlight w:val="none"/>
          <w:lang w:eastAsia="zh-CN"/>
        </w:rPr>
      </w:pPr>
      <w:r>
        <w:rPr>
          <w:rFonts w:hint="eastAsia" w:ascii="宋体" w:hAnsi="宋体" w:cs="宋体"/>
          <w:color w:val="auto"/>
          <w:sz w:val="24"/>
          <w:szCs w:val="24"/>
          <w:highlight w:val="none"/>
          <w:lang w:eastAsia="zh-CN"/>
        </w:rPr>
        <w:t>（1）质量保证期：自本项目最终验收合格之日起不少于</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lang w:eastAsia="zh-CN"/>
        </w:rPr>
        <w:t>年的免费质量保证期</w:t>
      </w:r>
      <w:r>
        <w:rPr>
          <w:rFonts w:hint="eastAsia" w:ascii="宋体" w:hAnsi="宋体" w:cs="宋体"/>
          <w:b/>
          <w:bCs/>
          <w:color w:val="auto"/>
          <w:sz w:val="24"/>
          <w:szCs w:val="22"/>
          <w:highlight w:val="none"/>
          <w:lang w:eastAsia="zh-CN"/>
        </w:rPr>
        <w:t>。</w:t>
      </w:r>
    </w:p>
    <w:p w14:paraId="6151C723">
      <w:pPr>
        <w:spacing w:line="360" w:lineRule="auto"/>
        <w:rPr>
          <w:rFonts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（2）免费质量保证期内，供应商提供“三包”服务，建立 7 ×24 小时响应机制，在采购人提出维修要求后，供应商的售后服务人员须在 24 小时之内到达故障现场，并对相关事项进行及时处理，由此产生的一切费用由供应商自行承担。</w:t>
      </w:r>
    </w:p>
    <w:p w14:paraId="2DCB56E2">
      <w:pPr>
        <w:spacing w:line="360" w:lineRule="auto"/>
        <w:rPr>
          <w:rFonts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（3）免费质量保证期期满后，如采购人需要，可与供应商协商继续负责本项目的维修与维护工作，由此发生的相关材料和人工费用由采购人承担</w:t>
      </w:r>
      <w:r>
        <w:rPr>
          <w:rFonts w:hint="eastAsia" w:ascii="宋体" w:hAnsi="宋体" w:cs="宋体"/>
          <w:color w:val="auto"/>
          <w:sz w:val="24"/>
          <w:szCs w:val="24"/>
          <w:highlight w:val="none"/>
          <w:lang w:eastAsia="zh-CN"/>
        </w:rPr>
        <w:t>。</w:t>
      </w:r>
    </w:p>
    <w:p w14:paraId="2755578B">
      <w:pPr>
        <w:spacing w:line="360" w:lineRule="auto"/>
        <w:rPr>
          <w:rFonts w:hint="default" w:ascii="宋体" w:hAnsi="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（4）供应商的其它售后服务承诺属于本合同的一部分，如果有不同约定的，以服务水平和层级更高的为准</w:t>
      </w:r>
      <w:r>
        <w:rPr>
          <w:rFonts w:hint="eastAsia" w:ascii="宋体" w:hAnsi="宋体" w:cs="宋体"/>
          <w:color w:val="auto"/>
          <w:sz w:val="24"/>
          <w:szCs w:val="24"/>
          <w:highlight w:val="none"/>
          <w:lang w:eastAsia="zh-CN"/>
        </w:rPr>
        <w:t>。</w:t>
      </w:r>
    </w:p>
    <w:p w14:paraId="2EEDDC54">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6、安装调试及货物验收</w:t>
      </w:r>
    </w:p>
    <w:p w14:paraId="7A5FDD4C">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（1）成交供应商应按合同约定按时交货并通知采购人对货物开箱时进行开箱验收。</w:t>
      </w:r>
    </w:p>
    <w:p w14:paraId="0837FB4C">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成交供应商应根据合同、招（投）标文件等相关资料的要求完成项目产品的安装、调试，同时成交供应商需对采购人用户单位人员进行技术和操作的免费培训（培训地点为采购人所在地）。仪器设备安装调试后，正常运行试用时间不少于30日方可进行初次验收。试运行结束后，成交供应商提交完整的初次验收材料，由采购人组织人员按合同、招（投）标文件等相关资料的约定对此项目进行初次验收，验收地点由采购人指定。（自收到成交供应商提交完整的初次验收材料之日起，采购人在20日之内完成项目的初次验收）</w:t>
      </w:r>
    </w:p>
    <w:p w14:paraId="108C5DA9">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成交供应商应根据合同、招（投）标文件等相关资料的要求在项目质量保修期内对其所供产品及服务提供优质的售后保障。项目质量保修期结束后，成交供应商通知采购人对此项目进行最终验收。售后服务无瑕疵的情况下，并提交完整的验收材料后，采购人在10日之内对此项目进行最终验收。</w:t>
      </w:r>
    </w:p>
    <w:p w14:paraId="5E2B8876">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7、验收依据：《产品检验通用技术要求》和相关的中国国家标准；</w:t>
      </w:r>
    </w:p>
    <w:p w14:paraId="7316C62C">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8、采购人有权邀请第三方人员或检测机构，对货物进行验收或检测。检测费用、验收小组评审费及其他相关费用由成交供应商独立承担。如货物未能通过检测验收，成交供应商应按照采购人的要求更换相应货物直至达标，并承担由此产生的一切费用和损失。</w:t>
      </w:r>
    </w:p>
    <w:p w14:paraId="20B7EC8F">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9、知识产权</w:t>
      </w:r>
    </w:p>
    <w:p w14:paraId="66E9D320">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成交供应商须保障采购人在使用该产品及所属服务或其任何一部分时不受到第三方关于侵犯专利权、商标权或工业设计权等知识产权的指控。如果任何第三方提出侵权指控与采购人无关，投标人须与第三方交涉并承担可能发生的责任与一切费用。如采购人因此而遭致损失的，成交供应商应赔偿该损失。</w:t>
      </w:r>
    </w:p>
    <w:p w14:paraId="20C06C1F">
      <w:pPr>
        <w:pStyle w:val="4"/>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10、履约风险及措施</w:t>
      </w:r>
    </w:p>
    <w:p w14:paraId="6EC96584">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（1）供应商</w:t>
      </w:r>
      <w:r>
        <w:rPr>
          <w:rFonts w:ascii="宋体" w:hAnsi="宋体" w:eastAsia="宋体" w:cs="宋体"/>
          <w:color w:val="auto"/>
          <w:sz w:val="24"/>
          <w:szCs w:val="24"/>
          <w:highlight w:val="none"/>
          <w:lang w:eastAsia="zh-CN"/>
        </w:rPr>
        <w:t>未能按照本合同约定交货的，则每逾期一天，按照合同总价的</w:t>
      </w:r>
      <w:r>
        <w:rPr>
          <w:rFonts w:hint="eastAsia" w:ascii="宋体" w:hAnsi="宋体" w:eastAsia="宋体" w:cs="宋体"/>
          <w:color w:val="auto"/>
          <w:sz w:val="24"/>
          <w:szCs w:val="24"/>
          <w:highlight w:val="none"/>
          <w:lang w:val="en-US" w:eastAsia="zh-CN"/>
        </w:rPr>
        <w:t>5</w:t>
      </w:r>
      <w:r>
        <w:rPr>
          <w:rFonts w:ascii="宋体" w:hAnsi="宋体" w:eastAsia="宋体" w:cs="宋体"/>
          <w:color w:val="auto"/>
          <w:sz w:val="24"/>
          <w:szCs w:val="24"/>
          <w:highlight w:val="none"/>
          <w:lang w:eastAsia="zh-CN"/>
        </w:rPr>
        <w:t>‰向</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支付违约金，最高延期赔偿金不超过本合同总价款的20%。</w:t>
      </w:r>
    </w:p>
    <w:p w14:paraId="73AC8401">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（2）供应商</w:t>
      </w:r>
      <w:r>
        <w:rPr>
          <w:rFonts w:ascii="宋体" w:hAnsi="宋体" w:eastAsia="宋体" w:cs="宋体"/>
          <w:color w:val="auto"/>
          <w:sz w:val="24"/>
          <w:szCs w:val="24"/>
          <w:highlight w:val="none"/>
          <w:lang w:eastAsia="zh-CN"/>
        </w:rPr>
        <w:t>提供的服务或产品未达到本合同约定的技术、质量及其他任何要求，且经验收不合格的或</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明确告知</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无法交付合同约定产品或提供合同约定的服务的，</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应当承担违约责任，并应按本合同总金额的30%向</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支付违约金。</w:t>
      </w:r>
    </w:p>
    <w:p w14:paraId="4B4AF369">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（3）供应商</w:t>
      </w:r>
      <w:r>
        <w:rPr>
          <w:rFonts w:ascii="宋体" w:hAnsi="宋体" w:eastAsia="宋体" w:cs="宋体"/>
          <w:color w:val="auto"/>
          <w:sz w:val="24"/>
          <w:szCs w:val="24"/>
          <w:highlight w:val="none"/>
          <w:lang w:eastAsia="zh-CN"/>
        </w:rPr>
        <w:t>未能按照本合同约定按期交货的，则逾期超过 1 个月，或虽未逾期但经两次申请仍然未能通过验收合格的，</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可单方通知</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解除合同，解除合同通知送达</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当日合同立即终止。</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解除合同通知发送至</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指定电子邮箱系统即视为已送达。</w:t>
      </w:r>
    </w:p>
    <w:p w14:paraId="7B9D9161">
      <w:pPr>
        <w:spacing w:line="360" w:lineRule="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供应商提供的所有证明材料必须真实，有效。成交供应商与</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合同签订</w:t>
      </w:r>
      <w:r>
        <w:rPr>
          <w:rFonts w:hint="eastAsia" w:ascii="宋体" w:hAnsi="宋体" w:eastAsia="宋体" w:cs="宋体"/>
          <w:color w:val="auto"/>
          <w:sz w:val="24"/>
          <w:szCs w:val="24"/>
          <w:highlight w:val="none"/>
          <w:lang w:eastAsia="zh-CN"/>
        </w:rPr>
        <w:t>后</w:t>
      </w:r>
      <w:r>
        <w:rPr>
          <w:rFonts w:ascii="宋体" w:hAnsi="宋体" w:eastAsia="宋体" w:cs="宋体"/>
          <w:color w:val="auto"/>
          <w:sz w:val="24"/>
          <w:szCs w:val="24"/>
          <w:highlight w:val="none"/>
          <w:lang w:eastAsia="zh-CN"/>
        </w:rPr>
        <w:t>，成交供应商需按</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要求提供投标证明材料原件核查。</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有权核实</w:t>
      </w:r>
      <w:r>
        <w:rPr>
          <w:rFonts w:hint="eastAsia" w:ascii="宋体" w:hAnsi="宋体" w:eastAsia="宋体" w:cs="宋体"/>
          <w:color w:val="auto"/>
          <w:sz w:val="24"/>
          <w:szCs w:val="24"/>
          <w:highlight w:val="none"/>
          <w:lang w:eastAsia="zh-CN"/>
        </w:rPr>
        <w:t>响应</w:t>
      </w:r>
      <w:r>
        <w:rPr>
          <w:rFonts w:ascii="宋体" w:hAnsi="宋体" w:eastAsia="宋体" w:cs="宋体"/>
          <w:color w:val="auto"/>
          <w:sz w:val="24"/>
          <w:szCs w:val="24"/>
          <w:highlight w:val="none"/>
          <w:lang w:eastAsia="zh-CN"/>
        </w:rPr>
        <w:t>文件内容真实性。如证实成交供应商提供虚假材料，</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 xml:space="preserve">将上报至同级 财政监管部门，追究其法律责任。 </w:t>
      </w:r>
    </w:p>
    <w:p w14:paraId="1970C6F5">
      <w:pPr>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11、其他要求：本项目为交钥匙工程，安装场所内原有旧家具的拆除和清运、所有货物、材料、运输、转运、辅材、安装、施工、调试、施工垃圾清运、验收、保险、税金等一切费用均包含在投标报价总价中。</w:t>
      </w:r>
    </w:p>
    <w:p w14:paraId="139D778A">
      <w:pPr>
        <w:widowControl w:val="0"/>
        <w:kinsoku/>
        <w:spacing w:line="249" w:lineRule="auto"/>
        <w:rPr>
          <w:color w:val="auto"/>
          <w:highlight w:val="none"/>
          <w:lang w:eastAsia="zh-CN"/>
        </w:rPr>
      </w:pPr>
      <w:r>
        <w:rPr>
          <w:rFonts w:hint="eastAsia" w:ascii="宋体" w:hAnsi="宋体" w:cs="宋体"/>
          <w:b/>
          <w:bCs/>
          <w:color w:val="auto"/>
          <w:sz w:val="24"/>
          <w:szCs w:val="24"/>
          <w:highlight w:val="none"/>
          <w:lang w:eastAsia="zh-CN"/>
        </w:rPr>
        <w:t>注：以上商务要求均须完全满足，否则视为无效响应。</w:t>
      </w:r>
    </w:p>
    <w:p w14:paraId="64F23A7D">
      <w:bookmarkStart w:id="98" w:name="_GoBack"/>
      <w:bookmarkEnd w:id="98"/>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8BDB5F"/>
    <w:multiLevelType w:val="singleLevel"/>
    <w:tmpl w:val="978BDB5F"/>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4C72A6"/>
    <w:rsid w:val="0B4C72A6"/>
    <w:rsid w:val="275C5DD5"/>
    <w:rsid w:val="318930A6"/>
    <w:rsid w:val="3C1F03B8"/>
    <w:rsid w:val="5A2D03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_Style 3"/>
    <w:qFormat/>
    <w:uiPriority w:val="1"/>
    <w:pPr>
      <w:widowControl w:val="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image" Target="media/image12.jpeg"/><Relationship Id="rId14" Type="http://schemas.openxmlformats.org/officeDocument/2006/relationships/image" Target="media/image11.jpeg"/><Relationship Id="rId13" Type="http://schemas.openxmlformats.org/officeDocument/2006/relationships/image" Target="media/image10.jpeg"/><Relationship Id="rId12" Type="http://schemas.openxmlformats.org/officeDocument/2006/relationships/image" Target="media/image9.jpe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2026-05-13T09:12:00Z</dcterms:created>
  <dc:creator>LENOVO</dc:creator>
  <cp:lastModifiedBy>LENOVO</cp:lastModifiedBy>
  <dcterms:modified xsi:type="dcterms:W3CDTF">2026-05-13T09:12:10Z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A9D2EF99B8D34E83B3C5332D1AC84D93_11</vt:lpwstr>
  </property>
</Properties>
</file>