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0797B2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bookmarkStart w:id="4" w:name="_GoBack"/>
      <w:bookmarkEnd w:id="4"/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</w:p>
    <w:p w14:paraId="5814DC88">
      <w:pPr>
        <w:spacing w:after="0" w:line="360" w:lineRule="auto"/>
        <w:rPr>
          <w:rFonts w:hint="eastAsia" w:ascii="宋体" w:hAnsi="宋体" w:eastAsia="宋体"/>
          <w:sz w:val="24"/>
          <w:lang w:val="en-US" w:eastAsia="zh-CN"/>
        </w:rPr>
      </w:pPr>
      <w:r>
        <w:rPr>
          <w:rFonts w:hint="eastAsia" w:ascii="宋体" w:hAnsi="宋体" w:eastAsia="宋体"/>
          <w:sz w:val="24"/>
          <w:lang w:val="en-US" w:eastAsia="zh-CN"/>
        </w:rPr>
        <w:t>预算：167万元</w:t>
      </w:r>
    </w:p>
    <w:p w14:paraId="23283987">
      <w:pPr>
        <w:spacing w:after="0" w:line="360" w:lineRule="auto"/>
        <w:rPr>
          <w:rFonts w:hint="default" w:ascii="宋体" w:hAnsi="宋体" w:eastAsia="宋体"/>
          <w:sz w:val="24"/>
          <w:lang w:val="en-US" w:eastAsia="zh-CN"/>
        </w:rPr>
      </w:pPr>
      <w:r>
        <w:rPr>
          <w:rFonts w:hint="eastAsia" w:ascii="宋体" w:hAnsi="宋体" w:eastAsia="宋体"/>
          <w:sz w:val="24"/>
          <w:lang w:val="en-US" w:eastAsia="zh-CN"/>
        </w:rPr>
        <w:t>数量</w:t>
      </w:r>
    </w:p>
    <w:tbl>
      <w:tblPr>
        <w:tblStyle w:val="5"/>
        <w:tblW w:w="0" w:type="auto"/>
        <w:tblInd w:w="4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8"/>
        <w:gridCol w:w="3030"/>
        <w:gridCol w:w="3642"/>
      </w:tblGrid>
      <w:tr w14:paraId="478195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437" w:type="dxa"/>
            <w:vAlign w:val="center"/>
          </w:tcPr>
          <w:p w14:paraId="1807FCEF">
            <w:pPr>
              <w:widowControl w:val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3051" w:type="dxa"/>
            <w:vAlign w:val="center"/>
          </w:tcPr>
          <w:p w14:paraId="10BA9DF2">
            <w:pPr>
              <w:widowControl w:val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3668" w:type="dxa"/>
            <w:vAlign w:val="center"/>
          </w:tcPr>
          <w:p w14:paraId="6C768A0F">
            <w:pPr>
              <w:widowControl w:val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数量</w:t>
            </w:r>
          </w:p>
        </w:tc>
      </w:tr>
      <w:tr w14:paraId="5DA88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437" w:type="dxa"/>
            <w:vAlign w:val="center"/>
          </w:tcPr>
          <w:p w14:paraId="644E3FB7">
            <w:pPr>
              <w:widowControl w:val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051" w:type="dxa"/>
            <w:vAlign w:val="center"/>
          </w:tcPr>
          <w:p w14:paraId="3E770882">
            <w:pPr>
              <w:widowControl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多波段强脉冲光治疗仪</w:t>
            </w:r>
          </w:p>
        </w:tc>
        <w:tc>
          <w:tcPr>
            <w:tcW w:w="3668" w:type="dxa"/>
            <w:vAlign w:val="center"/>
          </w:tcPr>
          <w:p w14:paraId="60DA94C5">
            <w:pPr>
              <w:widowControl w:val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1台</w:t>
            </w:r>
          </w:p>
        </w:tc>
      </w:tr>
      <w:tr w14:paraId="30280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1437" w:type="dxa"/>
            <w:vAlign w:val="center"/>
          </w:tcPr>
          <w:p w14:paraId="6262FFE5">
            <w:pPr>
              <w:widowControl w:val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051" w:type="dxa"/>
            <w:vAlign w:val="center"/>
          </w:tcPr>
          <w:p w14:paraId="66F1B7BF">
            <w:pPr>
              <w:widowControl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皮秒激光治疗仪</w:t>
            </w:r>
          </w:p>
        </w:tc>
        <w:tc>
          <w:tcPr>
            <w:tcW w:w="3668" w:type="dxa"/>
            <w:vAlign w:val="center"/>
          </w:tcPr>
          <w:p w14:paraId="7845CEAF">
            <w:pPr>
              <w:widowControl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1台</w:t>
            </w:r>
          </w:p>
        </w:tc>
      </w:tr>
      <w:tr w14:paraId="6826F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1437" w:type="dxa"/>
            <w:vAlign w:val="center"/>
          </w:tcPr>
          <w:p w14:paraId="03E967C2">
            <w:pPr>
              <w:widowControl w:val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051" w:type="dxa"/>
            <w:vAlign w:val="center"/>
          </w:tcPr>
          <w:p w14:paraId="6BA9C125">
            <w:pPr>
              <w:widowControl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全自动凝血检测仪</w:t>
            </w:r>
          </w:p>
        </w:tc>
        <w:tc>
          <w:tcPr>
            <w:tcW w:w="3668" w:type="dxa"/>
            <w:vAlign w:val="center"/>
          </w:tcPr>
          <w:p w14:paraId="7F5ABC90">
            <w:pPr>
              <w:widowControl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1台</w:t>
            </w:r>
          </w:p>
        </w:tc>
      </w:tr>
    </w:tbl>
    <w:p w14:paraId="4D5FC09F">
      <w:pPr>
        <w:pStyle w:val="7"/>
        <w:numPr>
          <w:ilvl w:val="0"/>
          <w:numId w:val="0"/>
        </w:numPr>
        <w:spacing w:line="360" w:lineRule="auto"/>
        <w:rPr>
          <w:rFonts w:hint="eastAsia" w:ascii="宋体" w:hAnsi="宋体" w:eastAsia="宋体"/>
          <w:b/>
          <w:bCs/>
          <w:sz w:val="24"/>
          <w:szCs w:val="24"/>
          <w:lang w:val="en-US" w:eastAsia="zh-CN"/>
        </w:rPr>
      </w:pPr>
    </w:p>
    <w:p w14:paraId="06675545">
      <w:pPr>
        <w:pageBreakBefore w:val="0"/>
        <w:widowControl w:val="0"/>
        <w:wordWrap/>
        <w:overflowPunct/>
        <w:topLinePunct w:val="0"/>
        <w:bidi w:val="0"/>
        <w:spacing w:line="360" w:lineRule="auto"/>
        <w:rPr>
          <w:color w:val="auto"/>
          <w:spacing w:val="0"/>
          <w:w w:val="100"/>
          <w:position w:val="0"/>
        </w:rPr>
      </w:pPr>
    </w:p>
    <w:p w14:paraId="0B4DA186">
      <w:pPr>
        <w:spacing w:line="360" w:lineRule="auto"/>
        <w:rPr>
          <w:rFonts w:hint="eastAsia" w:ascii="宋体" w:hAnsi="宋体" w:eastAsia="宋体"/>
          <w:color w:val="auto"/>
          <w:sz w:val="28"/>
          <w:szCs w:val="28"/>
          <w:highlight w:val="none"/>
        </w:rPr>
      </w:pPr>
      <w:r>
        <w:rPr>
          <w:rFonts w:hint="eastAsia" w:ascii="宋体" w:hAnsi="宋体" w:eastAsia="宋体"/>
          <w:color w:val="auto"/>
          <w:sz w:val="28"/>
          <w:szCs w:val="28"/>
          <w:highlight w:val="none"/>
        </w:rPr>
        <w:t>一、技术需求</w:t>
      </w:r>
    </w:p>
    <w:tbl>
      <w:tblPr>
        <w:tblStyle w:val="5"/>
        <w:tblW w:w="9315" w:type="dxa"/>
        <w:tblInd w:w="-1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5"/>
        <w:gridCol w:w="1495"/>
        <w:gridCol w:w="6845"/>
      </w:tblGrid>
      <w:tr w14:paraId="76BBA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975" w:type="dxa"/>
            <w:vAlign w:val="center"/>
          </w:tcPr>
          <w:p w14:paraId="6B84323A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58" w:lineRule="auto"/>
              <w:jc w:val="center"/>
              <w:rPr>
                <w:rFonts w:hint="default" w:eastAsia="宋体"/>
                <w:b/>
                <w:bCs/>
                <w:color w:val="auto"/>
                <w:spacing w:val="0"/>
                <w:w w:val="100"/>
                <w:positio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宋体"/>
                <w:b/>
                <w:bCs/>
                <w:color w:val="auto"/>
                <w:spacing w:val="0"/>
                <w:w w:val="100"/>
                <w:position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495" w:type="dxa"/>
            <w:vAlign w:val="center"/>
          </w:tcPr>
          <w:p w14:paraId="07963340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58" w:lineRule="auto"/>
              <w:jc w:val="center"/>
              <w:rPr>
                <w:rFonts w:hint="default" w:eastAsia="宋体"/>
                <w:b/>
                <w:bCs/>
                <w:color w:val="auto"/>
                <w:spacing w:val="0"/>
                <w:w w:val="100"/>
                <w:positio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宋体"/>
                <w:b/>
                <w:bCs/>
                <w:color w:val="auto"/>
                <w:spacing w:val="0"/>
                <w:w w:val="100"/>
                <w:position w:val="0"/>
                <w:sz w:val="24"/>
                <w:szCs w:val="24"/>
                <w:vertAlign w:val="baseline"/>
                <w:lang w:val="en-US" w:eastAsia="zh-CN"/>
              </w:rPr>
              <w:t>设备名称</w:t>
            </w:r>
          </w:p>
        </w:tc>
        <w:tc>
          <w:tcPr>
            <w:tcW w:w="6845" w:type="dxa"/>
            <w:vAlign w:val="center"/>
          </w:tcPr>
          <w:p w14:paraId="0BAAE00F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58" w:lineRule="auto"/>
              <w:jc w:val="center"/>
              <w:rPr>
                <w:rFonts w:hint="default" w:eastAsia="宋体"/>
                <w:b/>
                <w:bCs/>
                <w:color w:val="auto"/>
                <w:spacing w:val="0"/>
                <w:w w:val="100"/>
                <w:positio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宋体"/>
                <w:b/>
                <w:bCs/>
                <w:color w:val="auto"/>
                <w:spacing w:val="0"/>
                <w:w w:val="100"/>
                <w:position w:val="0"/>
                <w:sz w:val="24"/>
                <w:szCs w:val="24"/>
                <w:vertAlign w:val="baseline"/>
                <w:lang w:val="en-US" w:eastAsia="zh-CN"/>
              </w:rPr>
              <w:t>参数要求</w:t>
            </w:r>
          </w:p>
        </w:tc>
      </w:tr>
      <w:tr w14:paraId="47B13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975" w:type="dxa"/>
            <w:vAlign w:val="center"/>
          </w:tcPr>
          <w:p w14:paraId="09ADCA0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line="240" w:lineRule="atLeast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495" w:type="dxa"/>
            <w:vAlign w:val="center"/>
          </w:tcPr>
          <w:p w14:paraId="31139BD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line="500" w:lineRule="atLeast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  <w:t>多波段强脉冲光治疗仪</w:t>
            </w:r>
          </w:p>
        </w:tc>
        <w:tc>
          <w:tcPr>
            <w:tcW w:w="6845" w:type="dxa"/>
          </w:tcPr>
          <w:p w14:paraId="620D6D1B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光斑面积：15mm×45mm允差±5%。</w:t>
            </w:r>
          </w:p>
          <w:p w14:paraId="1CAF5CD5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皮肤制冷温度0～20℃可调，步进1℃，允差±3℃或±20%。</w:t>
            </w:r>
          </w:p>
          <w:p w14:paraId="76FCBE00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恒流技术：消除能量尖峰，能量更加平稳柔和，治疗安全性，舒适性大幅提高。</w:t>
            </w:r>
          </w:p>
          <w:p w14:paraId="712996C0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4.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可插拔滤光片技术：不需开关机，治疗手柄可通过直接更换滤光片来改变波长范围。</w:t>
            </w:r>
          </w:p>
          <w:p w14:paraId="6DD6CFB6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工作方式：单次曝光、重复曝光</w:t>
            </w:r>
          </w:p>
          <w:p w14:paraId="6BC598F2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手柄参数</w:t>
            </w:r>
          </w:p>
          <w:p w14:paraId="72E5ECDC">
            <w:pPr>
              <w:widowControl w:val="0"/>
              <w:numPr>
                <w:ilvl w:val="0"/>
                <w:numId w:val="0"/>
              </w:numPr>
              <w:tabs>
                <w:tab w:val="left" w:pos="420"/>
              </w:tabs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6.1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脉冲宽度：5～200ms</w:t>
            </w:r>
          </w:p>
          <w:p w14:paraId="23D47163">
            <w:pPr>
              <w:widowControl w:val="0"/>
              <w:numPr>
                <w:ilvl w:val="0"/>
                <w:numId w:val="0"/>
              </w:numPr>
              <w:tabs>
                <w:tab w:val="left" w:pos="420"/>
              </w:tabs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6.2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最大能量密度：≥25J/cm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  <w:vertAlign w:val="superscript"/>
              </w:rPr>
              <w:t>2</w:t>
            </w:r>
          </w:p>
          <w:p w14:paraId="78804D90">
            <w:pPr>
              <w:widowControl w:val="0"/>
              <w:numPr>
                <w:ilvl w:val="0"/>
                <w:numId w:val="0"/>
              </w:numPr>
              <w:tabs>
                <w:tab w:val="left" w:pos="420"/>
              </w:tabs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6.3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最大输出能量：</w:t>
            </w:r>
            <w:r>
              <w:rPr>
                <w:rFonts w:hint="eastAsia" w:ascii="宋体" w:hAnsi="宋体" w:cs="宋体"/>
                <w:color w:val="FF0000"/>
                <w:kern w:val="0"/>
                <w:sz w:val="24"/>
                <w:highlight w:val="none"/>
              </w:rPr>
              <w:t>≥20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4"/>
                <w:highlight w:val="none"/>
                <w:lang w:val="en-US" w:eastAsia="zh-CN"/>
              </w:rPr>
              <w:t>0</w:t>
            </w:r>
            <w:r>
              <w:rPr>
                <w:rFonts w:hint="eastAsia" w:ascii="宋体" w:hAnsi="宋体" w:cs="宋体"/>
                <w:color w:val="FF0000"/>
                <w:kern w:val="0"/>
                <w:sz w:val="24"/>
                <w:highlight w:val="none"/>
              </w:rPr>
              <w:t>J</w:t>
            </w:r>
          </w:p>
          <w:p w14:paraId="3AD7DC8C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7.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能量均匀性：输出能量在光斑尺寸范围内分布均匀，光斑中心与边缘能量相对偏差不大于±20%，该技术使得光斑更均匀</w:t>
            </w:r>
          </w:p>
          <w:p w14:paraId="30148764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cs="宋体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8.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输出能量：输出能量不稳定度优于±10%；输出能量复现性优于±10%。该技术使得光斑能量稳定度高。</w:t>
            </w:r>
          </w:p>
          <w:p w14:paraId="4657B796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9.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光斑适配器：≥3种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  <w:t>。</w:t>
            </w:r>
          </w:p>
          <w:p w14:paraId="25843F48">
            <w:pPr>
              <w:widowControl w:val="0"/>
              <w:numPr>
                <w:ilvl w:val="0"/>
                <w:numId w:val="0"/>
              </w:numPr>
              <w:spacing w:line="360" w:lineRule="auto"/>
              <w:ind w:leftChars="0"/>
              <w:jc w:val="both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10.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方形遮光罩：15mm×45mm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±</w:t>
            </w:r>
            <w:r>
              <w:rPr>
                <w:rFonts w:hint="eastAsia" w:ascii="宋体" w:hAnsi="宋体" w:eastAsia="宋体" w:cs="宋体"/>
                <w:color w:val="0000FF"/>
                <w:kern w:val="0"/>
                <w:sz w:val="24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FF"/>
                <w:kern w:val="0"/>
                <w:sz w:val="24"/>
                <w:highlight w:val="none"/>
              </w:rPr>
              <w:t>mm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，遮挡侧边漏光，保护医生视力。</w:t>
            </w:r>
          </w:p>
          <w:p w14:paraId="6E467B0F">
            <w:pPr>
              <w:widowControl w:val="0"/>
              <w:spacing w:line="360" w:lineRule="auto"/>
              <w:jc w:val="both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11</w:t>
            </w:r>
            <w:r>
              <w:rPr>
                <w:rFonts w:ascii="宋体" w:hAnsi="宋体" w:cs="宋体"/>
                <w:sz w:val="24"/>
                <w:highlight w:val="none"/>
              </w:rPr>
              <w:t>.</w:t>
            </w:r>
            <w:r>
              <w:rPr>
                <w:rFonts w:hint="eastAsia" w:ascii="宋体" w:hAnsi="宋体" w:cs="宋体"/>
                <w:sz w:val="24"/>
                <w:highlight w:val="none"/>
              </w:rPr>
              <w:t>数据库功能：可以存储病人病例；</w:t>
            </w:r>
          </w:p>
          <w:p w14:paraId="6C5BF883">
            <w:pPr>
              <w:widowControl w:val="0"/>
              <w:spacing w:line="360" w:lineRule="auto"/>
              <w:jc w:val="both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ascii="宋体" w:hAnsi="宋体" w:cs="宋体"/>
                <w:sz w:val="24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2</w:t>
            </w:r>
            <w:r>
              <w:rPr>
                <w:rFonts w:ascii="宋体" w:hAnsi="宋体" w:cs="宋体"/>
                <w:sz w:val="24"/>
                <w:highlight w:val="none"/>
              </w:rPr>
              <w:t>.</w:t>
            </w:r>
            <w:bookmarkStart w:id="0" w:name="_Hlk189815130"/>
            <w:r>
              <w:rPr>
                <w:rFonts w:hint="eastAsia" w:ascii="宋体" w:hAnsi="宋体" w:cs="宋体"/>
                <w:sz w:val="24"/>
                <w:highlight w:val="none"/>
              </w:rPr>
              <w:t>冷却系统：外置冷却水循环系统；</w:t>
            </w:r>
            <w:bookmarkEnd w:id="0"/>
          </w:p>
          <w:p w14:paraId="1282D53D">
            <w:pPr>
              <w:widowControl w:val="0"/>
              <w:spacing w:line="360" w:lineRule="auto"/>
              <w:jc w:val="both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ascii="宋体" w:hAnsi="宋体" w:cs="宋体"/>
                <w:sz w:val="24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3</w:t>
            </w:r>
            <w:r>
              <w:rPr>
                <w:rFonts w:ascii="宋体" w:hAnsi="宋体" w:cs="宋体"/>
                <w:sz w:val="24"/>
                <w:highlight w:val="none"/>
              </w:rPr>
              <w:t>.</w:t>
            </w:r>
            <w:r>
              <w:rPr>
                <w:rFonts w:hint="eastAsia" w:ascii="宋体" w:hAnsi="宋体" w:cs="宋体"/>
                <w:sz w:val="24"/>
                <w:highlight w:val="none"/>
              </w:rPr>
              <w:t>具备预设参数功能，辅助教学；</w:t>
            </w:r>
          </w:p>
          <w:p w14:paraId="30ACAB04">
            <w:pPr>
              <w:widowControl w:val="0"/>
              <w:spacing w:line="360" w:lineRule="auto"/>
              <w:jc w:val="both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sz w:val="24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sz w:val="24"/>
                <w:highlight w:val="none"/>
              </w:rPr>
              <w:t>.可选配非剥脱点阵激光治疗模块；</w:t>
            </w:r>
          </w:p>
          <w:p w14:paraId="5C1F00D0">
            <w:pPr>
              <w:widowControl w:val="0"/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  <w:t>15.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操作模式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≥一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种操作模式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  <w:t>；</w:t>
            </w:r>
          </w:p>
          <w:p w14:paraId="1E7A82F8">
            <w:pPr>
              <w:widowControl w:val="0"/>
              <w:spacing w:line="360" w:lineRule="auto"/>
              <w:jc w:val="both"/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16.治疗手柄：≥一种操作</w:t>
            </w:r>
            <w:r>
              <w:rPr>
                <w:rFonts w:hint="eastAsia" w:ascii="宋体" w:hAnsi="宋体" w:cs="宋体"/>
                <w:sz w:val="24"/>
                <w:highlight w:val="none"/>
              </w:rPr>
              <w:t>手柄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  <w:t>；</w:t>
            </w:r>
          </w:p>
          <w:p w14:paraId="63330BAC">
            <w:pPr>
              <w:widowControl w:val="0"/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17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.具备≥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kern w:val="0"/>
                <w:sz w:val="24"/>
                <w:highlight w:val="none"/>
              </w:rPr>
              <w:t>种不同波长的滤光片</w:t>
            </w: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eastAsia="zh-CN"/>
              </w:rPr>
              <w:t>；</w:t>
            </w:r>
          </w:p>
        </w:tc>
      </w:tr>
      <w:tr w14:paraId="2C54B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75" w:type="dxa"/>
            <w:vAlign w:val="center"/>
          </w:tcPr>
          <w:p w14:paraId="34C293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line="240" w:lineRule="atLeast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1495" w:type="dxa"/>
            <w:vAlign w:val="center"/>
          </w:tcPr>
          <w:p w14:paraId="62AD875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line="500" w:lineRule="atLeas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lang w:val="en-US" w:eastAsia="zh-CN" w:bidi="ar-SA"/>
              </w:rPr>
              <w:t>皮秒激光</w:t>
            </w:r>
          </w:p>
          <w:p w14:paraId="4B52C1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line="500" w:lineRule="atLeast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lang w:val="en-US" w:eastAsia="zh-CN" w:bidi="ar-SA"/>
              </w:rPr>
              <w:t>治疗仪</w:t>
            </w:r>
          </w:p>
        </w:tc>
        <w:tc>
          <w:tcPr>
            <w:tcW w:w="6845" w:type="dxa"/>
          </w:tcPr>
          <w:p w14:paraId="10451F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1.皮秒技术：MOPA技术（主振荡器功率放大器技术）</w:t>
            </w:r>
          </w:p>
          <w:p w14:paraId="295836B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2.激光类型：Nd:YAG激光</w:t>
            </w:r>
          </w:p>
          <w:p w14:paraId="7C3AE32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3.具备≥两种激光波长：1064nm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、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532nm</w:t>
            </w:r>
          </w:p>
          <w:p w14:paraId="34C0E45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4.脉冲宽度：≤300ps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;</w:t>
            </w:r>
          </w:p>
          <w:p w14:paraId="105FCB2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bookmarkStart w:id="1" w:name="OLE_LINK2"/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5.1064nm激光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峰值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功率：</w:t>
            </w:r>
            <w:bookmarkEnd w:id="1"/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≥1.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GW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,</w:t>
            </w:r>
          </w:p>
          <w:p w14:paraId="6EBE786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6.532nm激光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eastAsia="zh-CN"/>
              </w:rPr>
              <w:t>峰值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功率：≥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highlight w:val="none"/>
                <w:lang w:val="en-US" w:eastAsia="zh-CN"/>
              </w:rPr>
              <w:t>0.8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GW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highlight w:val="none"/>
                <w:lang w:val="en-US" w:eastAsia="zh-CN"/>
              </w:rPr>
              <w:t>,</w:t>
            </w:r>
          </w:p>
          <w:p w14:paraId="72CEC7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7.1064nm终端最大单脉冲能量：</w:t>
            </w:r>
            <w:r>
              <w:rPr>
                <w:rFonts w:hint="eastAsia" w:ascii="宋体" w:hAnsi="宋体" w:eastAsia="宋体" w:cs="宋体"/>
                <w:color w:val="0000FF"/>
                <w:kern w:val="0"/>
                <w:sz w:val="24"/>
                <w:szCs w:val="24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400mJ</w:t>
            </w:r>
          </w:p>
          <w:p w14:paraId="12B145E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8.532nm终端最大单脉冲能量：</w:t>
            </w:r>
            <w:r>
              <w:rPr>
                <w:rFonts w:hint="eastAsia" w:ascii="宋体" w:hAnsi="宋体" w:eastAsia="宋体" w:cs="宋体"/>
                <w:color w:val="0000FF"/>
                <w:kern w:val="0"/>
                <w:sz w:val="24"/>
                <w:szCs w:val="24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250mJ</w:t>
            </w:r>
          </w:p>
          <w:p w14:paraId="480BB68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9.治疗端面最大光斑直径：≥10mm</w:t>
            </w:r>
          </w:p>
          <w:p w14:paraId="372D705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10.532nm激光2mm光斑最大能量密度：≥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/>
              </w:rPr>
              <w:t>7.6</w:t>
            </w:r>
            <w:bookmarkStart w:id="2" w:name="OLE_LINK3"/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/>
              </w:rPr>
              <w:t>J/cm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u w:val="none"/>
                <w:vertAlign w:val="superscript"/>
                <w:lang w:val="en-US" w:eastAsia="zh-CN"/>
              </w:rPr>
              <w:t>2</w:t>
            </w:r>
            <w:bookmarkEnd w:id="2"/>
          </w:p>
          <w:p w14:paraId="4F7300C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bookmarkStart w:id="3" w:name="OLE_LINK1"/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11.1064nm激光治疗端面能量密度</w:t>
            </w:r>
            <w:bookmarkEnd w:id="3"/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：0.2～12.5J/cm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vertAlign w:val="superscript"/>
                <w:lang w:val="en-US" w:eastAsia="zh-CN"/>
              </w:rPr>
              <w:t>2</w:t>
            </w:r>
          </w:p>
          <w:p w14:paraId="35F67D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12.治疗端面光斑直径：2～10mm可调，步进1mm</w:t>
            </w:r>
          </w:p>
          <w:p w14:paraId="4917CD8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13.光输出方式：导光臂，精准引导激光到达指定部位，具备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highlight w:val="none"/>
                <w:lang w:val="en-US" w:eastAsia="zh-CN"/>
              </w:rPr>
              <w:t>至少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7个关节</w:t>
            </w:r>
            <w:r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highlight w:val="none"/>
                <w:lang w:val="en-US" w:eastAsia="zh-CN"/>
              </w:rPr>
              <w:t>、至少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6个自由度，在其任意自由度内无死角或碰壁现象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highlight w:val="none"/>
                <w:lang w:val="en-US" w:eastAsia="zh-CN"/>
              </w:rPr>
              <w:t>。</w:t>
            </w:r>
          </w:p>
          <w:p w14:paraId="211A9E1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14.系统冷却方式：水、空气热交换器内部循环</w:t>
            </w:r>
          </w:p>
          <w:p w14:paraId="6DE22B9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15.瞄准光：波长：635nm，允差±10nm</w:t>
            </w:r>
          </w:p>
          <w:p w14:paraId="2F96F0A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16.屏幕尺寸：≥12英寸</w:t>
            </w:r>
          </w:p>
          <w:p w14:paraId="08078EE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宋体" w:hAnsi="宋体" w:cs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highlight w:val="none"/>
                <w:lang w:val="en-US" w:eastAsia="zh-CN"/>
              </w:rPr>
              <w:t>17.脚踏防水等级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：≥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highlight w:val="none"/>
                <w:lang w:val="en-US" w:eastAsia="zh-CN"/>
              </w:rPr>
              <w:t>IPX8</w:t>
            </w:r>
          </w:p>
        </w:tc>
      </w:tr>
    </w:tbl>
    <w:p w14:paraId="00ECF0EB"/>
    <w:p w14:paraId="546A7F42"/>
    <w:p w14:paraId="4356C1A9"/>
    <w:p w14:paraId="66CA6CF4">
      <w:pP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sz w:val="32"/>
          <w:szCs w:val="32"/>
          <w:lang w:val="en-US" w:eastAsia="zh-CN"/>
        </w:rPr>
        <w:t>3.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全自动凝血检测仪</w:t>
      </w:r>
    </w:p>
    <w:p w14:paraId="4E09FDF0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2358E303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序号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参数</w:t>
      </w:r>
    </w:p>
    <w:p w14:paraId="49812A29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测试项目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PT、APTT、FIB、TT、D-Dimer等</w:t>
      </w:r>
    </w:p>
    <w:p w14:paraId="06509AAE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最大速度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检测速度PT≥400 T/h</w:t>
      </w:r>
    </w:p>
    <w:p w14:paraId="642FE026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综合速度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四项≥175T/h，五项≥150 T/h，六项≥150 T/h</w:t>
      </w:r>
    </w:p>
    <w:p w14:paraId="61D9BD68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检测通道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8个检测通道，并且同时适用凝固法、发色底物法、免疫比浊法项目。</w:t>
      </w:r>
    </w:p>
    <w:p w14:paraId="3D30E43A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样本位采用自动进样器连续加载进样。</w:t>
      </w:r>
    </w:p>
    <w:p w14:paraId="56E6AA61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封闭试剂仓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试剂仓封闭设计，避免试剂使用过程中直接曝露在空气中，减少挥发。</w:t>
      </w:r>
    </w:p>
    <w:p w14:paraId="165A8F94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7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冰箱模式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关机后试剂盘独立制冷，试剂在机2℃-8℃冷藏。</w:t>
      </w:r>
    </w:p>
    <w:p w14:paraId="0AE9B81F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8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加样针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样本针及试剂针具有立体防撞、液面感应，试剂针具有温度自动补偿功能。</w:t>
      </w:r>
    </w:p>
    <w:p w14:paraId="32C3C025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9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闭盖穿刺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样本针具有液位感应和优化的闭盖穿刺功能；适应不同真空采血管。</w:t>
      </w:r>
    </w:p>
    <w:p w14:paraId="6847F774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10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急诊检测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独立急诊专用进样通道，急诊响应时间≤30秒。</w:t>
      </w:r>
    </w:p>
    <w:p w14:paraId="4298DDE6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反应杯</w:t>
      </w:r>
      <w:r>
        <w:rPr>
          <w:rFonts w:hint="eastAsia" w:asciiTheme="majorEastAsia" w:hAnsiTheme="majorEastAsia" w:eastAsiaTheme="majorEastAsia" w:cstheme="majorEastAsia"/>
          <w:color w:val="FF0000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倾倒式随时加载。</w:t>
      </w:r>
    </w:p>
    <w:p w14:paraId="503B4C5A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LED光源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LED持久光源。</w:t>
      </w:r>
    </w:p>
    <w:p w14:paraId="595643E6"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13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废液排放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支持废液直排。</w:t>
      </w:r>
    </w:p>
    <w:p w14:paraId="338B7D14">
      <w:pPr>
        <w:spacing w:line="360" w:lineRule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14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占地面积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ab/>
      </w:r>
      <w:r>
        <w:rPr>
          <w:rFonts w:hint="eastAsia" w:ascii="宋体" w:hAnsi="宋体" w:eastAsia="宋体" w:cs="宋体"/>
          <w:color w:val="FF0000"/>
          <w:sz w:val="24"/>
          <w:szCs w:val="24"/>
        </w:rPr>
        <w:t>≦</w:t>
      </w:r>
      <w:r>
        <w:rPr>
          <w:rFonts w:hint="eastAsia" w:asciiTheme="majorEastAsia" w:hAnsiTheme="majorEastAsia" w:eastAsiaTheme="majorEastAsia" w:cstheme="majorEastAsia"/>
          <w:color w:val="FF0000"/>
          <w:sz w:val="24"/>
          <w:szCs w:val="24"/>
        </w:rPr>
        <w:t>0.</w:t>
      </w:r>
      <w:r>
        <w:rPr>
          <w:rFonts w:hint="eastAsia" w:asciiTheme="majorEastAsia" w:hAnsiTheme="majorEastAsia" w:eastAsiaTheme="majorEastAsia" w:cstheme="majorEastAsia"/>
          <w:color w:val="FF0000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平方米。</w:t>
      </w:r>
    </w:p>
    <w:p w14:paraId="1560B8DA">
      <w:pPr>
        <w:spacing w:line="360" w:lineRule="auto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二、商务要求</w:t>
      </w:r>
    </w:p>
    <w:p w14:paraId="5E788124">
      <w:pPr>
        <w:tabs>
          <w:tab w:val="left" w:pos="0"/>
        </w:tabs>
        <w:spacing w:after="0" w:line="360" w:lineRule="auto"/>
        <w:rPr>
          <w:rFonts w:hint="eastAsia" w:ascii="宋体" w:hAnsi="宋体" w:eastAsia="宋体" w:cs="Arial"/>
          <w:snapToGrid w:val="0"/>
          <w:color w:val="000000"/>
          <w:kern w:val="0"/>
          <w:sz w:val="24"/>
          <w:szCs w:val="24"/>
          <w:highlight w:val="yellow"/>
        </w:rPr>
      </w:pPr>
      <w:r>
        <w:rPr>
          <w:rFonts w:hint="eastAsia" w:ascii="宋体" w:hAnsi="宋体" w:eastAsia="宋体"/>
          <w:color w:val="000000"/>
          <w:sz w:val="24"/>
          <w:szCs w:val="24"/>
          <w:lang w:val="en-US" w:eastAsia="zh-CN"/>
        </w:rPr>
        <w:t>1.付款方式：</w:t>
      </w:r>
      <w:r>
        <w:rPr>
          <w:rFonts w:hint="eastAsia" w:ascii="宋体" w:hAnsi="宋体" w:eastAsia="宋体"/>
          <w:color w:val="000000"/>
          <w:sz w:val="24"/>
          <w:szCs w:val="24"/>
          <w:highlight w:val="none"/>
          <w:lang w:val="en-US" w:eastAsia="zh-CN"/>
        </w:rPr>
        <w:t>验收合格后付款50%，余款50%在3年内无息付清。</w:t>
      </w:r>
    </w:p>
    <w:p w14:paraId="04CF8B77">
      <w:pPr>
        <w:tabs>
          <w:tab w:val="left" w:pos="0"/>
        </w:tabs>
        <w:spacing w:after="0" w:line="360" w:lineRule="auto"/>
        <w:rPr>
          <w:rFonts w:hint="eastAsia" w:ascii="宋体" w:hAnsi="宋体" w:eastAsia="宋体"/>
          <w:color w:val="000000"/>
          <w:sz w:val="24"/>
          <w:szCs w:val="24"/>
        </w:rPr>
      </w:pPr>
      <w:r>
        <w:rPr>
          <w:rFonts w:hint="eastAsia" w:ascii="宋体" w:hAnsi="宋体" w:eastAsia="宋体" w:cs="Arial"/>
          <w:snapToGrid w:val="0"/>
          <w:color w:val="000000"/>
          <w:kern w:val="0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Arial"/>
          <w:snapToGrid w:val="0"/>
          <w:color w:val="000000"/>
          <w:kern w:val="0"/>
          <w:sz w:val="24"/>
          <w:szCs w:val="24"/>
        </w:rPr>
        <w:t>、</w:t>
      </w:r>
      <w:r>
        <w:rPr>
          <w:rFonts w:hint="eastAsia" w:ascii="宋体" w:hAnsi="宋体" w:eastAsia="宋体" w:cs="Arial"/>
          <w:snapToGrid w:val="0"/>
          <w:color w:val="000000"/>
          <w:kern w:val="0"/>
          <w:sz w:val="24"/>
          <w:szCs w:val="24"/>
          <w:lang w:val="en-US" w:eastAsia="zh-CN"/>
        </w:rPr>
        <w:t>交货期：</w:t>
      </w:r>
      <w:r>
        <w:rPr>
          <w:rFonts w:hint="eastAsia" w:ascii="宋体" w:hAnsi="宋体" w:eastAsia="宋体"/>
          <w:color w:val="000000"/>
          <w:sz w:val="24"/>
          <w:szCs w:val="24"/>
          <w:lang w:val="en-US" w:eastAsia="zh-CN"/>
        </w:rPr>
        <w:t>合同签订后60日内完成安装并交付使用。</w:t>
      </w:r>
    </w:p>
    <w:p w14:paraId="34B488E6">
      <w:pPr>
        <w:spacing w:after="0" w:line="360" w:lineRule="auto"/>
        <w:rPr>
          <w:rFonts w:hint="eastAsia" w:ascii="宋体" w:hAnsi="宋体" w:eastAsia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000000"/>
          <w:sz w:val="24"/>
          <w:szCs w:val="24"/>
        </w:rPr>
        <w:t>3、</w:t>
      </w:r>
      <w:r>
        <w:rPr>
          <w:rFonts w:hint="eastAsia" w:ascii="宋体" w:hAnsi="宋体" w:eastAsia="宋体"/>
          <w:color w:val="000000"/>
          <w:sz w:val="24"/>
          <w:szCs w:val="24"/>
          <w:lang w:val="en-US" w:eastAsia="zh-CN"/>
        </w:rPr>
        <w:t>保修期：</w:t>
      </w:r>
      <w:r>
        <w:rPr>
          <w:rFonts w:hint="eastAsia" w:ascii="宋体" w:hAnsi="宋体" w:eastAsia="宋体"/>
          <w:color w:val="000000"/>
          <w:sz w:val="24"/>
          <w:szCs w:val="24"/>
        </w:rPr>
        <w:t>自验收合格后</w:t>
      </w:r>
      <w:r>
        <w:rPr>
          <w:rFonts w:hint="eastAsia" w:ascii="宋体" w:hAnsi="宋体" w:eastAsia="宋体"/>
          <w:color w:val="000000"/>
          <w:sz w:val="24"/>
          <w:szCs w:val="24"/>
          <w:lang w:val="en-US" w:eastAsia="zh-CN"/>
        </w:rPr>
        <w:t>起</w:t>
      </w:r>
      <w:r>
        <w:rPr>
          <w:rFonts w:hint="eastAsia" w:ascii="宋体" w:hAnsi="宋体" w:eastAsia="宋体"/>
          <w:color w:val="000000"/>
          <w:sz w:val="24"/>
          <w:szCs w:val="24"/>
        </w:rPr>
        <w:t>保修3年，保修期内，免费提供相应的易损备件</w:t>
      </w:r>
      <w:r>
        <w:rPr>
          <w:rFonts w:hint="eastAsia" w:ascii="宋体" w:hAnsi="宋体" w:eastAsia="宋体"/>
          <w:color w:val="000000"/>
          <w:sz w:val="24"/>
          <w:szCs w:val="24"/>
          <w:lang w:eastAsia="zh-CN"/>
        </w:rPr>
        <w:t>。</w:t>
      </w:r>
    </w:p>
    <w:p w14:paraId="0CF4B07B">
      <w:pPr>
        <w:spacing w:after="0" w:line="360" w:lineRule="auto"/>
        <w:rPr>
          <w:rFonts w:hint="eastAsia" w:ascii="宋体" w:hAnsi="宋体" w:eastAsia="宋体"/>
          <w:color w:val="000000"/>
          <w:sz w:val="24"/>
          <w:szCs w:val="24"/>
        </w:rPr>
      </w:pPr>
      <w:r>
        <w:rPr>
          <w:rFonts w:hint="eastAsia" w:ascii="宋体" w:hAnsi="宋体" w:eastAsia="宋体"/>
          <w:color w:val="000000"/>
          <w:sz w:val="24"/>
          <w:szCs w:val="24"/>
        </w:rPr>
        <w:t>4、设备保修期内每年免费定期保养检测1—2次并提供书面报告。确保接到用户维修请求后,在24小时内做出响应，确需工作人员现场指导或维修的按约定时间到位，48小时内到医院解决故障。</w:t>
      </w:r>
    </w:p>
    <w:p w14:paraId="222318C1">
      <w:pPr>
        <w:spacing w:after="0" w:line="360" w:lineRule="auto"/>
        <w:rPr>
          <w:rFonts w:hint="eastAsia" w:ascii="宋体" w:hAnsi="宋体" w:eastAsia="宋体"/>
          <w:color w:val="000000"/>
          <w:sz w:val="24"/>
          <w:szCs w:val="24"/>
        </w:rPr>
      </w:pPr>
      <w:r>
        <w:rPr>
          <w:rFonts w:hint="eastAsia" w:ascii="宋体" w:hAnsi="宋体" w:eastAsia="宋体"/>
          <w:color w:val="000000"/>
          <w:sz w:val="24"/>
          <w:szCs w:val="24"/>
        </w:rPr>
        <w:t>5、产品送到医院指定地点，公司派专业工程师上门安装调试，免费提供操作培训及维修人员培训，直到对技术完全掌握为止。按照医院验收要求提供培训记录及培训考核记录、仪器保养要求及操作流程、操作、维修注意事项。评估本产品的风险等级，并提供周期性保养内容。</w:t>
      </w:r>
    </w:p>
    <w:p w14:paraId="630E6302">
      <w:pPr>
        <w:spacing w:after="0" w:line="360" w:lineRule="auto"/>
        <w:rPr>
          <w:rFonts w:hint="eastAsia" w:ascii="宋体" w:hAnsi="宋体" w:eastAsia="宋体"/>
          <w:color w:val="000000"/>
          <w:sz w:val="24"/>
          <w:szCs w:val="24"/>
        </w:rPr>
      </w:pPr>
      <w:r>
        <w:rPr>
          <w:rFonts w:hint="eastAsia" w:ascii="宋体" w:hAnsi="宋体" w:eastAsia="宋体"/>
          <w:color w:val="000000"/>
          <w:sz w:val="24"/>
          <w:szCs w:val="24"/>
        </w:rPr>
        <w:t>6、保修期内的年开机率≥96%，即不少于350天。</w:t>
      </w:r>
    </w:p>
    <w:p w14:paraId="253E9165">
      <w:pPr>
        <w:spacing w:after="0" w:line="360" w:lineRule="auto"/>
        <w:rPr>
          <w:rFonts w:hint="eastAsia" w:ascii="宋体" w:hAnsi="宋体" w:eastAsia="宋体"/>
          <w:color w:val="000000"/>
          <w:sz w:val="24"/>
          <w:szCs w:val="24"/>
        </w:rPr>
      </w:pPr>
      <w:r>
        <w:rPr>
          <w:rFonts w:hint="eastAsia" w:ascii="宋体" w:hAnsi="宋体" w:eastAsia="宋体"/>
          <w:color w:val="000000"/>
          <w:sz w:val="24"/>
          <w:szCs w:val="24"/>
        </w:rPr>
        <w:t>8、提供中文操作手册、维修手册各一套，配套维修工具1套。</w:t>
      </w:r>
    </w:p>
    <w:p w14:paraId="7584DB79">
      <w:pPr>
        <w:spacing w:after="0" w:line="360" w:lineRule="auto"/>
        <w:rPr>
          <w:rFonts w:hint="default" w:ascii="宋体" w:hAnsi="宋体" w:eastAsia="宋体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color w:val="000000"/>
          <w:sz w:val="24"/>
          <w:szCs w:val="24"/>
        </w:rPr>
        <w:t>9、提供最近半年内生产的全新产品</w:t>
      </w:r>
    </w:p>
    <w:p w14:paraId="13010E47"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7F099D"/>
    <w:rsid w:val="107F0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2026-05-13T00:46:00Z</dcterms:created>
  <dc:creator>刘 刘 刘</dc:creator>
  <cp:lastModifiedBy>刘 刘 刘</cp:lastModifiedBy>
  <dcterms:modified xsi:type="dcterms:W3CDTF">2026-05-13T00:48:25Z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808AB18411AE4CC0A208731105310DF0_11</vt:lpwstr>
  </property>
  <property fmtid="{D5CDD505-2E9C-101B-9397-08002B2CF9AE}" pid="4" name="KSOTemplateDocerSaveRecord">
    <vt:lpwstr>eyJoZGlkIjoiNTViOTM3MWYwMmJkMTQ5Y2E2YmIwYTVlN2FiOTE2NjMiLCJ1c2VySWQiOiIxMTk3OTg5MjQyIn0=</vt:lpwstr>
  </property>
</Properties>
</file>