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pPr>
        <w:pageBreakBefore w:val="0"/>
        <w:widowControl w:val="0"/>
        <w:wordWrap/>
        <w:overflowPunct/>
        <w:topLinePunct w:val="0"/>
        <w:bidi w:val="0"/>
        <w:spacing w:before="78" w:line="219" w:lineRule="auto"/>
        <w:rPr>
          <w:rFonts w:ascii="宋体" w:hAnsi="宋体" w:eastAsia="宋体" w:cs="宋体"/>
          <w:color w:val="auto"/>
          <w:spacing w:val="-5"/>
          <w:sz w:val="24"/>
          <w:szCs w:val="24"/>
          <w:highlight w:val="none"/>
        </w:rPr>
      </w:pPr>
      <w:bookmarkStart w:id="0" w:name="_GoBack"/>
      <w:bookmarkEnd w:id="0"/>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1、学校分配数量</w:t>
      </w:r>
    </w:p>
    <w:tbl>
      <w:tblPr>
        <w:tblStyle w:val="3"/>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5"/>
        <w:gridCol w:w="2360"/>
        <w:gridCol w:w="3895"/>
        <w:gridCol w:w="12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5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序号</w:t>
            </w:r>
          </w:p>
        </w:tc>
        <w:tc>
          <w:tcPr>
            <w:tcW w:w="1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学校名称</w:t>
            </w:r>
          </w:p>
        </w:tc>
        <w:tc>
          <w:tcPr>
            <w:tcW w:w="22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具体明细</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w:t>
            </w:r>
          </w:p>
        </w:tc>
        <w:tc>
          <w:tcPr>
            <w:tcW w:w="1384"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鹤湖学校</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w:t>
            </w:r>
          </w:p>
        </w:tc>
        <w:tc>
          <w:tcPr>
            <w:tcW w:w="1384"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港城中学</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w:t>
            </w:r>
          </w:p>
        </w:tc>
        <w:tc>
          <w:tcPr>
            <w:tcW w:w="1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滨兴小学</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笔记本电脑（含国产操作系统）</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彩色打印机</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大型打印机</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w:t>
            </w:r>
          </w:p>
        </w:tc>
        <w:tc>
          <w:tcPr>
            <w:tcW w:w="1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西林学校</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w:t>
            </w:r>
          </w:p>
        </w:tc>
        <w:tc>
          <w:tcPr>
            <w:tcW w:w="7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彩色打印机</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w:t>
            </w:r>
          </w:p>
        </w:tc>
        <w:tc>
          <w:tcPr>
            <w:tcW w:w="1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港城二小</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w:t>
            </w:r>
          </w:p>
        </w:tc>
        <w:tc>
          <w:tcPr>
            <w:tcW w:w="138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中心幼儿园</w:t>
            </w:r>
          </w:p>
        </w:tc>
        <w:tc>
          <w:tcPr>
            <w:tcW w:w="22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彩色打印机</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138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wordWrap/>
              <w:overflowPunct/>
              <w:topLinePunct w:val="0"/>
              <w:bidi w:val="0"/>
              <w:spacing w:line="360" w:lineRule="exact"/>
              <w:jc w:val="center"/>
              <w:rPr>
                <w:rFonts w:hint="eastAsia" w:asciiTheme="minorEastAsia" w:hAnsiTheme="minorEastAsia" w:eastAsiaTheme="minorEastAsia" w:cstheme="minorEastAsia"/>
                <w:i w:val="0"/>
                <w:iCs w:val="0"/>
                <w:color w:val="000000"/>
                <w:sz w:val="24"/>
                <w:szCs w:val="24"/>
                <w:u w:val="none"/>
              </w:rPr>
            </w:pP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摄像机</w:t>
            </w:r>
          </w:p>
        </w:tc>
        <w:tc>
          <w:tcPr>
            <w:tcW w:w="7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5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w:t>
            </w:r>
          </w:p>
        </w:tc>
        <w:tc>
          <w:tcPr>
            <w:tcW w:w="1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永安中心幼儿园（永安园）</w:t>
            </w:r>
          </w:p>
        </w:tc>
        <w:tc>
          <w:tcPr>
            <w:tcW w:w="22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台式电脑（含国产操作系统）</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5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8</w:t>
            </w:r>
          </w:p>
        </w:tc>
        <w:tc>
          <w:tcPr>
            <w:tcW w:w="1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滨兴中心幼儿园</w:t>
            </w:r>
          </w:p>
        </w:tc>
        <w:tc>
          <w:tcPr>
            <w:tcW w:w="22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智能航拍设备</w:t>
            </w:r>
          </w:p>
        </w:tc>
        <w:tc>
          <w:tcPr>
            <w:tcW w:w="757"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wordWrap/>
              <w:overflowPunct/>
              <w:topLinePunct w:val="0"/>
              <w:bidi w:val="0"/>
              <w:spacing w:line="36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w:t>
            </w:r>
          </w:p>
        </w:tc>
      </w:tr>
    </w:tbl>
    <w:p>
      <w:pPr>
        <w:pStyle w:val="2"/>
      </w:pPr>
    </w:p>
    <w:p>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2、技术参数</w:t>
      </w:r>
    </w:p>
    <w:p>
      <w:pPr>
        <w:pStyle w:val="2"/>
      </w:pPr>
    </w:p>
    <w:tbl>
      <w:tblPr>
        <w:tblStyle w:val="3"/>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3"/>
        <w:gridCol w:w="1057"/>
        <w:gridCol w:w="68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序号</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设备名称</w:t>
            </w:r>
          </w:p>
        </w:tc>
        <w:tc>
          <w:tcPr>
            <w:tcW w:w="403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技术参数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台式电脑</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CPU：CPU核数≥8 核，每个核心主频≥3.</w:t>
            </w:r>
            <w:r>
              <w:rPr>
                <w:rFonts w:hint="eastAsia" w:asciiTheme="minorEastAsia" w:hAnsiTheme="minorEastAsia" w:eastAsiaTheme="minorEastAsia" w:cstheme="minorEastAsia"/>
                <w:sz w:val="24"/>
                <w:szCs w:val="24"/>
                <w:lang w:val="en-US" w:eastAsia="zh-CN"/>
              </w:rPr>
              <w:t>0</w:t>
            </w:r>
            <w:r>
              <w:rPr>
                <w:rFonts w:hint="eastAsia" w:asciiTheme="minorEastAsia" w:hAnsiTheme="minorEastAsia" w:eastAsiaTheme="minorEastAsia" w:cstheme="minorEastAsia"/>
                <w:sz w:val="24"/>
                <w:szCs w:val="24"/>
              </w:rPr>
              <w:t>GHz；CPU 末级缓存容量≥16MB，线程数≥16线程</w:t>
            </w:r>
            <w:r>
              <w:rPr>
                <w:rFonts w:hint="eastAsia" w:asciiTheme="minorEastAsia" w:hAnsiTheme="minorEastAsia" w:eastAsiaTheme="minorEastAsia" w:cstheme="minorEastAsia"/>
                <w:sz w:val="24"/>
                <w:szCs w:val="24"/>
                <w:lang w:eastAsia="zh-CN"/>
              </w:rPr>
              <w:t>。</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内存：</w:t>
            </w:r>
            <w:r>
              <w:rPr>
                <w:rFonts w:hint="eastAsia" w:asciiTheme="minorEastAsia" w:hAnsiTheme="minorEastAsia" w:eastAsiaTheme="minorEastAsia" w:cstheme="minorEastAsia"/>
                <w:sz w:val="24"/>
                <w:szCs w:val="24"/>
                <w:lang w:val="en-US" w:eastAsia="zh-CN"/>
              </w:rPr>
              <w:t>配置≥8GB  DDR4内存，内存频率≥3200MT/S，内存插槽数量≥4，单内存最大支持容量≥32GB，内存插槽满配时提供的最高内存容量≥128GB。</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硬盘：</w:t>
            </w:r>
            <w:r>
              <w:rPr>
                <w:rFonts w:hint="eastAsia" w:asciiTheme="minorEastAsia" w:hAnsiTheme="minorEastAsia" w:eastAsiaTheme="minorEastAsia" w:cstheme="minorEastAsia"/>
                <w:sz w:val="24"/>
                <w:szCs w:val="24"/>
                <w:lang w:val="en-US" w:eastAsia="zh-CN"/>
              </w:rPr>
              <w:t>≥512G M.2 PCIe NVMe 固态硬盘；支持机械硬盘扩展。</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4、显卡：配备独立显卡，显存容量≥2GB。</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5、USB接口：原生USB接口总数≥11个(前置≥2个USB3.2 Gen1，其中后置≥7个USB3.2 Gen1)。</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6、扩展槽：PCIe 插槽不低于4个，≥2个PCIe x16, ≥1个PCIe x8, ≥1个PCIe x1。</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7、其它接口：≥1个M.2插槽;≥4个SATA3.0接口，≥1个板载COM接口；前置≥1组耳机和麦克接口，后置≥1组音频接口（1*耳机接口、1*麦克接口、1*音频输入）。</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8、声卡：集成声卡，支持5.1声道。</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9、网卡：集成10/100/1000M自适应RJ45网口。</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10、电源：≥200W。</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11、机箱：≥15L微塔式机箱。</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12、键鼠：同品牌USB有线键盘，同品牌USB光电鼠标。</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13、显示器：显示屏尺寸≥23.8英寸，显示屏防蓝光，显示屏刷新率≥100Hz，接口：VGA、HDMI。</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14、操作系统：支持国产操作系统。</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15、提供同品牌的基于BIOS固件系统还原与备份软件。</w:t>
            </w:r>
            <w:r>
              <w:rPr>
                <w:rFonts w:hint="eastAsia" w:asciiTheme="minorEastAsia" w:hAnsiTheme="minorEastAsia" w:eastAsiaTheme="minorEastAsia" w:cstheme="minorEastAsia"/>
                <w:sz w:val="24"/>
                <w:szCs w:val="24"/>
                <w:lang w:val="en-US" w:eastAsia="zh-CN"/>
              </w:rPr>
              <w:br w:type="textWrapping"/>
            </w:r>
            <w:r>
              <w:rPr>
                <w:rFonts w:hint="eastAsia" w:asciiTheme="minorEastAsia" w:hAnsiTheme="minorEastAsia" w:eastAsiaTheme="minorEastAsia" w:cstheme="minorEastAsia"/>
                <w:sz w:val="24"/>
                <w:szCs w:val="24"/>
                <w:lang w:val="en-US" w:eastAsia="zh-CN"/>
              </w:rPr>
              <w:t>16、产品安全可靠性：平均无故障时间（MTBF）≥110万小时。</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sz w:val="24"/>
                <w:szCs w:val="24"/>
                <w:lang w:val="en-US" w:eastAsia="zh-CN"/>
              </w:rPr>
              <w:t>17、服务：整机三年质保，三年上门服务；</w:t>
            </w:r>
            <w:r>
              <w:rPr>
                <w:rFonts w:hint="eastAsia" w:asciiTheme="minorEastAsia" w:hAnsiTheme="minorEastAsia" w:eastAsiaTheme="minorEastAsia" w:cstheme="minorEastAsia"/>
                <w:b/>
                <w:bCs/>
                <w:sz w:val="24"/>
                <w:szCs w:val="24"/>
                <w:lang w:val="en-US" w:eastAsia="zh-CN"/>
              </w:rPr>
              <w:t>提供针对本项目不少于叁年的售后服务承诺函。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18、以上技术要求需要原厂原配，不接受改配，验收当场需要拨打官网400电话验证，如有违反条款按照退货处理，产生所有后果自行承担。</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19、操作系统满足《九江市教育考试中心关于开展2027年初中学业水平考试地理、生物机考考点摸排工作的通知》（九教考字〔2026〕1号）的要求。</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b/>
                <w:bCs/>
                <w:i w:val="0"/>
                <w:iCs w:val="0"/>
                <w:color w:val="000000"/>
                <w:kern w:val="0"/>
                <w:sz w:val="24"/>
                <w:szCs w:val="24"/>
                <w:u w:val="none"/>
                <w:lang w:val="en-US" w:eastAsia="zh-CN" w:bidi="ar"/>
              </w:rPr>
              <w:t>▲注：须提供国家确定的认证机构出具的、处于有效期之内的节能产品认证证书扫描件加盖投标人公章并在开标一览明细表中列出所投设备品牌及型号，否则作无效投标处理。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lang w:val="en-US"/>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笔记本电脑</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1、CPU：国产处理器，核心数≥8，最高主频≥2.8GHz，CPU最高支持内存速度≥3200MT/s。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2、内存：配置≥16GDDR43200MT/s内存，双内存插槽。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3、硬盘：配置≥512GM.2NVMe固态硬盘。</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4、规格：配置14吋IPS屏幕。</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5、屏幕：像素密度≥161像素/英寸，屏幕响应时间≤25ms，亮度不低于300尼特。</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6、摄像头：配置≥200万像素摄像头，具备物理遮挡功能。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7、USB接口：提供≥5个USB接口（包含Type-C）；其中USB3.0协议接口≥4个。</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8、网卡：集成1个RJ45自适应1000M以太网卡。</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9、Wifi：标配支持WIFI6无线网卡，支持BT5.2。</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10、隐私开关：支持一键关闭摄像头、Wifi、Mic功能。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11、开机键：指纹开机二合一按键。</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12、电池：能量≥70Wh。</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13、适配器：≥65WType-C适配器，支持PD快充。</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14、整机重量（不含适配器）≤1.4KG，最大厚度（不含脚垫）≤16.8mm。</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15、系统备份：提供基于BIOS固件系统备份还原功能。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16、USB控制：USB外设屏蔽功能，支持设定USB存储设备只读、禁止访问、读写权限。</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服务保障：</w:t>
            </w:r>
            <w:r>
              <w:rPr>
                <w:rFonts w:hint="eastAsia" w:asciiTheme="minorEastAsia" w:hAnsiTheme="minorEastAsia" w:eastAsiaTheme="minorEastAsia" w:cstheme="minorEastAsia"/>
                <w:b/>
                <w:bCs/>
                <w:sz w:val="24"/>
                <w:szCs w:val="24"/>
                <w:lang w:val="en-US" w:eastAsia="zh-CN"/>
              </w:rPr>
              <w:t>整机三年质保，三年上门服务售后服务，提供针对本项目的承诺函</w:t>
            </w:r>
            <w:r>
              <w:rPr>
                <w:rFonts w:hint="eastAsia" w:asciiTheme="minorEastAsia" w:hAnsiTheme="minorEastAsia" w:eastAsiaTheme="minorEastAsia" w:cstheme="minorEastAsia"/>
                <w:sz w:val="24"/>
                <w:szCs w:val="24"/>
                <w:lang w:val="en-US" w:eastAsia="zh-CN"/>
              </w:rPr>
              <w:t>；</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17、操作系统满足《九江市教育考试中心关于开展2027年初中学业水平考试地理、生物机考考点摸排工作的通知》（九教考字〔2026〕1号）的要求。</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b/>
                <w:bCs/>
                <w:i w:val="0"/>
                <w:iCs w:val="0"/>
                <w:color w:val="000000"/>
                <w:kern w:val="0"/>
                <w:sz w:val="24"/>
                <w:szCs w:val="24"/>
                <w:u w:val="none"/>
                <w:lang w:val="en-US" w:eastAsia="zh-CN" w:bidi="ar"/>
              </w:rPr>
              <w:t>▲注：须提供国家确定的认证机构出具的、处于有效期之内的节能产品认证证书扫描件加盖投标人公章并在开标一览明细表中列出所投设备品牌及型号，否则作无效投标处理。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snapToGrid w:val="0"/>
                <w:color w:val="000000"/>
                <w:kern w:val="0"/>
                <w:sz w:val="24"/>
                <w:szCs w:val="24"/>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snapToGrid w:val="0"/>
                <w:color w:val="000000"/>
                <w:kern w:val="0"/>
                <w:sz w:val="24"/>
                <w:szCs w:val="24"/>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国产操作系统（三年授权）</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1、支持主流国产CPU。</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2、支持多种开发语言。</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3、支持打印机、扫描仪、投影仪、摄像头等各类外设设备。</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4、系统支持备份和恢复，支持对数据文件的备份和恢复、支持对系统分区的备份和恢复。</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5、支持业界主流的浏览器内核技术。</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6、提供三年授权。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打印机</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1、彩色喷墨多功能一体机 (打印，复印，扫描)</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2、标配自动双面打印</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3、内存容量（标准）</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en-US"/>
              </w:rPr>
              <w:t>：128MB</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4、自动进稿器ADF</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en-US"/>
              </w:rPr>
              <w:t>20页</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5、标配80页后进纸，150页全封闭纸盒</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6、一行中英文液晶显示</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7、打印速度黑白</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en-US"/>
              </w:rPr>
              <w:t>30ppm，彩色</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en-US"/>
              </w:rPr>
              <w:t>26ppm</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8、支持有线/无线打印功能</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9、打印分辨率：最高达1200×6000dpi</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10、直通纸道设计</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11、2合1身份证复印</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12、微信小程序直连，支持远程打印</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13、黑色打印量约为*7,500页，彩色打印量约为*5,000页。</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en-US"/>
              </w:rPr>
            </w:pPr>
            <w:r>
              <w:rPr>
                <w:rFonts w:hint="eastAsia" w:asciiTheme="minorEastAsia" w:hAnsiTheme="minorEastAsia" w:eastAsiaTheme="minorEastAsia" w:cstheme="minorEastAsia"/>
                <w:sz w:val="24"/>
                <w:szCs w:val="24"/>
                <w:lang w:val="en-US" w:eastAsia="en-US"/>
              </w:rPr>
              <w:t>14、打印引擎</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lang w:val="en-US" w:eastAsia="en-US"/>
              </w:rPr>
              <w:t>微压电喷墨</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en-US"/>
              </w:rPr>
              <w:t>15、</w:t>
            </w:r>
            <w:r>
              <w:rPr>
                <w:rFonts w:hint="eastAsia" w:asciiTheme="minorEastAsia" w:hAnsiTheme="minorEastAsia" w:eastAsiaTheme="minorEastAsia" w:cstheme="minorEastAsia"/>
                <w:b/>
                <w:bCs/>
                <w:sz w:val="24"/>
                <w:szCs w:val="24"/>
                <w:lang w:val="en-US" w:eastAsia="en-US"/>
              </w:rPr>
              <w:t>整机原厂2年保修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lang w:eastAsia="zh-CN"/>
              </w:rPr>
            </w:pPr>
            <w:r>
              <w:rPr>
                <w:rFonts w:hint="eastAsia" w:asciiTheme="minorEastAsia" w:hAnsiTheme="minorEastAsia" w:eastAsiaTheme="minorEastAsia" w:cstheme="minorEastAsia"/>
                <w:color w:val="auto"/>
                <w:sz w:val="24"/>
                <w:szCs w:val="24"/>
                <w:highlight w:val="none"/>
                <w:lang w:val="en-US" w:eastAsia="zh-CN"/>
              </w:rPr>
              <w:t>复印机</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彩色复印/打印/扫描/互联网传真</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千兆网打印/扫描；A4彩色打印速度：≥25页/分钟；预热时间：20秒或以下，首页输出时间：黑白6.8/彩色8.4秒；CPU为四核1.6GHz，内存容量（标准/最大）：6GB+8GB（uSD），可选购256GB固态硬盘；打印分辨率1800dpi*600dpi；标配容量为130页的自动双面输稿器，扫描速度≥55opm（300dpi）；7英寸触摸屏，带智能终端触控的操作面板；标配纸容量≥1100页，最大纸容量：3600页；最大原稿尺寸：A3，输出纸张尺寸：A5-A3，B6，A6，长纸：1200mm*297mm，纸张克重：60-256gsm；可选购无线网卡，生物静脉认证及文印管理解决方案等；</w:t>
            </w:r>
            <w:r>
              <w:rPr>
                <w:rFonts w:hint="eastAsia" w:asciiTheme="minorEastAsia" w:hAnsiTheme="minorEastAsia" w:eastAsiaTheme="minorEastAsia" w:cstheme="minorEastAsia"/>
                <w:b/>
                <w:bCs/>
                <w:sz w:val="24"/>
                <w:szCs w:val="24"/>
              </w:rPr>
              <w:t>标配3年原厂保修服务</w:t>
            </w:r>
            <w:r>
              <w:rPr>
                <w:rFonts w:hint="eastAsia" w:asciiTheme="minorEastAsia" w:hAnsiTheme="minorEastAsia" w:eastAsiaTheme="minorEastAsia" w:cstheme="minorEastAsia"/>
                <w:sz w:val="24"/>
                <w:szCs w:val="24"/>
              </w:rPr>
              <w:t>，提供更换原厂正品零件</w:t>
            </w:r>
            <w:r>
              <w:rPr>
                <w:rFonts w:hint="eastAsia" w:asciiTheme="minorEastAsia" w:hAnsiTheme="minorEastAsia" w:eastAsiaTheme="minorEastAsia" w:cstheme="minorEastAsia"/>
                <w:sz w:val="24"/>
                <w:szCs w:val="24"/>
                <w:lang w:eastAsia="zh-CN"/>
              </w:rPr>
              <w:t>（不另行收费）</w:t>
            </w:r>
            <w:r>
              <w:rPr>
                <w:rFonts w:hint="eastAsia" w:asciiTheme="minorEastAsia" w:hAnsiTheme="minorEastAsia" w:eastAsiaTheme="minorEastAsia" w:cstheme="minorEastAsia"/>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default" w:asciiTheme="minorEastAsia" w:hAnsiTheme="minorEastAsia" w:eastAsiaTheme="minorEastAsia" w:cstheme="minorEastAsia"/>
                <w:i w:val="0"/>
                <w:iCs w:val="0"/>
                <w:snapToGrid w:val="0"/>
                <w:color w:val="000000"/>
                <w:kern w:val="0"/>
                <w:sz w:val="24"/>
                <w:szCs w:val="24"/>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摄像机</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影像系统</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传感器：1/1.1 英寸方形 CMOS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有效像素：4800万（拍照）/1200万（录像）</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光圈：f/2.0- f/4.0可变光圈</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视角：155°超广角</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对焦：定焦，f/4.0</w:t>
            </w:r>
            <w:r>
              <w:rPr>
                <w:rFonts w:hint="eastAsia" w:asciiTheme="minorEastAsia" w:hAnsiTheme="minorEastAsia" w:eastAsiaTheme="minorEastAsia" w:cstheme="minorEastAsia"/>
                <w:sz w:val="24"/>
                <w:szCs w:val="24"/>
                <w:lang w:eastAsia="zh-CN"/>
              </w:rPr>
              <w:t>吋</w:t>
            </w:r>
            <w:r>
              <w:rPr>
                <w:rFonts w:hint="eastAsia" w:asciiTheme="minorEastAsia" w:hAnsiTheme="minorEastAsia" w:eastAsiaTheme="minorEastAsia" w:cstheme="minorEastAsia"/>
                <w:sz w:val="24"/>
                <w:szCs w:val="24"/>
              </w:rPr>
              <w:t>0.2m 至无穷远</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HDR：13.5档高动态范围</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视频规格</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4K 自由裁切：3840×3840 @24/25/30/48/50/60fps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4K (16:9)：3840×2160 @24/25/30/48/50/60/100/120fps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2.7K：2688×1512 @24/25/30/48/50/60fps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1080p：最高240fps（慢动作）</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编码：H.264,H.265 (HEVC)</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拍照参数</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分辨率：最高 8000×6000 (48MP)</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连拍：最高 30 张/3秒</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ISO：拍照 100-25600；录像100-51200</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快门：1/8000s~30s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屏幕与防抖</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前屏：≧1.4 英寸 OLED，300ppi</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后主屏：≧2.25 英寸 OLED，1080nits 高亮</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防抖：超强增稳 3.0+，4K地平线增稳/校正</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续航与防护</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电池：1950mAh，单块续航约 240 分钟 (1080p/30fps)</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防水：裸机 20 米，加壳 60 米</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工作温度：-10°C~40°C</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存储与连接</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存储：Micro SD卡，最高 512GB</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无线：Wi-Fi 6, Bluetooth 5.1</w:t>
            </w:r>
            <w:r>
              <w:rPr>
                <w:rFonts w:hint="eastAsia" w:asciiTheme="minorEastAsia" w:hAnsiTheme="minorEastAsia" w:eastAsiaTheme="minorEastAsia" w:cstheme="minorEastAsia"/>
                <w:sz w:val="24"/>
                <w:szCs w:val="24"/>
                <w:lang w:val="en-US" w:eastAsia="zh-CN"/>
              </w:rPr>
              <w:t xml:space="preserve"> </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参考图片：</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drawing>
                <wp:anchor distT="0" distB="0" distL="114300" distR="114300" simplePos="0" relativeHeight="251659264" behindDoc="0" locked="0" layoutInCell="1" allowOverlap="1">
                  <wp:simplePos x="0" y="0"/>
                  <wp:positionH relativeFrom="column">
                    <wp:posOffset>124460</wp:posOffset>
                  </wp:positionH>
                  <wp:positionV relativeFrom="paragraph">
                    <wp:posOffset>158750</wp:posOffset>
                  </wp:positionV>
                  <wp:extent cx="1687195" cy="1396365"/>
                  <wp:effectExtent l="0" t="0" r="8255" b="13335"/>
                  <wp:wrapNone/>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4"/>
                          <a:stretch>
                            <a:fillRect/>
                          </a:stretch>
                        </pic:blipFill>
                        <pic:spPr>
                          <a:xfrm>
                            <a:off x="0" y="0"/>
                            <a:ext cx="1687195" cy="1396365"/>
                          </a:xfrm>
                          <a:prstGeom prst="rect">
                            <a:avLst/>
                          </a:prstGeom>
                          <a:noFill/>
                          <a:ln w="9525">
                            <a:noFill/>
                          </a:ln>
                        </pic:spPr>
                      </pic:pic>
                    </a:graphicData>
                  </a:graphic>
                </wp:anchor>
              </w:drawing>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440" w:lineRule="exact"/>
            </w:pPr>
          </w:p>
          <w:p>
            <w:pPr>
              <w:keepNext w:val="0"/>
              <w:keepLines w:val="0"/>
              <w:pageBreakBefore w:val="0"/>
              <w:widowControl/>
              <w:kinsoku w:val="0"/>
              <w:wordWrap/>
              <w:overflowPunct/>
              <w:topLinePunct w:val="0"/>
              <w:autoSpaceDE w:val="0"/>
              <w:autoSpaceDN w:val="0"/>
              <w:bidi w:val="0"/>
              <w:adjustRightInd w:val="0"/>
              <w:snapToGrid w:val="0"/>
              <w:spacing w:line="440" w:lineRule="exact"/>
            </w:pPr>
          </w:p>
          <w:p>
            <w:pPr>
              <w:keepNext w:val="0"/>
              <w:keepLines w:val="0"/>
              <w:pageBreakBefore w:val="0"/>
              <w:widowControl/>
              <w:kinsoku w:val="0"/>
              <w:wordWrap/>
              <w:overflowPunct/>
              <w:topLinePunct w:val="0"/>
              <w:autoSpaceDE w:val="0"/>
              <w:autoSpaceDN w:val="0"/>
              <w:bidi w:val="0"/>
              <w:adjustRightInd w:val="0"/>
              <w:snapToGrid w:val="0"/>
              <w:spacing w:line="440" w:lineRule="exact"/>
            </w:pP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jc w:val="center"/>
        </w:trPr>
        <w:tc>
          <w:tcPr>
            <w:tcW w:w="348"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default" w:asciiTheme="minorEastAsia" w:hAnsiTheme="minorEastAsia" w:eastAsiaTheme="minorEastAsia" w:cstheme="minorEastAsia"/>
                <w:i w:val="0"/>
                <w:iCs w:val="0"/>
                <w:snapToGrid w:val="0"/>
                <w:color w:val="000000"/>
                <w:kern w:val="0"/>
                <w:sz w:val="24"/>
                <w:szCs w:val="24"/>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w:t>
            </w:r>
          </w:p>
        </w:tc>
        <w:tc>
          <w:tcPr>
            <w:tcW w:w="620" w:type="pct"/>
            <w:noWrap w:val="0"/>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智能航拍设备</w:t>
            </w:r>
          </w:p>
        </w:tc>
        <w:tc>
          <w:tcPr>
            <w:tcW w:w="4030" w:type="pct"/>
            <w:noWrap w:val="0"/>
            <w:vAlign w:val="center"/>
          </w:tcPr>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CMOS:1英寸，有效像素：5000W，内置内存：42G，最大光圈：F1.8,重量：起飞重量：≧310克。天线：四天线，二发四收。</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上升速度：≧每秒10米，降落速度：≧每秒8米（用长续航电池），≧每秒6米（用智能飞行电池）水平飞行速度（海平面附近无风）:≧19米／秒（运动挡，用长续航电池）,≧18米／秒（运动挡，用智能飞行电池）,≧15米／秒（跟随模式）</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抗风：≧12米每秒。倾斜角度：≧38°。工作温度：-10℃至40℃</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续航时间和最大续航里程：用智能飞行电池不少于36分钟21公里，用长续航电池不少于52分钟32公里</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视频规格：14级动态范围，4K/60fps HDR,4K/120fps 慢动作，支持旋转、渐远、环绕、螺旋、冲天、彗星、小行星，全景模式等智能拍摄。</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云台：支持225°云台旋转，支持90°无损竖拍，支持55°仰拍</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焦点跟随：主体跟焦，全向智能跟随（新增标准、骑行场景）、聚焦、环绕</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避障：夜景级全向主动避障，配备前视激光雷达1 Lux夜景级全向主动避障（上／下／左／右／前／后方）智能返航：新一代智能返航，光照条件良好时能记忆飞行路线。即使没卫星信号也能自信起飞安全返航卫星导航系统：GPS +Galileo+ BeiDou。最远图传距离：20公里（FCC),10公里（CE/SRRC/MIC)</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配件清单：内置增强图传模组,1年期增强图传服务（含 30GB流量）、RC 2 遥控器（带屏幕）、智能飞行电池x3,USB-C至USB-C数据线、收纳保护罩、双向充电管家、单肩包、ND 镜套装（ND8/32/128),备用螺旋桨（对）*3)、长续航智能飞行电池x3、单独≧128G 高速卡和1年保险</w:t>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参考图片：</w:t>
            </w:r>
          </w:p>
          <w:p>
            <w:pPr>
              <w:pStyle w:val="2"/>
              <w:rPr>
                <w:rFonts w:hint="eastAsia" w:asciiTheme="minorEastAsia" w:hAnsiTheme="minorEastAsia" w:eastAsiaTheme="minorEastAsia" w:cstheme="minorEastAsia"/>
                <w:sz w:val="24"/>
                <w:szCs w:val="24"/>
                <w:lang w:val="en-US" w:eastAsia="zh-CN"/>
              </w:rPr>
            </w:pPr>
            <w:r>
              <w:drawing>
                <wp:inline distT="0" distB="0" distL="114300" distR="114300">
                  <wp:extent cx="2054225" cy="1621155"/>
                  <wp:effectExtent l="0" t="0" r="3175" b="17145"/>
                  <wp:docPr id="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pic:cNvPicPr>
                            <a:picLocks noChangeAspect="1"/>
                          </pic:cNvPicPr>
                        </pic:nvPicPr>
                        <pic:blipFill>
                          <a:blip r:embed="rId5"/>
                          <a:stretch>
                            <a:fillRect/>
                          </a:stretch>
                        </pic:blipFill>
                        <pic:spPr>
                          <a:xfrm>
                            <a:off x="0" y="0"/>
                            <a:ext cx="2054225" cy="1621155"/>
                          </a:xfrm>
                          <a:prstGeom prst="rect">
                            <a:avLst/>
                          </a:prstGeom>
                          <a:noFill/>
                          <a:ln w="9525">
                            <a:noFill/>
                          </a:ln>
                        </pic:spPr>
                      </pic:pic>
                    </a:graphicData>
                  </a:graphic>
                </wp:inline>
              </w:drawing>
            </w:r>
          </w:p>
          <w:p>
            <w:pPr>
              <w:keepNext w:val="0"/>
              <w:keepLines w:val="0"/>
              <w:pageBreakBefore w:val="0"/>
              <w:widowControl/>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sz w:val="24"/>
                <w:szCs w:val="24"/>
              </w:rPr>
            </w:pPr>
          </w:p>
        </w:tc>
      </w:tr>
    </w:tbl>
    <w:p>
      <w:pPr>
        <w:pageBreakBefore w:val="0"/>
        <w:widowControl w:val="0"/>
        <w:wordWrap/>
        <w:overflowPunct/>
        <w:topLinePunct w:val="0"/>
        <w:bidi w:val="0"/>
        <w:spacing w:line="242" w:lineRule="auto"/>
        <w:rPr>
          <w:color w:val="auto"/>
          <w:highlight w:val="none"/>
        </w:rPr>
      </w:pP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宋体" w:hAnsi="宋体" w:eastAsia="宋体" w:cs="宋体"/>
          <w:b/>
          <w:bCs/>
          <w:sz w:val="28"/>
          <w:szCs w:val="28"/>
          <w:highlight w:val="none"/>
        </w:rPr>
        <w:t>注：</w:t>
      </w: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供应商所投台式计算机必须满足财政部、工业和信息化部制定的《台式计算机政府采购需求标准（2023 年版）》中加“*”指标的要求</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CPU、操作系统符合安全可靠测评要求。</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供应商所投便携式计算机必须满足财政部、工业和信息化部制定的《便携式计算机政府采购需求标准（2023 年版）》中加“*”指标的要求。</w:t>
      </w:r>
      <w:r>
        <w:rPr>
          <w:rFonts w:hint="eastAsia" w:asciiTheme="minorEastAsia" w:hAnsiTheme="minorEastAsia" w:eastAsiaTheme="minorEastAsia" w:cstheme="minorEastAsia"/>
          <w:color w:val="auto"/>
          <w:sz w:val="24"/>
          <w:szCs w:val="24"/>
          <w:highlight w:val="none"/>
          <w:lang w:val="en-US" w:eastAsia="zh-CN"/>
        </w:rPr>
        <w:t>CPU、操作系统符合安全可靠测评要求。</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▲③供应商所投操作系统必须满足财政部、工业和信息化部制定的《操作系统政府采购需求标准（2023年版）》中加“*”指标的要求；</w:t>
      </w:r>
      <w:r>
        <w:rPr>
          <w:rFonts w:hint="eastAsia" w:asciiTheme="minorEastAsia" w:hAnsiTheme="minorEastAsia" w:eastAsiaTheme="minorEastAsia" w:cstheme="minorEastAsia"/>
          <w:color w:val="auto"/>
          <w:sz w:val="24"/>
          <w:szCs w:val="24"/>
          <w:highlight w:val="none"/>
          <w:lang w:val="en-US" w:eastAsia="zh-CN"/>
        </w:rPr>
        <w:t>操作系统符合安全可靠测评要求。</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若上述参数与加“*”指标有不一致的，以两参数中标准更高的参数作为响应项（响应本条参数即可）</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hOWFlYzc3MjEwYWQ4MGIzM2E3MGUxNmVmYTJiMzkifQ=="/>
  </w:docVars>
  <w:rsids>
    <w:rsidRoot w:val="464B004A"/>
    <w:rsid w:val="464B00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First Indent"/>
    <w:basedOn w:val="1"/>
    <w:next w:val="1"/>
    <w:qFormat/>
    <w:uiPriority w:val="0"/>
    <w:pPr>
      <w:ind w:firstLine="420" w:firstLineChars="1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3219</Words>
  <Characters>4062</Characters>
  <Lines>0</Lines>
  <Paragraphs>0</Paragraphs>
  <TotalTime>0</TotalTime>
  <ScaleCrop>false</ScaleCrop>
  <LinksUpToDate>false</LinksUpToDate>
  <CharactersWithSpaces>4126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2026-05-13T09:43:00Z</dcterms:created>
  <dc:creator>Dramaจุ๊บ</dc:creator>
  <cp:lastModifiedBy>Dramaจุ๊บ</cp:lastModifiedBy>
  <dcterms:modified xsi:type="dcterms:W3CDTF">2026-05-13T09:43:54Z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8F41DC78A8A94ACDB6840688780EC183_11</vt:lpwstr>
  </property>
</Properties>
</file>