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63" w:line="224" w:lineRule="auto"/>
        <w:jc w:val="center"/>
        <w:rPr>
          <w:color w:val="auto"/>
          <w:spacing w:val="0"/>
          <w:w w:val="100"/>
          <w:position w:val="0"/>
          <w:highlight w:val="none"/>
          <w:lang w:eastAsia="zh-CN"/>
        </w:rPr>
      </w:pP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货物需求表及采购需求</w:t>
      </w:r>
    </w:p>
    <w:p>
      <w:pPr>
        <w:pageBreakBefore w:val="0"/>
        <w:widowControl w:val="0"/>
        <w:wordWrap/>
        <w:overflowPunct/>
        <w:topLinePunct w:val="0"/>
        <w:bidi w:val="0"/>
        <w:spacing w:before="78" w:line="220" w:lineRule="auto"/>
        <w:outlineLvl w:val="1"/>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p>
    <w:p>
      <w:pPr>
        <w:pageBreakBefore w:val="0"/>
        <w:widowControl w:val="0"/>
        <w:wordWrap/>
        <w:overflowPunct/>
        <w:topLinePunct w:val="0"/>
        <w:bidi w:val="0"/>
        <w:spacing w:before="78" w:line="220" w:lineRule="auto"/>
        <w:outlineLvl w:val="1"/>
        <w:rPr>
          <w:color w:val="auto"/>
          <w:spacing w:val="0"/>
          <w:w w:val="100"/>
          <w:position w:val="0"/>
          <w:highlight w:val="none"/>
        </w:rPr>
      </w:pP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需求表</w:t>
      </w:r>
    </w:p>
    <w:tbl>
      <w:tblPr>
        <w:tblStyle w:val="7"/>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92" w:hRule="atLeast"/>
        </w:trPr>
        <w:tc>
          <w:tcPr>
            <w:tcW w:w="1737" w:type="dxa"/>
            <w:tcBorders>
              <w:right w:val="nil"/>
            </w:tcBorders>
          </w:tcPr>
          <w:p>
            <w:pPr>
              <w:pageBreakBefore w:val="0"/>
              <w:widowControl w:val="0"/>
              <w:wordWrap/>
              <w:overflowPunct/>
              <w:topLinePunct w:val="0"/>
              <w:bidi w:val="0"/>
              <w:spacing w:before="183" w:line="223" w:lineRule="auto"/>
              <w:ind w:left="1091"/>
              <w:rPr>
                <w:rFonts w:ascii="宋体" w:hAnsi="宋体" w:eastAsia="宋体" w:cs="宋体"/>
                <w:color w:val="auto"/>
                <w:spacing w:val="0"/>
                <w:w w:val="100"/>
                <w:position w:val="0"/>
                <w:sz w:val="24"/>
                <w:szCs w:val="24"/>
                <w:highlight w:val="none"/>
              </w:rPr>
            </w:pPr>
            <w:bookmarkStart w:id="2" w:name="_GoBack"/>
            <w:r>
              <w:rPr>
                <w:color w:val="auto"/>
                <w:spacing w:val="0"/>
                <w:w w:val="100"/>
                <w:position w:val="0"/>
                <w:highlight w:val="none"/>
              </w:rPr>
              <w:drawing>
                <wp:anchor distT="0" distB="0" distL="0" distR="0" simplePos="0" relativeHeight="251680768"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67840" cy="1456690"/>
                          </a:xfrm>
                          <a:prstGeom prst="rect">
                            <a:avLst/>
                          </a:prstGeom>
                        </pic:spPr>
                      </pic:pic>
                    </a:graphicData>
                  </a:graphic>
                </wp:anchor>
              </w:drawing>
            </w:r>
            <w:bookmarkEnd w:id="2"/>
            <w:r>
              <w:rPr>
                <w:rFonts w:ascii="宋体" w:hAnsi="宋体" w:eastAsia="宋体" w:cs="宋体"/>
                <w:color w:val="auto"/>
                <w:spacing w:val="0"/>
                <w:w w:val="100"/>
                <w:position w:val="0"/>
                <w:sz w:val="24"/>
                <w:szCs w:val="24"/>
                <w:highlight w:val="none"/>
              </w:rPr>
              <w:t>名</w:t>
            </w:r>
          </w:p>
          <w:p>
            <w:pPr>
              <w:pStyle w:val="8"/>
              <w:pageBreakBefore w:val="0"/>
              <w:widowControl w:val="0"/>
              <w:wordWrap/>
              <w:overflowPunct/>
              <w:topLinePunct w:val="0"/>
              <w:bidi w:val="0"/>
              <w:spacing w:line="245" w:lineRule="auto"/>
              <w:rPr>
                <w:color w:val="auto"/>
                <w:spacing w:val="0"/>
                <w:w w:val="100"/>
                <w:position w:val="0"/>
                <w:highlight w:val="none"/>
              </w:rPr>
            </w:pPr>
          </w:p>
          <w:p>
            <w:pPr>
              <w:pStyle w:val="8"/>
              <w:pageBreakBefore w:val="0"/>
              <w:widowControl w:val="0"/>
              <w:wordWrap/>
              <w:overflowPunct/>
              <w:topLinePunct w:val="0"/>
              <w:bidi w:val="0"/>
              <w:spacing w:line="246" w:lineRule="auto"/>
              <w:rPr>
                <w:color w:val="auto"/>
                <w:spacing w:val="0"/>
                <w:w w:val="100"/>
                <w:position w:val="0"/>
                <w:highlight w:val="none"/>
              </w:rPr>
            </w:pPr>
          </w:p>
          <w:p>
            <w:pPr>
              <w:pageBreakBefore w:val="0"/>
              <w:widowControl w:val="0"/>
              <w:wordWrap/>
              <w:overflowPunct/>
              <w:topLinePunct w:val="0"/>
              <w:bidi w:val="0"/>
              <w:spacing w:before="78" w:line="219" w:lineRule="auto"/>
              <w:ind w:left="48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内</w:t>
            </w:r>
          </w:p>
          <w:p>
            <w:pPr>
              <w:pStyle w:val="8"/>
              <w:pageBreakBefore w:val="0"/>
              <w:widowControl w:val="0"/>
              <w:wordWrap/>
              <w:overflowPunct/>
              <w:topLinePunct w:val="0"/>
              <w:bidi w:val="0"/>
              <w:spacing w:line="338" w:lineRule="auto"/>
              <w:rPr>
                <w:color w:val="auto"/>
                <w:spacing w:val="0"/>
                <w:w w:val="100"/>
                <w:position w:val="0"/>
                <w:highlight w:val="none"/>
              </w:rPr>
            </w:pPr>
          </w:p>
          <w:p>
            <w:pPr>
              <w:pageBreakBefore w:val="0"/>
              <w:widowControl w:val="0"/>
              <w:wordWrap/>
              <w:overflowPunct/>
              <w:topLinePunct w:val="0"/>
              <w:bidi w:val="0"/>
              <w:spacing w:before="78" w:line="220" w:lineRule="auto"/>
              <w:ind w:left="131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容</w:t>
            </w:r>
          </w:p>
        </w:tc>
        <w:tc>
          <w:tcPr>
            <w:tcW w:w="1101" w:type="dxa"/>
            <w:tcBorders>
              <w:left w:val="nil"/>
            </w:tcBorders>
          </w:tcPr>
          <w:p>
            <w:pPr>
              <w:pStyle w:val="8"/>
              <w:pageBreakBefore w:val="0"/>
              <w:widowControl w:val="0"/>
              <w:wordWrap/>
              <w:overflowPunct/>
              <w:topLinePunct w:val="0"/>
              <w:bidi w:val="0"/>
              <w:spacing w:line="263" w:lineRule="auto"/>
              <w:rPr>
                <w:color w:val="auto"/>
                <w:spacing w:val="0"/>
                <w:w w:val="100"/>
                <w:position w:val="0"/>
                <w:highlight w:val="none"/>
              </w:rPr>
            </w:pPr>
          </w:p>
          <w:p>
            <w:pPr>
              <w:pStyle w:val="8"/>
              <w:pageBreakBefore w:val="0"/>
              <w:widowControl w:val="0"/>
              <w:wordWrap/>
              <w:overflowPunct/>
              <w:topLinePunct w:val="0"/>
              <w:bidi w:val="0"/>
              <w:spacing w:line="263" w:lineRule="auto"/>
              <w:rPr>
                <w:color w:val="auto"/>
                <w:spacing w:val="0"/>
                <w:w w:val="100"/>
                <w:position w:val="0"/>
                <w:highlight w:val="none"/>
              </w:rPr>
            </w:pPr>
          </w:p>
          <w:p>
            <w:pPr>
              <w:pStyle w:val="8"/>
              <w:pageBreakBefore w:val="0"/>
              <w:widowControl w:val="0"/>
              <w:wordWrap/>
              <w:overflowPunct/>
              <w:topLinePunct w:val="0"/>
              <w:bidi w:val="0"/>
              <w:spacing w:line="264" w:lineRule="auto"/>
              <w:rPr>
                <w:color w:val="auto"/>
                <w:spacing w:val="0"/>
                <w:w w:val="100"/>
                <w:position w:val="0"/>
                <w:highlight w:val="none"/>
              </w:rPr>
            </w:pPr>
          </w:p>
          <w:p>
            <w:pPr>
              <w:pageBreakBefore w:val="0"/>
              <w:widowControl w:val="0"/>
              <w:wordWrap/>
              <w:overflowPunct/>
              <w:topLinePunct w:val="0"/>
              <w:bidi w:val="0"/>
              <w:spacing w:before="78" w:line="221" w:lineRule="auto"/>
              <w:ind w:left="192"/>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称</w:t>
            </w:r>
          </w:p>
        </w:tc>
        <w:tc>
          <w:tcPr>
            <w:tcW w:w="6263" w:type="dxa"/>
          </w:tcPr>
          <w:p>
            <w:pPr>
              <w:pStyle w:val="8"/>
              <w:pageBreakBefore w:val="0"/>
              <w:widowControl w:val="0"/>
              <w:wordWrap/>
              <w:overflowPunct/>
              <w:topLinePunct w:val="0"/>
              <w:bidi w:val="0"/>
              <w:rPr>
                <w:color w:val="auto"/>
                <w:highlight w:val="none"/>
              </w:rPr>
            </w:pPr>
          </w:p>
          <w:p>
            <w:pPr>
              <w:bidi w:val="0"/>
              <w:rPr>
                <w:color w:val="auto"/>
                <w:highlight w:val="none"/>
              </w:rPr>
            </w:pPr>
          </w:p>
          <w:p>
            <w:pPr>
              <w:bidi w:val="0"/>
              <w:rPr>
                <w:color w:val="auto"/>
                <w:highlight w:val="none"/>
              </w:rPr>
            </w:pPr>
          </w:p>
          <w:p>
            <w:pPr>
              <w:bidi w:val="0"/>
              <w:rPr>
                <w:color w:val="auto"/>
                <w:highlight w:val="none"/>
              </w:rPr>
            </w:pPr>
          </w:p>
          <w:p>
            <w:pPr>
              <w:bidi w:val="0"/>
              <w:jc w:val="center"/>
              <w:rPr>
                <w:color w:val="auto"/>
                <w:highlight w:val="none"/>
              </w:rPr>
            </w:pPr>
            <w:r>
              <w:rPr>
                <w:rFonts w:ascii="宋体" w:hAnsi="宋体" w:eastAsia="宋体" w:cs="宋体"/>
                <w:color w:val="auto"/>
                <w:spacing w:val="0"/>
                <w:w w:val="100"/>
                <w:position w:val="0"/>
                <w:sz w:val="24"/>
                <w:szCs w:val="24"/>
                <w:highlight w:val="none"/>
              </w:rPr>
              <w:t>遂川县城西学校建设项目深化装修及设备（安防广播系统）采购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1" w:hRule="atLeast"/>
        </w:trPr>
        <w:tc>
          <w:tcPr>
            <w:tcW w:w="2838" w:type="dxa"/>
            <w:gridSpan w:val="2"/>
          </w:tcPr>
          <w:p>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数量</w:t>
            </w:r>
          </w:p>
        </w:tc>
        <w:tc>
          <w:tcPr>
            <w:tcW w:w="6263" w:type="dxa"/>
            <w:vAlign w:val="center"/>
          </w:tcPr>
          <w:p>
            <w:pPr>
              <w:pStyle w:val="8"/>
              <w:pageBreakBefore w:val="0"/>
              <w:widowControl w:val="0"/>
              <w:wordWrap/>
              <w:overflowPunct/>
              <w:topLinePunct w:val="0"/>
              <w:bidi w:val="0"/>
              <w:jc w:val="center"/>
              <w:rPr>
                <w:rFonts w:hint="default"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1批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1" w:hRule="atLeast"/>
        </w:trPr>
        <w:tc>
          <w:tcPr>
            <w:tcW w:w="2838" w:type="dxa"/>
            <w:gridSpan w:val="2"/>
          </w:tcPr>
          <w:p>
            <w:pPr>
              <w:pageBreakBefore w:val="0"/>
              <w:widowControl w:val="0"/>
              <w:wordWrap/>
              <w:overflowPunct/>
              <w:topLinePunct w:val="0"/>
              <w:bidi w:val="0"/>
              <w:spacing w:before="253" w:line="219" w:lineRule="auto"/>
              <w:ind w:left="107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交货期</w:t>
            </w:r>
          </w:p>
        </w:tc>
        <w:tc>
          <w:tcPr>
            <w:tcW w:w="6263" w:type="dxa"/>
            <w:vAlign w:val="center"/>
          </w:tcPr>
          <w:p>
            <w:pPr>
              <w:pStyle w:val="8"/>
              <w:pageBreakBefore w:val="0"/>
              <w:widowControl w:val="0"/>
              <w:wordWrap/>
              <w:overflowPunct/>
              <w:topLinePunct w:val="0"/>
              <w:bidi w:val="0"/>
              <w:jc w:val="center"/>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合同签订生效之日起120日内供货安装调试完毕并交付使用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38" w:type="dxa"/>
            <w:gridSpan w:val="2"/>
          </w:tcPr>
          <w:p>
            <w:pPr>
              <w:pageBreakBefore w:val="0"/>
              <w:widowControl w:val="0"/>
              <w:wordWrap/>
              <w:overflowPunct/>
              <w:topLinePunct w:val="0"/>
              <w:bidi w:val="0"/>
              <w:spacing w:before="256" w:line="219"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交货地点</w:t>
            </w:r>
          </w:p>
        </w:tc>
        <w:tc>
          <w:tcPr>
            <w:tcW w:w="6263" w:type="dxa"/>
            <w:vAlign w:val="center"/>
          </w:tcPr>
          <w:p>
            <w:pPr>
              <w:keepNext w:val="0"/>
              <w:keepLines w:val="0"/>
              <w:widowControl/>
              <w:suppressLineNumbers w:val="0"/>
              <w:jc w:val="center"/>
              <w:rPr>
                <w:color w:val="auto"/>
                <w:spacing w:val="0"/>
                <w:w w:val="100"/>
                <w:position w:val="0"/>
                <w:highlight w:val="none"/>
              </w:rPr>
            </w:pPr>
            <w:r>
              <w:rPr>
                <w:rFonts w:hint="eastAsia" w:ascii="宋体" w:hAnsi="宋体" w:eastAsia="宋体" w:cs="宋体"/>
                <w:snapToGrid w:val="0"/>
                <w:color w:val="auto"/>
                <w:kern w:val="0"/>
                <w:sz w:val="24"/>
                <w:szCs w:val="24"/>
                <w:highlight w:val="none"/>
                <w:lang w:val="en-US" w:eastAsia="zh-CN" w:bidi="ar"/>
              </w:rPr>
              <w:t>在采购人指定地点安装、调试。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5" w:hRule="atLeast"/>
        </w:trPr>
        <w:tc>
          <w:tcPr>
            <w:tcW w:w="2838" w:type="dxa"/>
            <w:gridSpan w:val="2"/>
          </w:tcPr>
          <w:p>
            <w:pPr>
              <w:pageBreakBefore w:val="0"/>
              <w:widowControl w:val="0"/>
              <w:wordWrap/>
              <w:overflowPunct/>
              <w:topLinePunct w:val="0"/>
              <w:bidi w:val="0"/>
              <w:spacing w:before="257" w:line="220"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安装地点</w:t>
            </w:r>
          </w:p>
        </w:tc>
        <w:tc>
          <w:tcPr>
            <w:tcW w:w="6263" w:type="dxa"/>
            <w:vAlign w:val="center"/>
          </w:tcPr>
          <w:p>
            <w:pPr>
              <w:keepNext w:val="0"/>
              <w:keepLines w:val="0"/>
              <w:widowControl/>
              <w:suppressLineNumbers w:val="0"/>
              <w:jc w:val="center"/>
              <w:rPr>
                <w:color w:val="auto"/>
                <w:spacing w:val="0"/>
                <w:w w:val="100"/>
                <w:position w:val="0"/>
                <w:highlight w:val="none"/>
              </w:rPr>
            </w:pPr>
            <w:r>
              <w:rPr>
                <w:rFonts w:hint="eastAsia" w:ascii="宋体" w:hAnsi="宋体" w:eastAsia="宋体" w:cs="宋体"/>
                <w:snapToGrid w:val="0"/>
                <w:color w:val="auto"/>
                <w:kern w:val="0"/>
                <w:sz w:val="24"/>
                <w:szCs w:val="24"/>
                <w:highlight w:val="none"/>
                <w:lang w:val="en-US" w:eastAsia="zh-CN" w:bidi="ar"/>
              </w:rPr>
              <w:t>在采购人指定地点安装、调试。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7" w:hRule="atLeast"/>
        </w:trPr>
        <w:tc>
          <w:tcPr>
            <w:tcW w:w="2838" w:type="dxa"/>
            <w:gridSpan w:val="2"/>
            <w:vAlign w:val="center"/>
          </w:tcPr>
          <w:p>
            <w:pPr>
              <w:pageBreakBefore w:val="0"/>
              <w:widowControl w:val="0"/>
              <w:wordWrap/>
              <w:overflowPunct/>
              <w:topLinePunct w:val="0"/>
              <w:bidi w:val="0"/>
              <w:spacing w:before="256" w:line="221" w:lineRule="auto"/>
              <w:ind w:left="1189"/>
              <w:jc w:val="both"/>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备注</w:t>
            </w:r>
          </w:p>
        </w:tc>
        <w:tc>
          <w:tcPr>
            <w:tcW w:w="6263" w:type="dxa"/>
            <w:vAlign w:val="center"/>
          </w:tcPr>
          <w:p>
            <w:pPr>
              <w:pStyle w:val="8"/>
              <w:pageBreakBefore w:val="0"/>
              <w:widowControl w:val="0"/>
              <w:wordWrap/>
              <w:overflowPunct/>
              <w:topLinePunct w:val="0"/>
              <w:bidi w:val="0"/>
              <w:jc w:val="center"/>
              <w:rPr>
                <w:rFonts w:hint="eastAsia" w:eastAsia="宋体"/>
                <w:color w:val="auto"/>
                <w:spacing w:val="0"/>
                <w:w w:val="100"/>
                <w:position w:val="0"/>
                <w:highlight w:val="none"/>
                <w:lang w:val="en-US" w:eastAsia="zh-CN"/>
              </w:rPr>
            </w:pPr>
            <w:r>
              <w:rPr>
                <w:rFonts w:hint="eastAsia" w:eastAsia="宋体"/>
                <w:color w:val="auto"/>
                <w:spacing w:val="0"/>
                <w:w w:val="100"/>
                <w:position w:val="0"/>
                <w:highlight w:val="none"/>
                <w:lang w:val="en-US" w:eastAsia="zh-CN"/>
              </w:rPr>
              <w:t>/</w:t>
            </w:r>
          </w:p>
        </w:tc>
      </w:tr>
    </w:tbl>
    <w:p>
      <w:pPr>
        <w:pageBreakBefore w:val="0"/>
        <w:widowControl w:val="0"/>
        <w:wordWrap/>
        <w:overflowPunct/>
        <w:topLinePunct w:val="0"/>
        <w:bidi w:val="0"/>
        <w:rPr>
          <w:color w:val="auto"/>
          <w:spacing w:val="0"/>
          <w:w w:val="100"/>
          <w:position w:val="0"/>
          <w:highlight w:val="none"/>
        </w:rPr>
        <w:sectPr>
          <w:footerReference r:id="rId3" w:type="default"/>
          <w:pgSz w:w="11906" w:h="16839"/>
          <w:pgMar w:top="1429" w:right="1587" w:bottom="1429" w:left="1587" w:header="0" w:footer="994" w:gutter="0"/>
          <w:cols w:space="720" w:num="1"/>
        </w:sectPr>
      </w:pPr>
    </w:p>
    <w:p>
      <w:pPr>
        <w:pageBreakBefore w:val="0"/>
        <w:widowControl w:val="0"/>
        <w:wordWrap/>
        <w:overflowPunct/>
        <w:topLinePunct w:val="0"/>
        <w:bidi w:val="0"/>
        <w:spacing w:before="47" w:line="219" w:lineRule="auto"/>
        <w:jc w:val="center"/>
        <w:outlineLvl w:val="1"/>
        <w:rPr>
          <w:color w:val="auto"/>
          <w:spacing w:val="0"/>
          <w:w w:val="100"/>
          <w:position w:val="0"/>
          <w:highlight w:val="none"/>
        </w:rPr>
      </w:pPr>
      <w:bookmarkStart w:id="0" w:name="bookmark81"/>
      <w:bookmarkEnd w:id="0"/>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二、采购需求</w:t>
      </w:r>
    </w:p>
    <w:p>
      <w:pPr>
        <w:pageBreakBefore w:val="0"/>
        <w:widowControl w:val="0"/>
        <w:wordWrap/>
        <w:overflowPunct/>
        <w:topLinePunct w:val="0"/>
        <w:bidi w:val="0"/>
        <w:spacing w:line="258" w:lineRule="auto"/>
        <w:rPr>
          <w:color w:val="auto"/>
          <w:spacing w:val="0"/>
          <w:w w:val="100"/>
          <w:position w:val="0"/>
          <w:highlight w:val="none"/>
        </w:rPr>
      </w:pPr>
    </w:p>
    <w:p>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（一） 技术需求</w:t>
      </w:r>
    </w:p>
    <w:tbl>
      <w:tblPr>
        <w:tblStyle w:val="5"/>
        <w:tblW w:w="9645" w:type="dxa"/>
        <w:tblInd w:w="0" w:type="dxa"/>
        <w:shd w:val="clear" w:color="auto" w:fill="auto"/>
        <w:tblLayout w:type="fixed"/>
        <w:tblCellMar>
          <w:top w:w="0" w:type="dxa"/>
          <w:left w:w="0" w:type="dxa"/>
          <w:bottom w:w="0" w:type="dxa"/>
          <w:right w:w="0" w:type="dxa"/>
        </w:tblCellMar>
      </w:tblPr>
      <w:tblGrid>
        <w:gridCol w:w="945"/>
        <w:gridCol w:w="1740"/>
        <w:gridCol w:w="5324"/>
        <w:gridCol w:w="690"/>
        <w:gridCol w:w="946"/>
      </w:tblGrid>
      <w:tr>
        <w:tblPrEx>
          <w:shd w:val="clear" w:color="auto" w:fill="auto"/>
          <w:tblLayout w:type="fixed"/>
          <w:tblCellMar>
            <w:top w:w="0" w:type="dxa"/>
            <w:left w:w="0" w:type="dxa"/>
            <w:bottom w:w="0" w:type="dxa"/>
            <w:right w:w="0" w:type="dxa"/>
          </w:tblCellMar>
        </w:tblPrEx>
        <w:trPr>
          <w:trHeight w:val="300" w:hRule="atLeast"/>
        </w:trPr>
        <w:tc>
          <w:tcPr>
            <w:tcW w:w="945" w:type="dxa"/>
            <w:vMerge w:val="restart"/>
            <w:tcBorders>
              <w:top w:val="single" w:color="000000" w:sz="8"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740" w:type="dxa"/>
            <w:vMerge w:val="restart"/>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5324" w:type="dxa"/>
            <w:vMerge w:val="restart"/>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690" w:type="dxa"/>
            <w:vMerge w:val="restart"/>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单位</w:t>
            </w:r>
          </w:p>
        </w:tc>
        <w:tc>
          <w:tcPr>
            <w:tcW w:w="946" w:type="dxa"/>
            <w:vMerge w:val="restart"/>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r>
      <w:tr>
        <w:tblPrEx>
          <w:tblLayout w:type="fixed"/>
          <w:tblCellMar>
            <w:top w:w="0" w:type="dxa"/>
            <w:left w:w="0" w:type="dxa"/>
            <w:bottom w:w="0" w:type="dxa"/>
            <w:right w:w="0" w:type="dxa"/>
          </w:tblCellMar>
        </w:tblPrEx>
        <w:trPr>
          <w:trHeight w:val="285" w:hRule="atLeast"/>
        </w:trPr>
        <w:tc>
          <w:tcPr>
            <w:tcW w:w="945" w:type="dxa"/>
            <w:vMerge w:val="continue"/>
            <w:tcBorders>
              <w:top w:val="single" w:color="000000" w:sz="8"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vMerge w:val="continue"/>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5324" w:type="dxa"/>
            <w:vMerge w:val="continue"/>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690" w:type="dxa"/>
            <w:vMerge w:val="continue"/>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vMerge w:val="continue"/>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安装工程</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1#综合楼</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电梯摄像机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名称:电梯摄像机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1.≥400万半球形摄像枪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2.最高分辨率：≥2560 × 1440 @25 fps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3.传感器类型：≤1/2.7" Progressive Scan CMOS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4.最低照度：彩色：≤0.005 Lux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5.支持SmartIR，防止夜间红外过曝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6.支持背光补偿，强光抑制，3D数字降噪，数字宽动态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7.支持开放型网络视频接口，ISAPI，SDK，GB28181协议</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8.音频：1个内置麦克风；网络：1个RJ45 10M/100M自适应以太网口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9.安装方式:轿厢内安装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shd w:val="clear" w:color="auto" w:fill="auto"/>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auto"/>
                <w:sz w:val="20"/>
                <w:szCs w:val="20"/>
                <w:highlight w:val="none"/>
                <w:u w:val="none"/>
                <w:lang w:val="en-US"/>
              </w:rPr>
            </w:pPr>
            <w:r>
              <w:rPr>
                <w:rFonts w:hint="eastAsia" w:ascii="宋体" w:hAnsi="宋体" w:eastAsia="宋体" w:cs="宋体"/>
                <w:i w:val="0"/>
                <w:snapToGrid w:val="0"/>
                <w:color w:val="auto"/>
                <w:kern w:val="0"/>
                <w:sz w:val="20"/>
                <w:szCs w:val="20"/>
                <w:highlight w:val="none"/>
                <w:u w:val="none"/>
                <w:lang w:val="en-US" w:eastAsia="zh-CN" w:bidi="ar"/>
              </w:rPr>
              <w:t>高清人脸识别摄像机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名称:800W高清人脸识别网络摄像机</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1.最高分辨率：≥3840 × 2160 @30 fps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2.传感器类型：≤1/1.8" Progressive Scan CMOS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3.具有耀光抑制功能，耀光区域≤3%。</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4.最低照度：彩色：≤0.002 Lux @（F1.2，AGC ON），0 Lux with Light，黑白：0.0002 Lux @（F1.2，AGC ON），0 Lux with IR</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5.在分辨率1920x1080@25fps，码流设置为1Mbps时，视频图像传输延时≤70ms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6、支持智能资源模式切换：人脸抓拍、道路监控、Smart事件、人数统计、热度图、人脸抓拍模式、道路监控模式、Smart事件模式、人数统计模式</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7.内置鳞镜式补光灯。</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8.安装方式:壁挂安装底边距地2.8米</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r>
      <w:tr>
        <w:tblPrEx>
          <w:shd w:val="clear" w:color="auto" w:fill="auto"/>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枪型摄像机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名称:400万枪型摄像机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1.最高分辨率：≥2560 × 1440 @25 fps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2.传感器类型：≤1/2.7" Progressive Scan CMOS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3.最低照度：彩色：≤0.005 Lux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4.支持SmartIR，防止夜间红外过曝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5.支持背光补偿，强光抑制，3D数字降噪，数字宽动态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6.音频：1个内置麦克风；网络：1个RJ45 10M/100M自适应以太网口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7.视频压缩标准：主码流：H.265，支持超级智能编码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8.支持电源供电和POE供电</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9.安装方式:壁挂安装底边距地2.8米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w:t>
            </w:r>
          </w:p>
        </w:tc>
      </w:tr>
      <w:tr>
        <w:tblPrEx>
          <w:shd w:val="clear" w:color="auto" w:fill="auto"/>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摄像机支架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枪机摄像机支架，镀锌铁，壁式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1.名称:光纤布线配线架(72口)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2.安装方式:距地1.8m挂墙安装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架</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光纤连接盘</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1.名称:光纤连接盘(72口)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1091.62</w:t>
            </w: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UTP-Cat6</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1.名称:UTP-Cat6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2.敷设方式:穿管/桥架</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3563.94</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阻燃软电缆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1.名称:阻燃软电缆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3.型号:WDZ-RYY2*1.0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3563.94</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公共广播系统</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1.输入电压：70V/100V</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2.功率：≥3W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3.灵敏度：94dB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4.频率响应：100-20KHz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5.喇叭单元：2寸×2+1.5寸高音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6.安装方式:吸顶安装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7.广播扬声器应使用阻燃防水材料,或具有阻燃后罩结构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w:t>
            </w: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IP网络广播扬声器(带控制开关)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1.10/100M RJ45网络交换机接口，支持局域网与广域网；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2.内置网络IP解码模块可实时播网络音乐及呼叫功能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3.内置≥2×20W数字功放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4.内置5寸低音+2寸高音高保真喇叭单元</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5.4欧/20W功率输出，外接定阻音箱；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6.安装方式:距地2.3m壁装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7.广播扬声器应使用阻燃防水材料,或具有阻燃后罩结构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广播分机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1.名称:广播分机(24口)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1.输出定额功率 650W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2.网络接口 标准RJ45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3.传输速率 10M/100Mbps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4.支持协议 TCP/IP、UDP</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5.采样率 16K-48KHz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6.音频格式 MP3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7.音频模式 16位CD音质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8.频率响应 80Hz-16KHz+1/-3dB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9.谐波失真 ≤1%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10.信噪比 ≥65dB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6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48口交换机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1、提供至少1个GPON/EPON自适应PON光口上行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自适应电口≥48个，万兆SFP+接口≥6个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7、整机最大功耗≤60W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满足设计要求及现场施工规范</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共用设备网汇聚MDU交换机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lang w:val="en-US" w:eastAsia="zh-CN"/>
              </w:rPr>
              <w:t>共用设备网汇聚MDU交换机</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1、提供不少于1个GPON/EPON自适应PON光口上行</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2、固化10/100/1000M 千兆电口≥24个，万兆SFP+光口≥4个</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3、交换容量≥2.6Tbps，包转发率≥240Mpps</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4、设备应支持生成树协议STP/RSTP/MSTP(ERPS)</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5、设备应支持环路检测5和自愈,支持远程环回监视和控制(802.3ah OAM)</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6、设备应支持802.1X、MAC-Based、WEB-Based认证</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7、支持云端管理、云备份配置、具备独立移动管理APP或微信小程序</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8、交换机需要具备网络信息安全防护能力</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9、含跳线、尾纤、耦合器、电源线等配件</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545.65</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控制电缆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1.名称:控制电缆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3.型号:WDZN-B1-KYJYP-2x1.5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937.62</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消防控制室</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视频监控</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台式电脑</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CPU：≥2.7GHz‌；内存：≥8G DDR4 ；固态硬盘：256G SSD+1TB SATA ；USB键鼠、含23.8寸显示器</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7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配线架96口ODF</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1.名称:配线架96口ODF</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架</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r>
      <w:tr>
        <w:tblPrEx>
          <w:tblLayout w:type="fixed"/>
          <w:tblCellMar>
            <w:top w:w="0" w:type="dxa"/>
            <w:left w:w="0" w:type="dxa"/>
            <w:bottom w:w="0" w:type="dxa"/>
            <w:right w:w="0" w:type="dxa"/>
          </w:tblCellMar>
        </w:tblPrEx>
        <w:trPr>
          <w:trHeight w:val="7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8路超高清解码器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1.名称:8路超高清解码器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2.含跳线、尾纤、耦合器、电源线、HDMI线缆等配件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3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智能视频平台管理服务器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snapToGrid w:val="0"/>
                <w:color w:val="auto"/>
                <w:kern w:val="0"/>
                <w:sz w:val="20"/>
                <w:szCs w:val="20"/>
                <w:highlight w:val="none"/>
                <w:u w:val="none"/>
                <w:lang w:val="en-US" w:eastAsia="zh-CN" w:bidi="ar"/>
              </w:rPr>
            </w:pPr>
            <w:r>
              <w:rPr>
                <w:rFonts w:hint="eastAsia" w:ascii="宋体" w:hAnsi="宋体" w:eastAsia="宋体" w:cs="宋体"/>
                <w:i w:val="0"/>
                <w:snapToGrid w:val="0"/>
                <w:color w:val="auto"/>
                <w:kern w:val="0"/>
                <w:sz w:val="20"/>
                <w:szCs w:val="20"/>
                <w:highlight w:val="none"/>
                <w:u w:val="none"/>
                <w:lang w:val="en-US" w:eastAsia="zh-CN" w:bidi="ar"/>
              </w:rPr>
              <w:t>名称:智能视频平台管理服务器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CPU：不少于2颗 C86架构HYGON 3350处理器，单处理器物理核心数≥8核，主频≥3.0 GHz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内存：不低于128G DDR4，8根内存插槽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硬盘：不低于480G SSD×2 ，4TB SATA 7.2K×2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阵列卡：SAS_HBA卡（支持RAID 0/1/10）；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电源：550W（1+1）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包含综合安防管理平台接入：</w:t>
            </w:r>
          </w:p>
          <w:p>
            <w:pPr>
              <w:keepNext w:val="0"/>
              <w:keepLines w:val="0"/>
              <w:widowControl/>
              <w:suppressLineNumbers w:val="0"/>
              <w:jc w:val="left"/>
              <w:textAlignment w:val="center"/>
              <w:rPr>
                <w:rFonts w:hint="eastAsia" w:ascii="宋体" w:hAnsi="宋体" w:eastAsia="宋体" w:cs="宋体"/>
                <w:i w:val="0"/>
                <w:snapToGrid w:val="0"/>
                <w:color w:val="auto"/>
                <w:kern w:val="0"/>
                <w:sz w:val="20"/>
                <w:szCs w:val="20"/>
                <w:highlight w:val="none"/>
                <w:u w:val="none"/>
                <w:lang w:val="en-US" w:eastAsia="zh-CN" w:bidi="ar"/>
              </w:rPr>
            </w:pPr>
            <w:r>
              <w:rPr>
                <w:rFonts w:hint="eastAsia" w:ascii="宋体" w:hAnsi="宋体" w:eastAsia="宋体" w:cs="宋体"/>
                <w:i w:val="0"/>
                <w:snapToGrid w:val="0"/>
                <w:color w:val="auto"/>
                <w:kern w:val="0"/>
                <w:sz w:val="20"/>
                <w:szCs w:val="20"/>
                <w:highlight w:val="none"/>
                <w:u w:val="none"/>
                <w:lang w:val="en-US" w:eastAsia="zh-CN" w:bidi="ar"/>
              </w:rPr>
              <w:t>1.支持车辆进出可通过LED屏和语音播报两种方式来展示车辆信息，收费信息，停车时间等内容并且内容都可以自定义，支持固定车到期提醒，提醒方式为LED屏展示提醒和语音提醒，支持一户多车功能；支持客户端、LED屏、语音提示“一户多车”：支持一户多车车主查询；支持根据用户使用习惯自定义配置快捷功能入口，支持首页投放大屏展示，支持最近7天每日的用户活跃数统计。</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支持对监控点、编码设备的在线状态进行设备巡检，并以统计图方式展示巡检结果；支持对监控的图像进行视频质量诊断，图像异常项包括图像偏色、噪声干扰、图像过暗、图像过亮、视频丢帧、视频抖动、对比度异常、条纹干扰、视频遮挡、信号丢失、图像黑白、图像模糊、场景变换、视频剧变；支持对历史录像的完整率进行监控，统计项包括录像完整数、录像丢失数、巡检失败数、未检测数、监控点总数；支持以统计图展现指定区域的录像完整情况，支持报表展示视频质量统计、录像完整率统计、区域运维考核结果统计，支持设备巡检计划配置，包括计划名称、巡检类型、采集对象、巡检时间、巡检频率、状态，并以列表形式展现。</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3、设备管理授权</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4、视频质量诊断授权</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5、高空抛物监控管理授权</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6、人行、车闸道闸管理功能授权</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7、人脸检测搜图功能授权</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8、紧急报警功能授权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3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color w:val="auto"/>
                <w:highlight w:val="none"/>
              </w:rPr>
              <w:t>边缘计算</w:t>
            </w:r>
            <w:r>
              <w:rPr>
                <w:rFonts w:hint="eastAsia"/>
                <w:color w:val="auto"/>
                <w:highlight w:val="none"/>
                <w:lang w:val="en-US" w:eastAsia="zh-CN"/>
              </w:rPr>
              <w:t>主机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color w:val="auto"/>
                <w:highlight w:val="none"/>
                <w:lang w:val="en-US" w:eastAsia="zh-CN"/>
              </w:rPr>
            </w:pPr>
            <w:r>
              <w:rPr>
                <w:rFonts w:hint="eastAsia"/>
                <w:color w:val="auto"/>
                <w:highlight w:val="none"/>
                <w:lang w:val="en-US" w:eastAsia="zh-CN"/>
              </w:rPr>
              <w:t>名称:</w:t>
            </w:r>
            <w:r>
              <w:rPr>
                <w:rFonts w:hint="eastAsia"/>
                <w:color w:val="auto"/>
                <w:highlight w:val="none"/>
              </w:rPr>
              <w:t>边缘计算</w:t>
            </w:r>
            <w:r>
              <w:rPr>
                <w:rFonts w:hint="eastAsia"/>
                <w:color w:val="auto"/>
                <w:highlight w:val="none"/>
                <w:lang w:val="en-US" w:eastAsia="zh-CN"/>
              </w:rPr>
              <w:t>主机</w:t>
            </w:r>
            <w:r>
              <w:rPr>
                <w:rFonts w:hint="eastAsia"/>
                <w:color w:val="auto"/>
                <w:highlight w:val="none"/>
                <w:lang w:val="en-US" w:eastAsia="zh-CN"/>
              </w:rPr>
              <w:br w:type="textWrapping"/>
            </w:r>
            <w:r>
              <w:rPr>
                <w:rFonts w:hint="eastAsia"/>
                <w:color w:val="auto"/>
                <w:highlight w:val="none"/>
                <w:lang w:val="en-US" w:eastAsia="zh-CN"/>
              </w:rPr>
              <w:t>3U标准机架式16盘位超脑 支持硬盘热插拔</w:t>
            </w:r>
            <w:r>
              <w:rPr>
                <w:rFonts w:hint="eastAsia"/>
                <w:color w:val="auto"/>
                <w:highlight w:val="none"/>
                <w:lang w:val="en-US" w:eastAsia="zh-CN"/>
              </w:rPr>
              <w:br w:type="textWrapping"/>
            </w:r>
            <w:r>
              <w:rPr>
                <w:rFonts w:hint="eastAsia"/>
                <w:color w:val="auto"/>
                <w:highlight w:val="none"/>
                <w:lang w:val="en-US" w:eastAsia="zh-CN"/>
              </w:rPr>
              <w:t>报警IO接口：16路报警输入，8路报警输出</w:t>
            </w:r>
            <w:r>
              <w:rPr>
                <w:rFonts w:hint="eastAsia"/>
                <w:color w:val="auto"/>
                <w:highlight w:val="none"/>
                <w:lang w:val="en-US" w:eastAsia="zh-CN"/>
              </w:rPr>
              <w:br w:type="textWrapping"/>
            </w:r>
            <w:r>
              <w:rPr>
                <w:rFonts w:hint="eastAsia"/>
                <w:color w:val="auto"/>
                <w:highlight w:val="none"/>
                <w:lang w:val="en-US" w:eastAsia="zh-CN"/>
              </w:rPr>
              <w:t>输入带宽：512Mbps</w:t>
            </w:r>
            <w:r>
              <w:rPr>
                <w:rFonts w:hint="eastAsia"/>
                <w:color w:val="auto"/>
                <w:highlight w:val="none"/>
                <w:lang w:val="en-US" w:eastAsia="zh-CN"/>
              </w:rPr>
              <w:br w:type="textWrapping"/>
            </w:r>
            <w:r>
              <w:rPr>
                <w:rFonts w:hint="eastAsia"/>
                <w:color w:val="auto"/>
                <w:highlight w:val="none"/>
                <w:lang w:val="en-US" w:eastAsia="zh-CN"/>
              </w:rPr>
              <w:t>输出带宽：400Mbps</w:t>
            </w:r>
            <w:r>
              <w:rPr>
                <w:rFonts w:hint="eastAsia"/>
                <w:color w:val="auto"/>
                <w:highlight w:val="none"/>
                <w:lang w:val="en-US" w:eastAsia="zh-CN"/>
              </w:rPr>
              <w:br w:type="textWrapping"/>
            </w:r>
            <w:r>
              <w:rPr>
                <w:rFonts w:hint="eastAsia"/>
                <w:color w:val="auto"/>
                <w:highlight w:val="none"/>
                <w:lang w:val="en-US" w:eastAsia="zh-CN"/>
              </w:rPr>
              <w:t>接入能力：128路H.264、H.265格式高清码流接入</w:t>
            </w:r>
            <w:r>
              <w:rPr>
                <w:rFonts w:hint="eastAsia"/>
                <w:color w:val="auto"/>
                <w:highlight w:val="none"/>
                <w:lang w:val="en-US" w:eastAsia="zh-CN"/>
              </w:rPr>
              <w:br w:type="textWrapping"/>
            </w:r>
            <w:r>
              <w:rPr>
                <w:rFonts w:hint="eastAsia"/>
                <w:color w:val="auto"/>
                <w:highlight w:val="none"/>
                <w:lang w:val="en-US" w:eastAsia="zh-CN"/>
              </w:rPr>
              <w:t>解码能力：最大支持24×1080P</w:t>
            </w:r>
            <w:r>
              <w:rPr>
                <w:rFonts w:hint="eastAsia"/>
                <w:color w:val="auto"/>
                <w:highlight w:val="none"/>
                <w:lang w:val="en-US" w:eastAsia="zh-CN"/>
              </w:rPr>
              <w:br w:type="textWrapping"/>
            </w:r>
            <w:r>
              <w:rPr>
                <w:rFonts w:hint="eastAsia"/>
                <w:color w:val="auto"/>
                <w:highlight w:val="none"/>
                <w:lang w:val="en-US" w:eastAsia="zh-CN"/>
              </w:rPr>
              <w:t>5合1 AI融合巡检，集成人、车、行为、事件、AIOP 5大类多种算法于一体</w:t>
            </w:r>
            <w:r>
              <w:rPr>
                <w:rFonts w:hint="eastAsia"/>
                <w:color w:val="auto"/>
                <w:highlight w:val="none"/>
                <w:lang w:val="en-US" w:eastAsia="zh-CN"/>
              </w:rPr>
              <w:br w:type="textWrapping"/>
            </w:r>
            <w:r>
              <w:rPr>
                <w:rFonts w:hint="eastAsia"/>
                <w:color w:val="auto"/>
                <w:highlight w:val="none"/>
                <w:lang w:val="en-US" w:eastAsia="zh-CN"/>
              </w:rPr>
              <w:t>人脸识别：人脸抓拍+人脸比对、人数统计</w:t>
            </w:r>
            <w:r>
              <w:rPr>
                <w:rFonts w:hint="eastAsia"/>
                <w:color w:val="auto"/>
                <w:highlight w:val="none"/>
                <w:lang w:val="en-US" w:eastAsia="zh-CN"/>
              </w:rPr>
              <w:br w:type="textWrapping"/>
            </w:r>
            <w:r>
              <w:rPr>
                <w:rFonts w:hint="eastAsia"/>
                <w:color w:val="auto"/>
                <w:highlight w:val="none"/>
                <w:lang w:val="en-US" w:eastAsia="zh-CN"/>
              </w:rPr>
              <w:t>机动车识别、非机动车识别</w:t>
            </w:r>
            <w:r>
              <w:rPr>
                <w:rFonts w:hint="eastAsia"/>
                <w:color w:val="auto"/>
                <w:highlight w:val="none"/>
                <w:lang w:val="en-US" w:eastAsia="zh-CN"/>
              </w:rPr>
              <w:br w:type="textWrapping"/>
            </w:r>
            <w:r>
              <w:rPr>
                <w:rFonts w:hint="eastAsia"/>
                <w:color w:val="auto"/>
                <w:highlight w:val="none"/>
                <w:lang w:val="en-US" w:eastAsia="zh-CN"/>
              </w:rPr>
              <w:t>烟雾火点：近距离烟火检测（室内、园区）</w:t>
            </w:r>
          </w:p>
          <w:p>
            <w:pPr>
              <w:keepNext w:val="0"/>
              <w:keepLines w:val="0"/>
              <w:widowControl/>
              <w:suppressLineNumbers w:val="0"/>
              <w:jc w:val="left"/>
              <w:textAlignment w:val="center"/>
              <w:rPr>
                <w:rFonts w:hint="eastAsia"/>
                <w:color w:val="auto"/>
                <w:highlight w:val="none"/>
                <w:lang w:val="en-US" w:eastAsia="zh-CN"/>
              </w:rPr>
            </w:pPr>
            <w:r>
              <w:rPr>
                <w:rFonts w:hint="eastAsia"/>
                <w:color w:val="auto"/>
                <w:highlight w:val="none"/>
              </w:rPr>
              <w:t>支持常规距离、中距离、远距离三种检测模式:，单个通道最多同时支持≥</w:t>
            </w:r>
            <w:r>
              <w:rPr>
                <w:rFonts w:hint="eastAsia"/>
                <w:color w:val="auto"/>
                <w:highlight w:val="none"/>
                <w:lang w:val="en-US" w:eastAsia="zh-CN"/>
              </w:rPr>
              <w:t>2</w:t>
            </w:r>
            <w:r>
              <w:rPr>
                <w:rFonts w:hint="eastAsia"/>
                <w:color w:val="auto"/>
                <w:highlight w:val="none"/>
              </w:rPr>
              <w:t>种周界报模式，每种模式最多同时支持≥</w:t>
            </w:r>
            <w:r>
              <w:rPr>
                <w:rFonts w:hint="eastAsia"/>
                <w:color w:val="auto"/>
                <w:highlight w:val="none"/>
                <w:lang w:val="en-US" w:eastAsia="zh-CN"/>
              </w:rPr>
              <w:t>2</w:t>
            </w:r>
            <w:r>
              <w:rPr>
                <w:rFonts w:hint="eastAsia"/>
                <w:color w:val="auto"/>
                <w:highlight w:val="none"/>
              </w:rPr>
              <w:t>个警戒区域，同时支持抓拍库(存储于硬盘中)存储不少于</w:t>
            </w:r>
            <w:r>
              <w:rPr>
                <w:rFonts w:hint="eastAsia"/>
                <w:color w:val="auto"/>
                <w:highlight w:val="none"/>
                <w:lang w:val="en-US" w:eastAsia="zh-CN"/>
              </w:rPr>
              <w:t>15</w:t>
            </w:r>
            <w:r>
              <w:rPr>
                <w:rFonts w:hint="eastAsia"/>
                <w:color w:val="auto"/>
                <w:highlight w:val="none"/>
              </w:rPr>
              <w:t>00条周界防范抓拍历史记录。</w:t>
            </w:r>
            <w:r>
              <w:rPr>
                <w:rFonts w:hint="eastAsia"/>
                <w:color w:val="auto"/>
                <w:highlight w:val="none"/>
                <w:lang w:val="en-US" w:eastAsia="zh-CN"/>
              </w:rPr>
              <w:br w:type="textWrapping"/>
            </w:r>
            <w:r>
              <w:rPr>
                <w:rFonts w:hint="eastAsia"/>
                <w:color w:val="auto"/>
                <w:highlight w:val="none"/>
                <w:lang w:val="en-US" w:eastAsia="zh-CN"/>
              </w:rPr>
              <w:t>支持检测、分类、混合、双检测、分割、OCR等AI模型加载运行。</w:t>
            </w:r>
          </w:p>
          <w:p>
            <w:pPr>
              <w:keepNext w:val="0"/>
              <w:keepLines w:val="0"/>
              <w:widowControl/>
              <w:suppressLineNumbers w:val="0"/>
              <w:jc w:val="left"/>
              <w:textAlignment w:val="center"/>
              <w:rPr>
                <w:rFonts w:hint="eastAsia"/>
                <w:color w:val="auto"/>
                <w:highlight w:val="none"/>
              </w:rPr>
            </w:pPr>
            <w:r>
              <w:rPr>
                <w:rFonts w:hint="eastAsia"/>
                <w:color w:val="auto"/>
                <w:highlight w:val="none"/>
              </w:rPr>
              <w:t>接入普通IPC，支持工服注册，可上传需要检测的工服图片到工服库</w:t>
            </w:r>
            <w:r>
              <w:rPr>
                <w:rFonts w:hint="eastAsia"/>
                <w:color w:val="auto"/>
                <w:highlight w:val="none"/>
                <w:lang w:eastAsia="zh-CN"/>
              </w:rPr>
              <w:t>。</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核心存储NVR</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1.名称:核心存储NVR（32路，每台满载8块8TB硬盘）</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存储接口：≥8个SATA接口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视频接口：≥2×HDMI，2×VGA</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网络接口：≥2×RJ45 10/100/1000Mbps自适应以太网口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报警接口：≥16路报警输入，4路报警输出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串行接口：≥1路RS-232接口，2路半双工RS-485接口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输入带宽：≥256Mbps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输出带宽：≥160Mbps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接入能力：≥32路H.264、H.265格式高清码流接入</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w:t>
            </w:r>
          </w:p>
        </w:tc>
      </w:tr>
      <w:tr>
        <w:tblPrEx>
          <w:shd w:val="clear" w:color="auto" w:fill="auto"/>
          <w:tblLayout w:type="fixed"/>
          <w:tblCellMar>
            <w:top w:w="0" w:type="dxa"/>
            <w:left w:w="0" w:type="dxa"/>
            <w:bottom w:w="0" w:type="dxa"/>
            <w:right w:w="0" w:type="dxa"/>
          </w:tblCellMar>
        </w:tblPrEx>
        <w:trPr>
          <w:trHeight w:val="5716"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万兆核心交换机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snapToGrid w:val="0"/>
                <w:color w:val="auto"/>
                <w:kern w:val="0"/>
                <w:sz w:val="20"/>
                <w:szCs w:val="20"/>
                <w:highlight w:val="none"/>
                <w:u w:val="none"/>
                <w:lang w:val="en-US" w:eastAsia="zh-CN" w:bidi="ar"/>
              </w:rPr>
            </w:pPr>
            <w:r>
              <w:rPr>
                <w:rFonts w:hint="eastAsia" w:ascii="宋体" w:hAnsi="宋体" w:eastAsia="宋体" w:cs="宋体"/>
                <w:i w:val="0"/>
                <w:snapToGrid w:val="0"/>
                <w:color w:val="auto"/>
                <w:kern w:val="0"/>
                <w:sz w:val="20"/>
                <w:szCs w:val="20"/>
                <w:highlight w:val="none"/>
                <w:u w:val="none"/>
                <w:lang w:val="en-US" w:eastAsia="zh-CN" w:bidi="ar"/>
              </w:rPr>
              <w:t>万兆核心交换机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1、交换容量≥38.4Tbps，包转发率≥36000Mpps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2、整机提供≥2个业务型主控槽位，≥1个通用业务槽位</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3、满足N+M电源冗余，支持双电源/三电源冗余保护；</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4、单主控卡至少提供24个GE端口，8个10GE端口；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5、分布式多级交换矩阵架构，提供高性能的L2/L3/L4线速交换服务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6、融合了IPv6、MPLS VPN、网络安全、流量分析、虚拟化等多种网络业务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7、支持STP/RSTP/MSTP协议，支持VRRP协议，同时支持环网保护，双上行主备链路保护</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8、设备应支持IPv6静态路由、RIPng、OSPFv3；</w:t>
            </w:r>
          </w:p>
          <w:p>
            <w:pPr>
              <w:keepNext w:val="0"/>
              <w:keepLines w:val="0"/>
              <w:widowControl/>
              <w:numPr>
                <w:ilvl w:val="0"/>
                <w:numId w:val="1"/>
              </w:numPr>
              <w:suppressLineNumbers w:val="0"/>
              <w:jc w:val="left"/>
              <w:textAlignment w:val="center"/>
              <w:rPr>
                <w:rFonts w:hint="eastAsia" w:ascii="宋体" w:hAnsi="宋体" w:eastAsia="宋体" w:cs="宋体"/>
                <w:i w:val="0"/>
                <w:snapToGrid w:val="0"/>
                <w:color w:val="auto"/>
                <w:kern w:val="0"/>
                <w:sz w:val="20"/>
                <w:szCs w:val="20"/>
                <w:highlight w:val="none"/>
                <w:u w:val="none"/>
                <w:lang w:val="en-US" w:eastAsia="zh-CN" w:bidi="ar"/>
              </w:rPr>
            </w:pPr>
            <w:r>
              <w:rPr>
                <w:rFonts w:hint="eastAsia" w:ascii="宋体" w:hAnsi="宋体" w:eastAsia="宋体" w:cs="宋体"/>
                <w:i w:val="0"/>
                <w:snapToGrid w:val="0"/>
                <w:color w:val="auto"/>
                <w:kern w:val="0"/>
                <w:sz w:val="20"/>
                <w:szCs w:val="20"/>
                <w:highlight w:val="none"/>
                <w:u w:val="none"/>
                <w:lang w:val="en-US" w:eastAsia="zh-CN" w:bidi="ar"/>
              </w:rPr>
              <w:t>设备应支持VSS（Virtual Switch System）虚拟化集群交换技术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10、设备应支持ISSU（In-Service Software Upgrade）业务不中断系统升级</w:t>
            </w:r>
          </w:p>
          <w:p>
            <w:pPr>
              <w:keepNext w:val="0"/>
              <w:keepLines w:val="0"/>
              <w:widowControl/>
              <w:numPr>
                <w:ilvl w:val="0"/>
                <w:numId w:val="0"/>
              </w:numPr>
              <w:suppressLineNumbers w:val="0"/>
              <w:ind w:leftChars="0"/>
              <w:jc w:val="left"/>
              <w:textAlignment w:val="center"/>
              <w:rPr>
                <w:rFonts w:hint="eastAsia" w:ascii="宋体" w:hAnsi="宋体" w:eastAsia="宋体" w:cs="宋体"/>
                <w:i w:val="0"/>
                <w:snapToGrid w:val="0"/>
                <w:color w:val="auto"/>
                <w:kern w:val="0"/>
                <w:sz w:val="20"/>
                <w:szCs w:val="20"/>
                <w:highlight w:val="none"/>
                <w:u w:val="none"/>
                <w:lang w:val="en-US" w:eastAsia="zh-CN" w:bidi="ar"/>
              </w:rPr>
            </w:pPr>
            <w:r>
              <w:rPr>
                <w:rFonts w:hint="eastAsia" w:ascii="宋体" w:hAnsi="宋体" w:eastAsia="宋体" w:cs="宋体"/>
                <w:i w:val="0"/>
                <w:snapToGrid w:val="0"/>
                <w:color w:val="auto"/>
                <w:kern w:val="0"/>
                <w:sz w:val="20"/>
                <w:szCs w:val="20"/>
                <w:highlight w:val="none"/>
                <w:u w:val="none"/>
                <w:lang w:val="en-US" w:eastAsia="zh-CN" w:bidi="ar"/>
              </w:rPr>
              <w:t>11、支持GPON业务卡扩展，单板不低于8个GPON端口</w:t>
            </w:r>
          </w:p>
          <w:p>
            <w:pPr>
              <w:keepNext w:val="0"/>
              <w:keepLines w:val="0"/>
              <w:widowControl/>
              <w:numPr>
                <w:ilvl w:val="0"/>
                <w:numId w:val="0"/>
              </w:numPr>
              <w:suppressLineNumbers w:val="0"/>
              <w:ind w:leftChars="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12、支持GPON/XG(S)-PON业务卡扩展，单板不低于8个GPON/XG(S)-PON端口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13、含跳线、尾纤、耦合器、电源线等配件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tblLayout w:type="fixed"/>
          <w:tblCellMar>
            <w:top w:w="0" w:type="dxa"/>
            <w:left w:w="0" w:type="dxa"/>
            <w:bottom w:w="0" w:type="dxa"/>
            <w:right w:w="0" w:type="dxa"/>
          </w:tblCellMar>
        </w:tblPrEx>
        <w:trPr>
          <w:trHeight w:val="7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机柜</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1.名称：42U机柜</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2.规格:落地安装，金属材质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3.安装方式:800mm宽 × 800mm深 × 2000mm高</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成套配电箱</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1.名称:配电箱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2.含箱内元器件，防雷模块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3.满足现场要求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4.安装方式:挂壁式挂墙</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0" w:hRule="atLeast"/>
        </w:trPr>
        <w:tc>
          <w:tcPr>
            <w:tcW w:w="945" w:type="dxa"/>
            <w:tcBorders>
              <w:top w:val="single" w:color="000000" w:sz="4" w:space="0"/>
              <w:left w:val="single" w:color="000000" w:sz="8"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w:t>
            </w:r>
          </w:p>
        </w:tc>
        <w:tc>
          <w:tcPr>
            <w:tcW w:w="1740"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55英寸8K监视器</w:t>
            </w:r>
          </w:p>
        </w:tc>
        <w:tc>
          <w:tcPr>
            <w:tcW w:w="5324"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snapToGrid w:val="0"/>
                <w:color w:val="auto"/>
                <w:kern w:val="0"/>
                <w:sz w:val="20"/>
                <w:szCs w:val="20"/>
                <w:highlight w:val="none"/>
                <w:u w:val="none"/>
                <w:lang w:val="en-US" w:eastAsia="zh-CN" w:bidi="ar"/>
              </w:rPr>
            </w:pPr>
            <w:r>
              <w:rPr>
                <w:rFonts w:hint="eastAsia" w:ascii="宋体" w:hAnsi="宋体" w:eastAsia="宋体" w:cs="宋体"/>
                <w:i w:val="0"/>
                <w:snapToGrid w:val="0"/>
                <w:color w:val="auto"/>
                <w:kern w:val="0"/>
                <w:sz w:val="20"/>
                <w:szCs w:val="20"/>
                <w:highlight w:val="none"/>
                <w:u w:val="none"/>
                <w:lang w:val="en-US" w:eastAsia="zh-CN" w:bidi="ar"/>
              </w:rPr>
              <w:t>名称:55寸8K监视器，包含可视化大屏智能管理平台</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55英寸#3.5mm拼缝#拼接屏。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视频解码格式：H.264，H.265，Smart264，Smart265，MJPEG</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解码分辨率：最大3200万像素</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视频解码通道：16路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视频解码能力：支持16路1080p@30Hz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画面分割数：支持1/4/6/8/9/16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55英寸-气动前维护壁挂支架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可视化大屏智能管理平台：</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含HDMI线缆、电源线等配件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1、系统具备C/S和B/S架构，采用模块化设计，实现实时监控、录像回放、大屏管理、字幕管理、中控管理等集成，实现统一管理。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2、支持管理LCD、LED电视墙，支持信号源预览，支持电视墙可视化操作；支持监控画面及本地源画面上墙操作</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；支持添加字幕，编辑字幕信息，支持场景保存，支持场景调用及场景切换。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3、支持业务数据的长期存储，包括业务数据、服务日志、接收事件记录等，最长支持设置保存3年；支持电视墙数据、接收事件数据、接收报警数据、运维数据、图片数据进行备份和还原；</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4、支持中控管理，支持在触控屏上控制窗帘、灯光、空调等设备，支持通过可视化界面调用中控接口；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5、支持播控管理，支持多媒体内容图片、视频、文字、office文件的增删改查；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支持创建多种用户角色，针对不同的用户角色可分配不同的组织权限（包括区域显示、资源访问、资源、配置及操作权限），支持按角色分组；支持多种设备类型统一接入管理，包括解码器、拼控器、综合平台、LED控制器、编码设备、流媒体服务器；</w:t>
            </w:r>
          </w:p>
        </w:tc>
        <w:tc>
          <w:tcPr>
            <w:tcW w:w="690"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3.型号:24芯单模光缆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416.1</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3.型号:48芯单模光缆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992.8</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3.型号:72芯单模光缆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50.14</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1.名称:电源线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3.型号:RVV3*2.5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1459.04</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广播</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调音台</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1.名称:12路调音台</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2.12路平衡式MIC输入兼容≥12路非平衡LINE输入，且每通道具有独立48V供电开关及LED提示灯；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钟声呼叫话筒</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1.名称:钟声呼叫话筒</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IP音频采集器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名称:IP音频采集器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1.网络接口：标准RJ45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2.显示控制：4.3寸电容屏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3.传输速率：10M/100Mbps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4.支持协议：TCP/IP，UDP</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5.网络协议：IPV4/IPV6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6.采样率：16K-48KHz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7.音频格式：MP3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8.音频模式：16位CD音质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9.频率响应：80Hz-16KHz+1/-3dB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10.输入灵敏度：MIC:15mV;AUX:350mV</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4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CD播放器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1.名称:CD播放器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2.采用进口数码机芯，系统+ESS解码方案，超强的纠错功能。支持视频输出。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3.带FM收音调音功能，带蓝牙连接播放。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4.既有CD/DVD部分，蓝牙USB-MP3、FM调频音频可以独立输出，也有音频混合输出接口。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5.配有遥控器，可以用遥控操作播放。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6.带有1个混合输出，总音量电位器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7.含电源线等配件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19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电源管理器(16路电源时序器)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电源管理器(16路电源时序器)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1.采用LCD屏显示地址码，可通关按键自由设定16位地址。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2.设有16个按键独立控制每路电源开与关，1个全区开关控制按钮，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3.设有1路紧急接口输入，1路紧急短路输出，并支持485通讯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4.显示控制：LCD显示屏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5.控制模式：手动/自动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7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UPS不间断电源(3000VA)</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名称:UPS不间断电源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3000VA 高频在线式UPS主机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UPS主机质保3年，后备1小时</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64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真分级网络寻呼话筒</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名称:真分级网络寻呼话筒</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1.桌面式≥10英寸电容触摸屏控制；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2.支持呼叫分区及多个分区，呼叫全区广播；</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3.支持全双工双向对讲功能，自带网络回声消除模块；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4.支持求助信号铃声，一键接受求助、对讲功能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5.设有紧急按钮，可预置应急广播区域任务，按下此按钮就及时启动广播喊话；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6.内置≥1路网络硬件音频解码模块，支持TCP/IP、UDP、IGMP(组播)协议，实现网络化传输16位CD音质的音频信号；</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7.内置≥5W全频高保真扬声器输出，实现双向通话和网络监听；</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IP网络扩声音箱</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名称:IP网络扩声音箱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1.内置网络IP解码模块可实时播网络音乐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2.内置≥2×20W数字功放具有发热小和功效高、CD级音质；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3.内置≥3级优先功能设置：网络报警信号优先AUX和网络背景音乐信号</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4.内置≥5寸低音+≥2寸高音高保真喇叭单元，音质清晰优美；</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5.具有≥1组辅音箱输出接口，输出功率为20W/8Ω，可外接定阻音箱；</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6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48口交换机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1、提供至少1个GPON/EPON自适应PON光口上行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自适应电口≥48个，万兆SFP+接口≥6个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7、整机最大功耗≤80W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满足设计要求及现场施工规范</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台式电脑</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CPU：≥2.7GHz‌；内存：≥8G DDR4 ；固态硬盘：256G SSD+1TB SATA ；USB键鼠、含23.8寸显示器</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校园广播站</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前置放大器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名称:前置放大器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1.设有10路输入通道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2.设有3路音频输出接口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3.线路输出电平/阻抗：1000MV/1KΩ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4.频率响应：60Hz-16KHz+1/-3dB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5.总谐波失真：≤1%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6.信噪比：≥65dB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7.控制方式：增益控制，电源控制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4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数字广播服务器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名称:数字广播服务器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1.支持专用百兆网/千兆网传输，可同时传输上百套节目源，可设置1000个分区；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2.屏幕尺寸：17.3英寸；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3.操控方式：1920*1080P分辨率10点触摸屏；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4.硬盘：标配 128G SSD固态硬盘</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5.内存：标配 DDR3 8G</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6.网卡：千兆网卡；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7.CPU：标配 Intel Core I5，4核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含网络广播系统软件</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数字音频调谐器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数字音频调谐器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1.FM/AM采用石英锁相环路频率合成器式调节回路，接收频率精确稳定，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2.支持调频、调幅（FM/AM）立体声二波段接收选择，电台频率记忆存储可达99个；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3.两组接收天线输入：AM接收天线输入，FM接收天线70Ω输入；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4.谐波失真：≤1%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5.信噪比：&gt;68dB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6.频率响应：60Hz-16KHz+1/-3dB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7.输出电平：阻抗775MV/1KΩ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IP音频采集器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名称:IP音频采集器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1.网络接口：标准RJ45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2.显示控制：4.3寸电容屏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3.传输速率：10M/100Mbps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4.支持协议：TCP/IP，UDP</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5.网络协议：IPV4/IPV6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6.采样率：16K-48KHz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7.音频格式：MP3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8.音频模式：16位CD音质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9.频率响应：80Hz-16KHz+1/-3dB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10.输入灵敏度：MIC:15mV;AUX:350mV</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钟声呼叫话筒</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1.名称:钟声呼叫话筒</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寻呼话筒</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名称:寻呼话筒</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1.桌面式，≥10英寸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2.支持呼叫分区及多个分区，呼叫全区广播；</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3.支持全双工双向对讲功能，自带网络回声消除模块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4.内置MP3解码模块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5.支持求助信号铃声，一键接受求助、对讲功能。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6.内置网络硬件音频解码模块，支持TCP/IP、UDP、IGMP(组播)协议</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7.内置全频高保真扬声器输出；</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IP网络扩声音箱</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名称:IP网络扩声音箱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1.内置网络IP解码模块可实时播网络音乐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2.内置≥2×20W数字功放具有发热小和功效高、CD级音质；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3.内置≥3级优先功能设置：网络报警信号优先AUX和网络背景音乐信号</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4.内置≥5寸低音+≥2寸高音高保真喇叭单元，音质清晰优美；</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5.具有≥1组辅音箱输出接口，输出功率为20W/8Ω，可外接定阻音箱；</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24口交换机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144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专业CD机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名称:专业CD机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1.2路音频信号左右声道输出，输出频响范围为20~20KHz，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2.显示控制：LED显示屏，LCD显示屏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3.音频模式：16位CD音质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4.谐波失真：≤1%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5.信噪比：&gt;68dB</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4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音频前置放大器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名称:音频前置放大器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1.设有10路输入通道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2.设有3路音频输出接口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3.线路输出电平/阻抗：1000MV/1KΩ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4.频率响应：60Hz-16KHz+1/-3dB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5.总谐波失真：≤1%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6.信噪比：≥65dB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7.控制方式：增益控制，电源控制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3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纯后级功放(1000W)</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名称:纯后级功放(1000W)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1.功率输出设有70V/100V定压输出，及4-16Ω定阻输出，输出有效功率为1000W；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2.输出频响范围为80~16KHz；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3.输出额定功率：1000W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4.扬声器输出：4-16Ω,70V/100V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5.输入灵敏度&amp;源阻抗：LINE IN 10KΩ,1V,不平衡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6.输出辅助：600Ω/1V(0dBV)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7.频率响应：80Hz-16KHz+1/-3dB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8.信噪比：≥65dB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9.总谐波失真：≤1%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10.控制方式：增益控制，电源控制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r>
      <w:tr>
        <w:tblPrEx>
          <w:shd w:val="clear" w:color="auto" w:fill="auto"/>
          <w:tblLayout w:type="fixed"/>
          <w:tblCellMar>
            <w:top w:w="0" w:type="dxa"/>
            <w:left w:w="0" w:type="dxa"/>
            <w:bottom w:w="0" w:type="dxa"/>
            <w:right w:w="0" w:type="dxa"/>
          </w:tblCellMar>
        </w:tblPrEx>
        <w:trPr>
          <w:trHeight w:val="4155" w:hRule="atLeast"/>
        </w:trPr>
        <w:tc>
          <w:tcPr>
            <w:tcW w:w="945" w:type="dxa"/>
            <w:tcBorders>
              <w:top w:val="single" w:color="000000" w:sz="4" w:space="0"/>
              <w:left w:val="single" w:color="000000" w:sz="8"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w:t>
            </w:r>
          </w:p>
        </w:tc>
        <w:tc>
          <w:tcPr>
            <w:tcW w:w="1740"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主备切换器（4路）</w:t>
            </w:r>
          </w:p>
        </w:tc>
        <w:tc>
          <w:tcPr>
            <w:tcW w:w="5324"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主备切换器（4路）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1.1U铝合金面板，高集成化、模块化设计；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2.功放倒备与线路检测器二合一；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3.主功放配置灵活，可实现8主1备、7主1备…1主1备；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4.功放状态诊断、实时反馈，自动倒备；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5.喇叭回路支持手动或自动诊断（开路、短路、接地）；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6.集成总线RS485通信接口，可实现远程自动控制；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7.单路分区控制功率：800W rms max/100V 8A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8.功放故障检测：8路主功放+1路备用功放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9.分区故障检测：8路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10.检测时间：不检测、5分钟、1小时、24小时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11.测量精度：±10%线路阻抗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12.电源：AC 90~264V 0.1A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13.保险：T1A-250V  </w:t>
            </w:r>
          </w:p>
        </w:tc>
        <w:tc>
          <w:tcPr>
            <w:tcW w:w="690"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19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电源管理器(16路电源时序器)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电源管理器(16路电源时序器)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1.采用LCD屏显示地址码，可通关按键自由设定16位地址。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2.设有16个按键独立控制每路电源开与关，1个全区开关控制按钮，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3.设有1路紧急接口输入，1路紧急短路输出，并支持485通讯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4.显示控制：LCD显示屏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5.控制模式：手动/自动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7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UPS不间断电源(3000VA)</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名称:UPS不间断电源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3000VA 高频在线式UPS主机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UPS主机质保3年，后备1小时</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3.型号:24芯单模光缆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1760.76</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控制电缆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1.名称:控制电缆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3.型号:WDZN-B1-KYJYP-2x2.5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1760.76</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脚手架搭拆费</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2#教学楼</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9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auto"/>
                <w:sz w:val="20"/>
                <w:szCs w:val="20"/>
                <w:highlight w:val="none"/>
                <w:u w:val="none"/>
                <w:lang w:val="en-US"/>
              </w:rPr>
            </w:pPr>
            <w:r>
              <w:rPr>
                <w:rFonts w:hint="eastAsia" w:ascii="宋体" w:hAnsi="宋体" w:eastAsia="宋体" w:cs="宋体"/>
                <w:i w:val="0"/>
                <w:snapToGrid w:val="0"/>
                <w:color w:val="auto"/>
                <w:kern w:val="0"/>
                <w:sz w:val="20"/>
                <w:szCs w:val="20"/>
                <w:highlight w:val="none"/>
                <w:u w:val="none"/>
                <w:lang w:val="en-US" w:eastAsia="zh-CN" w:bidi="ar"/>
              </w:rPr>
              <w:t>高清人脸识别摄像机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名称:800W高清人脸识别网络摄像机</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1.最高分辨率：≥3840 × 2160 @30 fps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2.传感器类型：≤1/1.8" Progressive Scan CMOS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3.具有耀光抑制功能，耀光区域≤3%。</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4.最低照度：彩色：≤0.002 Lux @（F1.2，AGC ON），0 Lux with Light，黑白：0.0002 Lux @（F1.2，AGC ON），0 Lux with IR</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5.在分辨率1920x1080@25fps，码流设置为1Mbps时，视频图像传输延时≤70ms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6、支持智能资源模式切换：人脸抓拍、道路监控、Smart事件、人数统计、热度图、人脸抓拍模式、道路监控模式、Smart事件模式、人数统计模式</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7.内置鳞镜式补光灯。</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8.安装方式:壁挂安装底边距地2.8米</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r>
      <w:tr>
        <w:tblPrEx>
          <w:shd w:val="clear" w:color="auto" w:fill="auto"/>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枪型摄像机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名称:400万枪型摄像机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1.最高分辨率：≥2560 × 1440 @25 fps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2.传感器类型：≤1/2.7" Progressive Scan CMOS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3.最低照度：彩色：≤0.005 Lux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4.支持SmartIR，防止夜间红外过曝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5.支持背光补偿，强光抑制，3D数字降噪，数字宽动态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6.音频：1个内置麦克风；网络：1个RJ45 10M/100M自适应以太网口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7.视频压缩标准：主码流：H.265，支持超级智能编码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8.支持电源供电和POE供电</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9.安装方式:壁挂安装底边距地2.8米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w:t>
            </w:r>
          </w:p>
        </w:tc>
      </w:tr>
      <w:tr>
        <w:tblPrEx>
          <w:shd w:val="clear" w:color="auto" w:fill="auto"/>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摄像机支架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枪机摄像机支架，镀锌铁，壁式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1.名称:光纤布线配线架(48口)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2.安装方式:距地1.8m挂墙安装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架</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光纤连接盘</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1.名称:光纤连接盘(72口)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320.34</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3.规格:DN32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22.5</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3.规格:DN40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3.74</w:t>
            </w: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UTP-Cat6</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1.名称:UTP-Cat6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2.敷设方式:穿管/桥架</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1281.07</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阻燃软电缆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1.名称:阻燃软电缆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3.型号:WDZ-RYY2*1.0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1281.07</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公共广播系统</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1.输入电压：70V/100V</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2.功率：≥3W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3.灵敏度：94dB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4.频率响应：100-20KHz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5.喇叭单元：2寸×2+1.5寸高音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6.安装方式:吸顶安装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7.广播扬声器应使用阻燃防水材料,或具有阻燃后罩结构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IP网络广播扬声器(带控制开关)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1.10/100M RJ45网络交换机接口，支持局域网与广域网；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2.内置网络IP解码模块可实时播网络音乐及呼叫功能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3.内置≥2×20W数字功放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4.内置5寸低音+2寸高音高保真喇叭单元</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5.4欧/20W功率输出，外接定阻音箱；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6.安装方式:距地2.3m壁装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7.广播扬声器应使用阻燃防水材料,或具有阻燃后罩结构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广播分机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1.名称:广播分机(24口)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1.输出定额功率 650W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2.网络接口 标准RJ45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3.传输速率 10M/100Mbps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4.支持协议 TCP/IP、UDP</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5.采样率 16K-48KHz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6.音频格式 MP3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7.音频模式 16位CD音质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8.频率响应 80Hz-16KHz+1/-3dB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9.谐波失真 ≤1%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10.信噪比 ≥65dB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shd w:val="clear" w:color="auto" w:fill="auto"/>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24口交换机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共用设备网汇聚MDU交换机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共用设备网汇聚MDU交换机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8、交换机需要具备网络信息安全防护能力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293.54</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控制电缆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1.名称:控制电缆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3.型号:WDZN-B1-KYJYP-2x1.5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528.38</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脚手架搭拆费</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3#教学楼</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auto"/>
                <w:sz w:val="20"/>
                <w:szCs w:val="20"/>
                <w:highlight w:val="none"/>
                <w:u w:val="none"/>
                <w:lang w:val="en-US"/>
              </w:rPr>
            </w:pPr>
            <w:r>
              <w:rPr>
                <w:rFonts w:hint="eastAsia" w:ascii="宋体" w:hAnsi="宋体" w:eastAsia="宋体" w:cs="宋体"/>
                <w:i w:val="0"/>
                <w:snapToGrid w:val="0"/>
                <w:color w:val="auto"/>
                <w:kern w:val="0"/>
                <w:sz w:val="20"/>
                <w:szCs w:val="20"/>
                <w:highlight w:val="none"/>
                <w:u w:val="none"/>
                <w:lang w:val="en-US" w:eastAsia="zh-CN" w:bidi="ar"/>
              </w:rPr>
              <w:t>高清人脸识别摄像机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名称:800W高清人脸识别网络摄像机</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1.最高分辨率：≥3840 × 2160 @30 fps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2.传感器类型：≤1/1.8" Progressive Scan CMOS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3.具有耀光抑制功能，耀光区域≤3%。</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4.最低照度：彩色：≤0.002 Lux @（F1.2，AGC ON），0 Lux with Light，黑白：0.0002 Lux @（F1.2，AGC ON），0 Lux with IR</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5.在分辨率1920x1080@25fps，码流设置为1Mbps时，视频图像传输延时≤70ms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6、支持智能资源模式切换：人脸抓拍、道路监控、Smart事件、人数统计、热度图、人脸抓拍模式、道路监控模式、Smart事件模式、人数统计模式</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7.内置鳞镜式补光灯。</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8.安装方式:壁挂安装底边距地2.8米</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r>
      <w:tr>
        <w:tblPrEx>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枪型摄像机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名称:400万枪型摄像机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1.最高分辨率：≥2560 × 1440 @25 fps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2.传感器类型：≤1/2.7" Progressive Scan CMOS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3.最低照度：彩色：≤0.005 Lux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4.支持SmartIR，防止夜间红外过曝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5.支持背光补偿，强光抑制，3D数字降噪，数字宽动态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6.音频：1个内置麦克风；网络：1个RJ45 10M/100M自适应以太网口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7.视频压缩标准：主码流：H.265，支持超级智能编码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8.支持电源供电和POE供电</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9.安装方式:壁挂安装底边距地2.8米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w:t>
            </w:r>
          </w:p>
        </w:tc>
      </w:tr>
      <w:tr>
        <w:tblPrEx>
          <w:shd w:val="clear" w:color="auto" w:fill="auto"/>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摄像机支架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枪机摄像机支架，镀锌铁，壁式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1.名称:光纤布线配线架(48口)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2.安装方式:距地1.8m挂墙安装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架</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光纤连接盘</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1.名称:光纤连接盘(72口)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320.34</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3.规格:DN32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22.5</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3.规格:DN40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3.74</w:t>
            </w: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UTP-Cat6</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1.名称:UTP-Cat6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2.敷设方式:穿管/桥架</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1281.07</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阻燃软电缆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1.名称:阻燃软电缆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3.型号:WDZ-RYY2*1.0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1281.07</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公共广播系统</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1.输入电压：70V/100V</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2.功率：≥3W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3.灵敏度：94dB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4.频率响应：100-20KHz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5.喇叭单元：2寸×2+1.5寸高音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6.安装方式:吸顶安装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7.广播扬声器应使用阻燃防水材料,或具有阻燃后罩结构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IP网络广播扬声器(带控制开关)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1.10/100M RJ45网络交换机接口，支持局域网与广域网；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2.内置网络IP解码模块可实时播网络音乐及呼叫功能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3.内置≥2×20W数字功放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4.内置5寸低音+2寸高音高保真喇叭单元</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5.4欧/20W功率输出，外接定阻音箱；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6.安装方式:距地2.3m壁装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7.广播扬声器应使用阻燃防水材料,或具有阻燃后罩结构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广播分机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1.名称:广播分机(24口)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1.输出定额功率 650W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2.网络接口 标准RJ45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3.传输速率 10M/100Mbps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4.支持协议 TCP/IP、UDP</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5.采样率 16K-48KHz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6.音频格式 MP3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7.音频模式 16位CD音质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8.频率响应 80Hz-16KHz+1/-3dB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9.谐波失真 ≤1%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10.信噪比 ≥65dB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24口交换机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共用设备网汇聚MDU交换机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8、交换机需要具备网络信息安全防护能力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293.54</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控制电缆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1.名称:控制电缆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3.型号:WDZN-B1-KYJYP-2x1.5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528.38</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脚手架搭拆费</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4#教学楼</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auto"/>
                <w:sz w:val="20"/>
                <w:szCs w:val="20"/>
                <w:highlight w:val="none"/>
                <w:u w:val="none"/>
                <w:lang w:val="en-US"/>
              </w:rPr>
            </w:pPr>
            <w:r>
              <w:rPr>
                <w:rFonts w:hint="eastAsia" w:ascii="宋体" w:hAnsi="宋体" w:eastAsia="宋体" w:cs="宋体"/>
                <w:i w:val="0"/>
                <w:snapToGrid w:val="0"/>
                <w:color w:val="auto"/>
                <w:kern w:val="0"/>
                <w:sz w:val="20"/>
                <w:szCs w:val="20"/>
                <w:highlight w:val="none"/>
                <w:u w:val="none"/>
                <w:lang w:val="en-US" w:eastAsia="zh-CN" w:bidi="ar"/>
              </w:rPr>
              <w:t>高清人脸识别摄像机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名称:800W高清人脸识别网络摄像机</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1.最高分辨率：≥3840 × 2160 @30 fps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2.传感器类型：≤1/1.8" Progressive Scan CMOS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3.具有耀光抑制功能，耀光区域≤3%。</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4.最低照度：彩色：≤0.002 Lux @（F1.2，AGC ON），0 Lux with Light，黑白：0.0002 Lux @（F1.2，AGC ON），0 Lux with IR</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5.在分辨率1920x1080@25fps，码流设置为1Mbps时，视频图像传输延时≤70ms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6、支持智能资源模式切换：人脸抓拍、道路监控、Smart事件、人数统计、热度图、人脸抓拍模式、道路监控模式、Smart事件模式、人数统计模式</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7.内置鳞镜式补光灯。</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8.安装方式:壁挂安装底边距地2.8米</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r>
      <w:tr>
        <w:tblPrEx>
          <w:shd w:val="clear" w:color="auto" w:fill="auto"/>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枪型摄像机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名称:400万枪型摄像机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1.最高分辨率：≥2560 × 1440 @25 fps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2.传感器类型：≤1/2.7" Progressive Scan CMOS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3.最低照度：彩色：≤0.005 Lux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4.支持SmartIR，防止夜间红外过曝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5.支持背光补偿，强光抑制，3D数字降噪，数字宽动态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6.音频：1个内置麦克风；网络：1个RJ45 10M/100M自适应以太网口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7.视频压缩标准：主码流：H.265，支持超级智能编码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8.支持电源供电和POE供电</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9.安装方式:壁挂安装底边距地2.8米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w:t>
            </w:r>
          </w:p>
        </w:tc>
      </w:tr>
      <w:tr>
        <w:tblPrEx>
          <w:shd w:val="clear" w:color="auto" w:fill="auto"/>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摄像机支架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枪机摄像机支架，镀锌铁，壁式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1.名称:光纤布线配线架(48口)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2.安装方式:距地1.8m挂墙安装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架</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光纤连接盘</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1.名称:光纤连接盘(72口)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329.94</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3.规格:DN32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22.37</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3.规格:DN40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3.61</w:t>
            </w: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UTP-Cat6</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1.名称:UTP-Cat6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2.敷设方式:穿管/桥架</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1462.37</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阻燃软电缆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1.名称:阻燃软电缆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3.型号:WDZ-RYY2*1.0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1462.37</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公共广播系统</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1.输入电压：70V/100V</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2.功率：≥3W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3.灵敏度：94dB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4.频率响应：100-20KHz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5.喇叭单元：2寸×2+1.5寸高音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6.安装方式:吸顶安装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7.广播扬声器应使用阻燃防水材料,或具有阻燃后罩结构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IP网络广播扬声器(带控制开关)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1.10/100M RJ45网络交换机接口，支持局域网与广域网；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2.内置网络IP解码模块可实时播网络音乐及呼叫功能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3.内置≥2×20W数字功放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4.内置5寸低音+2寸高音高保真喇叭单元</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5.4欧/20W功率输出，外接定阻音箱；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6.安装方式:距地2.3m壁装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7.广播扬声器应使用阻燃防水材料,或具有阻燃后罩结构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广播分机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1.名称:广播分机(24口)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1.输出定额功率 650W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2.网络接口 标准RJ45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3.传输速率 10M/100Mbps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4.支持协议 TCP/IP、UDP</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5.采样率 16K-48KHz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6.音频格式 MP3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7.音频模式 16位CD音质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8.频率响应 80Hz-16KHz+1/-3dB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9.谐波失真 ≤1%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10.信噪比 ≥65dB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24口交换机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共用设备网汇聚MDU交换机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8、交换机需要具备网络信息安全防护能力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289.92</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控制电缆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1.名称:控制电缆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3.型号:WDZN-B1-KYJYP-2x1.5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524.18</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脚手架搭拆费</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5#宿舍楼</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电梯摄像机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名称:电梯摄像机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1.≥400万半球形摄像枪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2.最高分辨率：≥2560 × 1440 @25 fps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3.传感器类型：≤1/2.7" Progressive Scan CMOS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4.最低照度：彩色：≤0.005 Lux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5.支持SmartIR，防止夜间红外过曝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6.支持背光补偿，强光抑制，3D数字降噪，数字宽动态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7.支持开放型网络视频接口，ISAPI，SDK，GB28181协议</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8.音频：1个内置麦克风；网络：1个RJ45 10M/100M自适应以太网口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9.安装方式:轿厢内安装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auto"/>
                <w:sz w:val="20"/>
                <w:szCs w:val="20"/>
                <w:highlight w:val="none"/>
                <w:u w:val="none"/>
                <w:lang w:val="en-US"/>
              </w:rPr>
            </w:pPr>
            <w:r>
              <w:rPr>
                <w:rFonts w:hint="eastAsia" w:ascii="宋体" w:hAnsi="宋体" w:eastAsia="宋体" w:cs="宋体"/>
                <w:i w:val="0"/>
                <w:snapToGrid w:val="0"/>
                <w:color w:val="auto"/>
                <w:kern w:val="0"/>
                <w:sz w:val="20"/>
                <w:szCs w:val="20"/>
                <w:highlight w:val="none"/>
                <w:u w:val="none"/>
                <w:lang w:val="en-US" w:eastAsia="zh-CN" w:bidi="ar"/>
              </w:rPr>
              <w:t>高清人脸识别摄像机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名称:800W高清人脸识别网络摄像机</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1.最高分辨率：≥3840 × 2160 @30 fps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2.传感器类型：≤1/1.8" Progressive Scan CMOS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3.具有耀光抑制功能，耀光区域≤3%。</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4.最低照度：彩色：≤0.002 Lux @（F1.2，AGC ON），0 Lux with Light，黑白：0.0002 Lux @（F1.2，AGC ON），0 Lux with IR</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5.在分辨率1920x1080@25fps，码流设置为1Mbps时，视频图像传输延时≤70ms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6、支持智能资源模式切换：人脸抓拍、道路监控、Smart事件、人数统计、热度图、人脸抓拍模式、道路监控模式、Smart事件模式、人数统计模式</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7.内置鳞镜式补光灯。</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8.安装方式:壁挂安装底边距地2.8米</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r>
      <w:tr>
        <w:tblPrEx>
          <w:shd w:val="clear" w:color="auto" w:fill="auto"/>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枪型摄像机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名称:400万枪型摄像机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1.最高分辨率：≥2560 × 1440 @25 fps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2.传感器类型：≤1/2.7" Progressive Scan CMOS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3.最低照度：彩色：≤0.005 Lux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4.支持SmartIR，防止夜间红外过曝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5.支持背光补偿，强光抑制，3D数字降噪，数字宽动态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6.音频：1个内置麦克风；网络：1个RJ45 10M/100M自适应以太网口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7.视频压缩标准：主码流：H.265，支持超级智能编码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8.支持电源供电和POE供电</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9.安装方式:壁挂安装底边距地2.8米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w:t>
            </w:r>
          </w:p>
        </w:tc>
      </w:tr>
      <w:tr>
        <w:tblPrEx>
          <w:shd w:val="clear" w:color="auto" w:fill="auto"/>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摄像机支架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枪机摄像机支架，镀锌铁，壁式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1.名称:光纤布线配线架(48口)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2.安装方式:距地1.8m挂墙安装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架</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光纤连接盘</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1.名称:光纤连接盘(72口)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426.2</w:t>
            </w: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UTP-Cat6</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1.名称:UTP-Cat6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2.敷设方式:穿管/桥架</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1308.73</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阻燃软电缆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1.名称:阻燃软电缆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3.型号:WDZ-RYY2*1.0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1308.73</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公共广播系统</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1.输入电压：70V/100V</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2.功率：≥3W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3.灵敏度：94dB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4.频率响应：100-20KHz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5.喇叭单元：2寸×2+1.5寸高音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6.安装方式:吸顶安装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7.广播扬声器应使用阻燃防水材料,或具有阻燃后罩结构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广播分机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1.名称:广播分机(24口)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1.输出定额功率 650W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2.网络接口 标准RJ45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3.传输速率 10M/100Mbps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4.支持协议 TCP/IP、UDP</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5.采样率 16K-48KHz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6.音频格式 MP3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7.音频模式 16位CD音质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8.频率响应 80Hz-16KHz+1/-3dB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9.谐波失真 ≤1%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10.信噪比 ≥65dB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24口交换机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共用设备网汇聚MDU交换机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8、交换机需要具备网络信息安全防护能力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49.89</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控制电缆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1.名称:控制电缆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3.型号:WDZN-B1-KYJYP-2x1.5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308.89</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脚手架搭拆费</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6#食堂</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auto"/>
                <w:sz w:val="20"/>
                <w:szCs w:val="20"/>
                <w:highlight w:val="none"/>
                <w:u w:val="none"/>
                <w:lang w:val="en-US"/>
              </w:rPr>
            </w:pPr>
            <w:r>
              <w:rPr>
                <w:rFonts w:hint="eastAsia" w:ascii="宋体" w:hAnsi="宋体" w:eastAsia="宋体" w:cs="宋体"/>
                <w:i w:val="0"/>
                <w:snapToGrid w:val="0"/>
                <w:color w:val="auto"/>
                <w:kern w:val="0"/>
                <w:sz w:val="20"/>
                <w:szCs w:val="20"/>
                <w:highlight w:val="none"/>
                <w:u w:val="none"/>
                <w:lang w:val="en-US" w:eastAsia="zh-CN" w:bidi="ar"/>
              </w:rPr>
              <w:t>高清人脸识别摄像机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名称:800W高清人脸识别网络摄像机</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1.最高分辨率：≥3840 × 2160 @30 fps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2.传感器类型：≤1/1.8" Progressive Scan CMOS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3.具有耀光抑制功能，耀光区域≤3%。</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4.最低照度：彩色：≤0.002 Lux @（F1.2，AGC ON），0 Lux with Light，黑白：0.0002 Lux @（F1.2，AGC ON），0 Lux with IR</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5.在分辨率1920x1080@25fps，码流设置为1Mbps时，视频图像传输延时≤70ms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6、支持智能资源模式切换：人脸抓拍、道路监控、Smart事件、人数统计、热度图、人脸抓拍模式、道路监控模式、Smart事件模式、人数统计模式</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7.内置鳞镜式补光灯。</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8.安装方式:壁挂安装底边距地2.8米</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r>
      <w:tr>
        <w:tblPrEx>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枪型摄像机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名称:400万枪型摄像机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1.最高分辨率：≥2560 × 1440 @25 fps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2.传感器类型：≤1/2.7" Progressive Scan CMOS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3.最低照度：彩色：≤0.005 Lux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4.支持SmartIR，防止夜间红外过曝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5.支持背光补偿，强光抑制，3D数字降噪，数字宽动态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6.音频：1个内置麦克风；网络：1个RJ45 10M/100M自适应以太网口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7.视频压缩标准：主码流：H.265，支持超级智能编码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8.支持电源供电和POE供电</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9.安装方式:壁挂安装底边距地2.8米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w:t>
            </w:r>
          </w:p>
        </w:tc>
      </w:tr>
      <w:tr>
        <w:tblPrEx>
          <w:shd w:val="clear" w:color="auto" w:fill="auto"/>
          <w:tblLayout w:type="fixed"/>
          <w:tblCellMar>
            <w:top w:w="0" w:type="dxa"/>
            <w:left w:w="0" w:type="dxa"/>
            <w:bottom w:w="0" w:type="dxa"/>
            <w:right w:w="0" w:type="dxa"/>
          </w:tblCellMar>
        </w:tblPrEx>
        <w:trPr>
          <w:trHeight w:val="5451" w:hRule="atLeast"/>
        </w:trPr>
        <w:tc>
          <w:tcPr>
            <w:tcW w:w="945" w:type="dxa"/>
            <w:tcBorders>
              <w:top w:val="single" w:color="000000" w:sz="4" w:space="0"/>
              <w:left w:val="single" w:color="000000" w:sz="8"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140</w:t>
            </w:r>
          </w:p>
        </w:tc>
        <w:tc>
          <w:tcPr>
            <w:tcW w:w="1740"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透雾摄像机(带热成像功能)</w:t>
            </w:r>
          </w:p>
        </w:tc>
        <w:tc>
          <w:tcPr>
            <w:tcW w:w="5324"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snapToGrid w:val="0"/>
                <w:color w:val="auto"/>
                <w:kern w:val="0"/>
                <w:sz w:val="20"/>
                <w:szCs w:val="20"/>
                <w:highlight w:val="none"/>
                <w:u w:val="none"/>
                <w:lang w:val="en-US" w:eastAsia="zh-CN" w:bidi="ar"/>
              </w:rPr>
            </w:pPr>
            <w:r>
              <w:rPr>
                <w:rFonts w:hint="eastAsia" w:ascii="宋体" w:hAnsi="宋体" w:eastAsia="宋体" w:cs="宋体"/>
                <w:i w:val="0"/>
                <w:snapToGrid w:val="0"/>
                <w:color w:val="auto"/>
                <w:kern w:val="0"/>
                <w:sz w:val="20"/>
                <w:szCs w:val="20"/>
                <w:highlight w:val="none"/>
                <w:u w:val="none"/>
                <w:lang w:val="en-US" w:eastAsia="zh-CN" w:bidi="ar"/>
              </w:rPr>
              <w:t>名称:透雾摄像机(带热成像功能)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热成像像素256 × 192，像元大小12um，NETD ≤ 35 mK (25°C, F1.0)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热成像传感器类型：氧化钒非制冷型探测器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支持区域入侵探测、越界探测、进入区域探测、离开区域探测、音频异常探测、高温物体检测等功能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支持测温功能:支持普通测温，专家测温检测</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支持吸烟检测、火点检测、烟雾检测</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支持联动白光报警、支持联动声音报警，内置白光灯和扬声器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智能功能资源配置：测温、周界功能支持同时开启。测温、火点检测、烟雾检测支持同时开启。测温、AI开放平台支持同时开启。周界功能不支持与火点、吸烟、烟雾检测两两同时开启。</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支持线性、直方图、自适应等热成像AGC模式，支持DDE、3D DNR。</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测温范围：测温范围：-20 °C~300 °C</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测温精度：测温精度：±8 °C或者读数的±8%（取最大值）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可见光传感器类型：400万星光级1/2.7" Progressive Scan CMOS</w:t>
            </w:r>
          </w:p>
        </w:tc>
        <w:tc>
          <w:tcPr>
            <w:tcW w:w="690"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摄像机支架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枪机摄像机支架，镀锌铁，壁式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1.名称:光纤布线配线架(96口)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2.安装方式:距地1.8m挂墙安装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架</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shd w:val="clear" w:color="auto" w:fill="auto"/>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光纤连接盘</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1.名称:光纤连接盘(96口)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574.63</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3.规格:DN32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70.44</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3.规格:DN40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51.79</w:t>
            </w: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UTP-Cat6</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1.名称:UTP-Cat6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2.敷设方式:穿管/桥架</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2869.97</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阻燃软电缆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1.名称:阻燃软电缆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3.型号:WDZ-RYY2*1.0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2869.97</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公共广播系统</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1.输入电压：70V/100V</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2.功率：≥3W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3.灵敏度：94dB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4.频率响应：100-20KHz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5.喇叭单元：2寸×2+1.5寸高音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6.安装方式:吸顶安装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7.广播扬声器应使用阻燃防水材料,或具有阻燃后罩结构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广播分机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1.名称:广播分机(24口)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1.输出定额功率 650W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2.网络接口 标准RJ45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3.传输速率 10M/100Mbps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4.支持协议 TCP/IP、UDP</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5.采样率 16K-48KHz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6.音频格式 MP3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7.音频模式 16位CD音质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8.频率响应 80Hz-16KHz+1/-3dB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9.谐波失真 ≤1%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10.信噪比 ≥65dB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24口交换机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shd w:val="clear" w:color="auto" w:fill="auto"/>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共用设备网汇聚MDU交换机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8、交换机需要具备网络信息安全防护能力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shd w:val="clear" w:color="auto" w:fill="auto"/>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85.9</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控制电缆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1.名称:控制电缆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3.型号:WDZN-B1-KYJYP-2x1.5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286.41</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脚手架搭拆费</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地下室</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auto"/>
                <w:sz w:val="20"/>
                <w:szCs w:val="20"/>
                <w:highlight w:val="none"/>
                <w:u w:val="none"/>
                <w:lang w:val="en-US"/>
              </w:rPr>
            </w:pPr>
            <w:r>
              <w:rPr>
                <w:rFonts w:hint="eastAsia" w:ascii="宋体" w:hAnsi="宋体" w:eastAsia="宋体" w:cs="宋体"/>
                <w:i w:val="0"/>
                <w:snapToGrid w:val="0"/>
                <w:color w:val="auto"/>
                <w:kern w:val="0"/>
                <w:sz w:val="20"/>
                <w:szCs w:val="20"/>
                <w:highlight w:val="none"/>
                <w:u w:val="none"/>
                <w:lang w:val="en-US" w:eastAsia="zh-CN" w:bidi="ar"/>
              </w:rPr>
              <w:t>高清人脸识别摄像机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名称:800W高清人脸识别网络摄像机</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1.最高分辨率：≥3840 × 2160 @30 fps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2.传感器类型：≤1/1.8" Progressive Scan CMOS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3.具有耀光抑制功能，耀光区域≤3%。</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4.最低照度：彩色：≤0.002 Lux @（F1.2，AGC ON），0 Lux with Light，黑白：0.0002 Lux @（F1.2，AGC ON），0 Lux with IR</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5.在分辨率1920x1080@25fps，码流设置为1Mbps时，视频图像传输延时≤70ms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6、支持智能资源模式切换：人脸抓拍、道路监控、Smart事件、人数统计、热度图、人脸抓拍模式、道路监控模式、Smart事件模式、人数统计模式</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7.内置鳞镜式补光灯。</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8.安装方式:壁挂安装底边距地2.8米</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r>
      <w:tr>
        <w:tblPrEx>
          <w:shd w:val="clear" w:color="auto" w:fill="auto"/>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枪型摄像机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名称:400万枪型摄像机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1.最高分辨率：≥2560 × 1440 @25 fps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2.传感器类型：≤1/2.7" Progressive Scan CMOS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3.最低照度：彩色：≤0.005 Lux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4.支持SmartIR，防止夜间红外过曝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5.支持背光补偿，强光抑制，3D数字降噪，数字宽动态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6.音频：1个内置麦克风；网络：1个RJ45 10M/100M自适应以太网口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7.视频压缩标准：主码流：H.265，支持超级智能编码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8.支持电源供电和POE供电</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9.安装方式:壁挂安装底边距地2.8米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摄像机支架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枪机摄像机支架，镀锌铁，壁式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1.名称:光纤布线配线架(48口)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2.安装方式:距地1.8m挂墙安装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架</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名称:24口交换机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光纤连接盘</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1.名称:光纤连接盘(72口)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510.73</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3.规格:DN32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125.06</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2.材质:JDG管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3.规格:DN40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108.17</w:t>
            </w: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UTP-Cat6</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1.名称:UTP-Cat6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2.敷设方式:穿管/桥架</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1828.86</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阻燃软电缆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1.名称:阻燃软电缆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3.型号:WDZ-RYY2*1.0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1828.86</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公共广播系统</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1.输入电压：70V/100V</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2.功率：≥3W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3.灵敏度：94dB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4.频率响应：100-20KHz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5.喇叭单元：2寸×2+1.5寸高音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6.安装方式:吸顶安装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7.广播扬声器应使用阻燃防水材料,或具有阻燃后罩结构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广播分机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1.名称:广播分机(24口)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1.输出定额功率 650W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2.网络接口 标准RJ45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3.传输速率 10M/100Mbps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4.支持协议 TCP/IP、UDP</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5.采样率 16K-48KHz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6.音频格式 MP3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7.音频模式 16位CD音质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8.频率响应 80Hz-16KHz+1/-3dB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9.谐波失真 ≤1%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10.信噪比 ≥65dB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4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前置放大器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名称:前置放大器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1.设有10路输入通道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2.设有3路音频输出接口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3.线路输出电平/阻抗：1000MV/1KΩ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4.频率响应：60Hz-16KHz+1/-3dB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5.总谐波失真：≤1%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6.信噪比：≥65dB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7.控制方式：增益控制，电源控制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纯后级功放(1000W)</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名称:纯后级功放(1000W)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1.功率输出设有70V/100V定压输出，及4-16Ω定阻输出，输出有效功率为1000W；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2.输出频响范围为80~16KHz；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3.输出额定功率：1000W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4.扬声器输出：4-16Ω,70V/100V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5.输入灵敏度&amp;源阻抗：LINE IN 10KΩ,1V,不平衡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6.输出辅助：600Ω/1V(0dBV)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7.频率响应：80Hz-16KHz+1/-3dB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8.信噪比：≥65dB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9.总谐波失真：≤1%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10.控制方式：增益控制，电源控制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共用设备网汇聚MDU交换机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8、交换机需要具备网络信息安全防护能力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4.配置形式:明敷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101.46</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控制电缆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1.名称:控制电缆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3.型号:WDZN-B1-KYJYP-2x1.5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106.66</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脚手架搭拆费</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室外工程</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安防监控系统</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设备箱</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1.名称:设备箱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2.安装方式:杆上1.5m</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r>
      <w:tr>
        <w:tblPrEx>
          <w:shd w:val="clear" w:color="auto" w:fill="auto"/>
          <w:tblLayout w:type="fixed"/>
          <w:tblCellMar>
            <w:top w:w="0" w:type="dxa"/>
            <w:left w:w="0" w:type="dxa"/>
            <w:bottom w:w="0" w:type="dxa"/>
            <w:right w:w="0" w:type="dxa"/>
          </w:tblCellMar>
        </w:tblPrEx>
        <w:trPr>
          <w:trHeight w:val="47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名称:SWITCH交换机，由1*8口ONU+2*4口ONU组成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电口≥16个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3、上下行速率：≥1.25Gbps/2.5Gbps，≥1.25Gbps/1.25Gbps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4、支持GPON、EPON自动切换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5、设备应支持动态带宽分配机制使所有用户可更合理地共享带宽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6、设备所有端口应支持6KV防雷能力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7、设备应支持环路检测和自愈,支持远程环回监视和控制(802.3ah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8、支持云端管理、云备份配置、具备独立移动管理APP或微信小程序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64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w:t>
            </w:r>
            <w:bookmarkStart w:id="1" w:name="OLE_LINK1"/>
            <w:r>
              <w:rPr>
                <w:rFonts w:hint="eastAsia" w:ascii="宋体" w:hAnsi="宋体" w:eastAsia="宋体" w:cs="宋体"/>
                <w:i w:val="0"/>
                <w:snapToGrid w:val="0"/>
                <w:color w:val="auto"/>
                <w:kern w:val="0"/>
                <w:sz w:val="20"/>
                <w:szCs w:val="20"/>
                <w:highlight w:val="none"/>
                <w:u w:val="none"/>
                <w:lang w:val="en-US" w:eastAsia="zh-CN" w:bidi="ar"/>
              </w:rPr>
              <w:t>SWITCH</w:t>
            </w:r>
            <w:bookmarkEnd w:id="1"/>
            <w:r>
              <w:rPr>
                <w:rFonts w:hint="eastAsia" w:ascii="宋体" w:hAnsi="宋体" w:eastAsia="宋体" w:cs="宋体"/>
                <w:i w:val="0"/>
                <w:snapToGrid w:val="0"/>
                <w:color w:val="auto"/>
                <w:kern w:val="0"/>
                <w:sz w:val="20"/>
                <w:szCs w:val="20"/>
                <w:highlight w:val="none"/>
                <w:u w:val="none"/>
                <w:lang w:val="en-US" w:eastAsia="zh-CN" w:bidi="ar"/>
              </w:rPr>
              <w:t>交换机 ，由2*8口ONU+5*4口ONU组成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电口≥36个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3、上下行速率：≥1.25Gbps/2.5Gbps，≥1.25Gbps/1.25Gbps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4、支持GPON、EPON自动切换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5、设备所有端口应支持6KV防雷能力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6、设备应支持环路检测和自愈,支持远程环回监视和控制(802.3ah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64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名称:SWITCH交换机 ，由2*8口ONU+3*4口ONU组成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电口≥28个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3、上下行速率：≥1.25Gbps/2.5Gbps，≥1.25Gbps/1.25Gbps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4、支持GPON、EPON自动切换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5、设备所有端口应支持6KV防雷能力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6、设备应支持环路检测和自愈,支持远程环回监视和控制(802.3ah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64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名称:SWITCH交换机 ，由7*4口ONU组成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电口≥28个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3、上下行速率：≥1.25Gbps/2.5Gbps，≥1.25Gbps/1.25Gbps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4、支持GPON、EPON自动切换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5、设备所有端口应支持6KV防雷能力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6、设备应支持环路检测和自愈,支持远程环回监视和控制(802.3ah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名称:SWITCH交换机，由4*4口ONU组成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电口≥16个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3、上下行速率：≥1.25Gbps/2.5Gbps，≥1.25Gbps/1.25Gbps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4、支持GPON、EPON自动切换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5、设备应支持动态带宽分配机制使所有用户可更合理地共享带宽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6、设备所有端口应支持6KV防雷能力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7、设备应支持环路检测和自愈,支持远程环回监视和控制(802.3ah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8、支持云端管理、云备份配置、具备独立移动管理APP或微信小程序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光缆终端盒</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1.名称:8口光纤盒</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2.安装方式:设备箱内安装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3.含的跳线、尾纤、耦合器、电源线等配件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r>
      <w:tr>
        <w:tblPrEx>
          <w:tblLayout w:type="fixed"/>
          <w:tblCellMar>
            <w:top w:w="0" w:type="dxa"/>
            <w:left w:w="0" w:type="dxa"/>
            <w:bottom w:w="0" w:type="dxa"/>
            <w:right w:w="0" w:type="dxa"/>
          </w:tblCellMar>
        </w:tblPrEx>
        <w:trPr>
          <w:trHeight w:val="7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监控专用电源</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1.名称:监控专用电源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2.规格:220V/-12V</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3.安装方式:设备箱内安装</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r>
      <w:tr>
        <w:tblPrEx>
          <w:tblLayout w:type="fixed"/>
          <w:tblCellMar>
            <w:top w:w="0" w:type="dxa"/>
            <w:left w:w="0" w:type="dxa"/>
            <w:bottom w:w="0" w:type="dxa"/>
            <w:right w:w="0" w:type="dxa"/>
          </w:tblCellMar>
        </w:tblPrEx>
        <w:trPr>
          <w:trHeight w:val="19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cs="宋体"/>
                <w:color w:val="auto"/>
                <w:kern w:val="0"/>
                <w:szCs w:val="21"/>
                <w:highlight w:val="none"/>
              </w:rPr>
              <w:t>高空抛物专用摄像机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snapToGrid w:val="0"/>
                <w:color w:val="auto"/>
                <w:kern w:val="0"/>
                <w:sz w:val="20"/>
                <w:szCs w:val="20"/>
                <w:highlight w:val="none"/>
                <w:u w:val="none"/>
                <w:lang w:val="en-US" w:eastAsia="zh-CN" w:bidi="ar"/>
              </w:rPr>
            </w:pPr>
            <w:r>
              <w:rPr>
                <w:rFonts w:hint="eastAsia" w:ascii="宋体" w:hAnsi="宋体" w:eastAsia="宋体" w:cs="宋体"/>
                <w:i w:val="0"/>
                <w:snapToGrid w:val="0"/>
                <w:color w:val="auto"/>
                <w:kern w:val="0"/>
                <w:sz w:val="20"/>
                <w:szCs w:val="20"/>
                <w:highlight w:val="none"/>
                <w:u w:val="none"/>
                <w:lang w:val="en-US" w:eastAsia="zh-CN" w:bidi="ar"/>
              </w:rPr>
              <w:t>400万高空抛物变焦智能网络摄像机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最高分辨率：≥2560 × 1440 @30 fps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传感器类型：≤1/1.8" Progressive Scan CMOS</w:t>
            </w:r>
          </w:p>
          <w:p>
            <w:pPr>
              <w:widowControl/>
              <w:jc w:val="left"/>
              <w:rPr>
                <w:rFonts w:hint="eastAsia" w:ascii="宋体" w:hAnsi="宋体" w:eastAsia="宋体" w:cs="宋体"/>
                <w:i w:val="0"/>
                <w:color w:val="auto"/>
                <w:sz w:val="20"/>
                <w:szCs w:val="20"/>
                <w:highlight w:val="none"/>
                <w:u w:val="none"/>
              </w:rPr>
            </w:pPr>
            <w:r>
              <w:rPr>
                <w:rFonts w:ascii="宋体" w:hAnsi="宋体" w:eastAsia="宋体" w:cs="宋体"/>
                <w:color w:val="auto"/>
                <w:sz w:val="21"/>
                <w:szCs w:val="21"/>
                <w:highlight w:val="none"/>
              </w:rPr>
              <w:t>信噪比</w:t>
            </w:r>
            <w:r>
              <w:rPr>
                <w:rFonts w:hint="eastAsia" w:ascii="宋体" w:hAnsi="宋体" w:eastAsia="宋体" w:cs="宋体"/>
                <w:color w:val="auto"/>
                <w:sz w:val="21"/>
                <w:szCs w:val="21"/>
                <w:highlight w:val="none"/>
                <w:lang w:val="en-US" w:eastAsia="zh-CN"/>
              </w:rPr>
              <w:t>≥58</w:t>
            </w:r>
            <w:r>
              <w:rPr>
                <w:rFonts w:ascii="宋体" w:hAnsi="宋体" w:eastAsia="宋体" w:cs="宋体"/>
                <w:color w:val="auto"/>
                <w:sz w:val="21"/>
                <w:szCs w:val="21"/>
                <w:highlight w:val="none"/>
              </w:rPr>
              <w:t>dB，照度适应范围不低于1</w:t>
            </w:r>
            <w:r>
              <w:rPr>
                <w:rFonts w:hint="eastAsia" w:ascii="宋体" w:hAnsi="宋体" w:eastAsia="宋体" w:cs="宋体"/>
                <w:color w:val="auto"/>
                <w:sz w:val="21"/>
                <w:szCs w:val="21"/>
                <w:highlight w:val="none"/>
                <w:lang w:val="en-US" w:eastAsia="zh-CN"/>
              </w:rPr>
              <w:t>30</w:t>
            </w:r>
            <w:r>
              <w:rPr>
                <w:rFonts w:ascii="宋体" w:hAnsi="宋体" w:eastAsia="宋体" w:cs="宋体"/>
                <w:color w:val="auto"/>
                <w:sz w:val="21"/>
                <w:szCs w:val="21"/>
                <w:highlight w:val="none"/>
              </w:rPr>
              <w:t>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最低照度：彩色：≤0.0005 Lux @（F1.0，AGC ON）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视频压缩标准：主码流：H.265，支持超级智能编码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支持电源供电和POE供电</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支持双码流技术，支持同时20路取流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安装方式:立杆安装</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w:t>
            </w:r>
          </w:p>
        </w:tc>
      </w:tr>
      <w:tr>
        <w:tblPrEx>
          <w:tblLayout w:type="fixed"/>
          <w:tblCellMar>
            <w:top w:w="0" w:type="dxa"/>
            <w:left w:w="0" w:type="dxa"/>
            <w:bottom w:w="0" w:type="dxa"/>
            <w:right w:w="0" w:type="dxa"/>
          </w:tblCellMar>
        </w:tblPrEx>
        <w:trPr>
          <w:trHeight w:val="19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auto"/>
                <w:sz w:val="20"/>
                <w:szCs w:val="20"/>
                <w:highlight w:val="none"/>
                <w:u w:val="none"/>
                <w:lang w:val="en-US"/>
              </w:rPr>
            </w:pPr>
            <w:r>
              <w:rPr>
                <w:rFonts w:hint="eastAsia" w:ascii="宋体" w:hAnsi="宋体" w:eastAsia="宋体" w:cs="宋体"/>
                <w:i w:val="0"/>
                <w:snapToGrid w:val="0"/>
                <w:color w:val="auto"/>
                <w:kern w:val="0"/>
                <w:sz w:val="20"/>
                <w:szCs w:val="20"/>
                <w:highlight w:val="none"/>
                <w:u w:val="none"/>
                <w:lang w:val="en-US" w:eastAsia="zh-CN" w:bidi="ar"/>
              </w:rPr>
              <w:t>高清网络枪式摄像机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名称:400万高清网络枪式摄像机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1.最高分辨率：≥2560 × 1440 @25 fps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2.传感器类型：≤1/2.7" Progressive Scan CMOS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3.最低照度：彩色：≤0.005 Lux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4.支持SmartIR，防止夜间红外过曝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5.支持背光补偿，强光抑制，3D数字降噪，数字宽动态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6.视频压缩标准：主码流：H.265，支持超级智能编码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7.支持电源供电和POE供电</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w:t>
            </w:r>
          </w:p>
        </w:tc>
      </w:tr>
      <w:tr>
        <w:tblPrEx>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高清网络球机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400万7寸23倍全彩智能磁编球机_直流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1.支持1/2.8＂400万23倍光学变焦镜头，最低照度：彩色：0.005Lux @ (F1.5，AGC ON),黑白：0.001Lux @ (F1.5，AGC ON)；0 lux with IR ， 采用高效补光阵列，低功耗，白光补光30 m，红外补光150 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2.支持区域入侵侦测，越界侦测，进入区域侦测和离开区域侦测等智能侦测</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3.支持切换为人脸抓拍模式，最大同时抓拍5张人脸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4.采用高效补光阵列，低功耗，白光补光30 m，红外补光150 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5.内置加热玻璃，有效除雾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6.安装方式:立杆安装</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w:t>
            </w:r>
          </w:p>
        </w:tc>
      </w:tr>
      <w:tr>
        <w:tblPrEx>
          <w:shd w:val="clear" w:color="auto" w:fill="auto"/>
          <w:tblLayout w:type="fixed"/>
          <w:tblCellMar>
            <w:top w:w="0" w:type="dxa"/>
            <w:left w:w="0" w:type="dxa"/>
            <w:bottom w:w="0" w:type="dxa"/>
            <w:right w:w="0" w:type="dxa"/>
          </w:tblCellMar>
        </w:tblPrEx>
        <w:trPr>
          <w:trHeight w:val="28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高清人脸识别摄像机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lang w:eastAsia="zh-CN"/>
              </w:rPr>
            </w:pPr>
            <w:r>
              <w:rPr>
                <w:rFonts w:hint="eastAsia" w:ascii="宋体" w:hAnsi="宋体" w:eastAsia="宋体" w:cs="宋体"/>
                <w:i w:val="0"/>
                <w:color w:val="auto"/>
                <w:sz w:val="20"/>
                <w:szCs w:val="20"/>
                <w:highlight w:val="none"/>
                <w:u w:val="none"/>
                <w:lang w:val="en-US" w:eastAsia="zh-CN"/>
              </w:rPr>
              <w:t>名称:800W高清人脸识别网络摄像机</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1.最高分辨率：≥3840 × 2160 @30 fps</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2.传感器类型：≤1/1.8" Progressive Scan CMOS</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3.</w:t>
            </w:r>
            <w:r>
              <w:rPr>
                <w:rFonts w:hint="eastAsia" w:ascii="宋体" w:hAnsi="宋体" w:eastAsia="宋体" w:cs="宋体"/>
                <w:i w:val="0"/>
                <w:color w:val="auto"/>
                <w:sz w:val="20"/>
                <w:szCs w:val="20"/>
                <w:highlight w:val="none"/>
                <w:u w:val="none"/>
              </w:rPr>
              <w:t>具有耀光抑制功能，耀光区域≤</w:t>
            </w:r>
            <w:r>
              <w:rPr>
                <w:rFonts w:hint="eastAsia" w:ascii="宋体" w:hAnsi="宋体" w:eastAsia="宋体" w:cs="宋体"/>
                <w:i w:val="0"/>
                <w:color w:val="auto"/>
                <w:sz w:val="20"/>
                <w:szCs w:val="20"/>
                <w:highlight w:val="none"/>
                <w:u w:val="none"/>
                <w:lang w:val="en-US" w:eastAsia="zh-CN"/>
              </w:rPr>
              <w:t>3</w:t>
            </w:r>
            <w:r>
              <w:rPr>
                <w:rFonts w:hint="eastAsia" w:ascii="宋体" w:hAnsi="宋体" w:eastAsia="宋体" w:cs="宋体"/>
                <w:i w:val="0"/>
                <w:color w:val="auto"/>
                <w:sz w:val="20"/>
                <w:szCs w:val="20"/>
                <w:highlight w:val="none"/>
                <w:u w:val="none"/>
              </w:rPr>
              <w:t>%</w:t>
            </w:r>
            <w:r>
              <w:rPr>
                <w:rFonts w:hint="eastAsia" w:ascii="宋体" w:hAnsi="宋体" w:eastAsia="宋体" w:cs="宋体"/>
                <w:i w:val="0"/>
                <w:color w:val="auto"/>
                <w:sz w:val="20"/>
                <w:szCs w:val="20"/>
                <w:highlight w:val="none"/>
                <w:u w:val="none"/>
                <w:lang w:eastAsia="zh-CN"/>
              </w:rPr>
              <w:t>。</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lang w:val="en-US" w:eastAsia="zh-CN"/>
              </w:rPr>
            </w:pPr>
            <w:r>
              <w:rPr>
                <w:rFonts w:hint="eastAsia" w:ascii="宋体" w:hAnsi="宋体" w:eastAsia="宋体" w:cs="宋体"/>
                <w:i w:val="0"/>
                <w:color w:val="auto"/>
                <w:sz w:val="20"/>
                <w:szCs w:val="20"/>
                <w:highlight w:val="none"/>
                <w:u w:val="none"/>
                <w:lang w:val="en-US" w:eastAsia="zh-CN"/>
              </w:rPr>
              <w:t>4.最低照度：彩色：≤0.002 Lux @（F1.2，AGC ON），0 Lux with Light，黑白：0.0002 Lux @（F1.2，AGC ON），0 Lux with IR</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lang w:val="en-US" w:eastAsia="zh-CN"/>
              </w:rPr>
              <w:t>5.</w:t>
            </w:r>
            <w:r>
              <w:rPr>
                <w:rFonts w:hint="eastAsia" w:ascii="宋体" w:hAnsi="宋体" w:eastAsia="宋体" w:cs="宋体"/>
                <w:i w:val="0"/>
                <w:color w:val="auto"/>
                <w:sz w:val="20"/>
                <w:szCs w:val="20"/>
                <w:highlight w:val="none"/>
                <w:u w:val="none"/>
              </w:rPr>
              <w:t>在分辨率1920x1080@25fps，码流设置为1Mbps时，视频图像传输延时</w:t>
            </w:r>
            <w:r>
              <w:rPr>
                <w:rFonts w:hint="eastAsia" w:ascii="宋体" w:hAnsi="宋体" w:eastAsia="宋体" w:cs="宋体"/>
                <w:i w:val="0"/>
                <w:color w:val="auto"/>
                <w:sz w:val="20"/>
                <w:szCs w:val="20"/>
                <w:highlight w:val="none"/>
                <w:u w:val="none"/>
                <w:lang w:val="en-US" w:eastAsia="zh-CN"/>
              </w:rPr>
              <w:t>≤70</w:t>
            </w:r>
            <w:r>
              <w:rPr>
                <w:rFonts w:hint="eastAsia" w:ascii="宋体" w:hAnsi="宋体" w:eastAsia="宋体" w:cs="宋体"/>
                <w:i w:val="0"/>
                <w:color w:val="auto"/>
                <w:sz w:val="20"/>
                <w:szCs w:val="20"/>
                <w:highlight w:val="none"/>
                <w:u w:val="none"/>
              </w:rPr>
              <w:t>ms</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color w:val="auto"/>
                <w:sz w:val="20"/>
                <w:szCs w:val="20"/>
                <w:highlight w:val="none"/>
                <w:u w:val="none"/>
                <w:lang w:val="en-US" w:eastAsia="zh-CN"/>
              </w:rPr>
              <w:t>6、支持智能资源模式切换：人脸抓拍、道路监控、Smart事件、人数统计、热度图、人脸抓拍模式、道路监控模式、Smart事件模式、人数统计模式</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7.内置鳞镜式补光灯。</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8.安装方式:壁挂安装底边距地2.8米</w:t>
            </w:r>
            <w:r>
              <w:rPr>
                <w:rFonts w:hint="eastAsia" w:ascii="宋体" w:hAnsi="宋体" w:eastAsia="宋体" w:cs="宋体"/>
                <w:i w:val="0"/>
                <w:color w:val="auto"/>
                <w:sz w:val="20"/>
                <w:szCs w:val="20"/>
                <w:highlight w:val="none"/>
                <w:u w:val="none"/>
                <w:lang w:val="en-US" w:eastAsia="zh-CN"/>
              </w:rPr>
              <w:br w:type="textWrapping"/>
            </w:r>
            <w:r>
              <w:rPr>
                <w:rFonts w:hint="eastAsia" w:ascii="宋体" w:hAnsi="宋体" w:eastAsia="宋体" w:cs="宋体"/>
                <w:i w:val="0"/>
                <w:color w:val="auto"/>
                <w:sz w:val="20"/>
                <w:szCs w:val="20"/>
                <w:highlight w:val="none"/>
                <w:u w:val="none"/>
                <w:lang w:val="en-US" w:eastAsia="zh-CN"/>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摄像机支架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摄像机支架 立柱式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70</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监控立杆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snapToGrid w:val="0"/>
                <w:color w:val="auto"/>
                <w:kern w:val="0"/>
                <w:sz w:val="20"/>
                <w:szCs w:val="20"/>
                <w:highlight w:val="none"/>
                <w:u w:val="none"/>
                <w:lang w:val="en-US" w:eastAsia="zh-CN" w:bidi="ar"/>
              </w:rPr>
            </w:pPr>
            <w:r>
              <w:rPr>
                <w:rFonts w:hint="eastAsia" w:ascii="宋体" w:hAnsi="宋体" w:eastAsia="宋体" w:cs="宋体"/>
                <w:i w:val="0"/>
                <w:snapToGrid w:val="0"/>
                <w:color w:val="auto"/>
                <w:kern w:val="0"/>
                <w:sz w:val="20"/>
                <w:szCs w:val="20"/>
                <w:highlight w:val="none"/>
                <w:u w:val="none"/>
                <w:lang w:val="en-US" w:eastAsia="zh-CN" w:bidi="ar"/>
              </w:rPr>
              <w:t>1.类型:监控立杆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2.规格尺寸:H=3.5m，L=0.3M，杆径D76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3.含防雷接地、杆上标识、基础开挖回填等配套项目</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4.材质：镀锌铁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5.形状样式、由甲方自选</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根</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2.材质:PVC管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4.配置形式:埋地敷设</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2126.36</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2.材质:PVC管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3.规格:DN32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4.配置形式:埋地敷设</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491.03</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2.材质:PVC管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3.规格:DN40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4.配置形式:埋地敷设</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1166.9</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2.材质:PVC管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4.配置形式:埋地敷设</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336.84</w:t>
            </w: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UTP-Cat6</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1.名称:UTP-Cat6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2.敷设方式:穿管/桥架</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7178.49</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1.名称:电源线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3.型号:RVV2*1.0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7178.49</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光纤</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1.名称:光纤</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3.型号:48芯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358.58</w:t>
            </w:r>
          </w:p>
        </w:tc>
      </w:tr>
      <w:tr>
        <w:tblPrEx>
          <w:tblLayout w:type="fixed"/>
          <w:tblCellMar>
            <w:top w:w="0" w:type="dxa"/>
            <w:left w:w="0" w:type="dxa"/>
            <w:bottom w:w="0" w:type="dxa"/>
            <w:right w:w="0" w:type="dxa"/>
          </w:tblCellMar>
        </w:tblPrEx>
        <w:trPr>
          <w:trHeight w:val="7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挖沟槽土方</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1.土壤类别:土石方（土石类别综合考虑）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2.人机配合挖管道土石方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3.土石方不装车</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673.809</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沟槽、基坑回填方</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原土回填：</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1、机械填土夯实 槽、坑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2、分层回填夯实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673.809</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公共广播系统</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9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防水音柱</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名称:防水音柱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1.输出功率为60W。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2.支持IP/TCP、UDP、IGMP(组播)等通讯协议</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3.具有1路RJ45 10/100M网络接口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4.内置2个6.5寸30W低音+1个4寸号角高音喇叭单元</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5.安装方式:杆上安装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6.广播扬声器应使用阻燃防水材料,或具有阻燃后罩结构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音柱立杆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1.类型:音柱金属立杆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2.规格尺寸:H=6m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3.含防雷接地、杆上标识、基础开挖回填等配套项目</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4.形状样式、由甲方自选</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根</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广播分机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1.名称:广播分机(24口)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2.安装方式:距地1.5m挂墙安装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IP网络终端功放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1.输出定额功率 650W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2.网络接口 标准RJ45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3.传输速率 10M/100Mbps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4.支持协议 TCP/IP、UDP</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5.采样率 16K-48KHz</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6.音频格式 MP3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7.音频模式 16位CD音质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8.频率响应 80Hz-16KHz+1/-3dB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9.谐波失真 ≤1%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10.信噪比 ≥65dB</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4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前置放大器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名称:前置放大器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1.设有10路输入通道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2.设有3路音频输出接口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3.线路输出电平/阻抗：1000MV/1KΩ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4.频率响应：60Hz-16KHz+1/-3dB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5.总谐波失真：≤1%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6.信噪比：≥65dB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7.控制方式：增益控制，电源控制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纯后级功放(1000W)</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名称:纯后级功放(1000W)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1.功率输出设有70V/100V定压输出，及4-16Ω定阻输出，输出有效功率为1000W；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2.输出频响范围为80~16KHz；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3.输出额定功率：1000W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4.扬声器输出：4-16Ω,70V/100V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5.输入灵敏度&amp;源阻抗：LINE IN 10KΩ,1V,不平衡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6.输出辅助：600Ω/1V(0dBV)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7.频率响应：80Hz-16KHz+1/-3dB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8.信噪比：≥65dB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9.总谐波失真：≤1%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10.控制方式：增益控制，电源控制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共用设备网汇聚MDU交换机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1、提供不少于1个GPON/EPON自适应PON光口上行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2、固化10/100/1000M 千兆电口≥24个，万兆SFP+光口≥4个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3、交换容量≥2.6Tbps，包转发率≥240Mpps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4、设备应支持生成树协议STP/RSTP/MSTP(ERPS)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5、设备应支持环路检测5和自愈,支持远程环回监视和控制(802.3ah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6、设备应支持802.1X、MAC-Based、WEB-Based认证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7、支持云端管理、云备份配置、具备独立移动管理APP或微信小程序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8、交换机需要具备网络信息安全防护能力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9、含跳线、尾纤、耦合器、电源线等配件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10、满足设计要求及现场施工规范</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控制电缆</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1.名称:控制电缆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2.配线形式:穿管/桥架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3.型号:WDZN-B1-KYJYP-2x1.5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1361.94</w:t>
            </w:r>
          </w:p>
        </w:tc>
      </w:tr>
      <w:tr>
        <w:tblPrEx>
          <w:tblLayout w:type="fixed"/>
          <w:tblCellMar>
            <w:top w:w="0" w:type="dxa"/>
            <w:left w:w="0" w:type="dxa"/>
            <w:bottom w:w="0" w:type="dxa"/>
            <w:right w:w="0" w:type="dxa"/>
          </w:tblCellMar>
        </w:tblPrEx>
        <w:trPr>
          <w:trHeight w:val="96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4.配置形式:埋地</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1287.07</w:t>
            </w:r>
          </w:p>
        </w:tc>
      </w:tr>
      <w:tr>
        <w:tblPrEx>
          <w:tblLayout w:type="fixed"/>
          <w:tblCellMar>
            <w:top w:w="0" w:type="dxa"/>
            <w:left w:w="0" w:type="dxa"/>
            <w:bottom w:w="0" w:type="dxa"/>
            <w:right w:w="0" w:type="dxa"/>
          </w:tblCellMar>
        </w:tblPrEx>
        <w:trPr>
          <w:trHeight w:val="7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挖沟槽土方</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1.土壤类别:土石方（土石类别综合考虑）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2.人机配合挖管道土石方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3.土石方不装车</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579.182</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沟槽、基坑回填方</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原土回填：</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1、机械填土夯实 槽、坑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2、分层回填夯实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579.182</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停车管理系统</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643"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出入口道闸设备(道闸主机+格栅）</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名称:出入口道闸设备(道闸主机+格栅）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有效通行宽度：3630mm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通道宽度：4113mm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道闸高度：4750mm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格栅道闸：杆长3.6m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开/关到位输出接口：各1组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开/关/停控制信号接口：各1组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红外/地感防砸信号接口：1组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485控制接口：1组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含栅栏杆雷达、遥控器等，具体详见图纸</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安全检查设备</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1.名称:地感线圈</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r>
      <w:tr>
        <w:tblPrEx>
          <w:tblLayout w:type="fixed"/>
          <w:tblCellMar>
            <w:top w:w="0" w:type="dxa"/>
            <w:left w:w="0" w:type="dxa"/>
            <w:bottom w:w="0" w:type="dxa"/>
            <w:right w:w="0" w:type="dxa"/>
          </w:tblCellMar>
        </w:tblPrEx>
        <w:trPr>
          <w:trHeight w:val="120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214</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主车牌识别一体机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1.名称:主车牌识别一体机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2.包含高清识别一体机、显示屏、语音提示、LED补光灯、车牌识别电源，开关、车牌识别专用软件、控制模块、处理器单元等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3.具体型号以现场及业主确认为准</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215</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减速垄</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1.材料品种:减速垄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2.规格、型号:橡胶材质5cm</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28.8</w:t>
            </w:r>
          </w:p>
        </w:tc>
      </w:tr>
      <w:tr>
        <w:tblPrEx>
          <w:tblLayout w:type="fixed"/>
          <w:tblCellMar>
            <w:top w:w="0" w:type="dxa"/>
            <w:left w:w="0" w:type="dxa"/>
            <w:bottom w:w="0" w:type="dxa"/>
            <w:right w:w="0" w:type="dxa"/>
          </w:tblCellMar>
        </w:tblPrEx>
        <w:trPr>
          <w:trHeight w:val="7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双通道人行道摆闸</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1.名称:双通道人行道摆闸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2.类别:摆闸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3.接入校园安防平台统一管控</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r>
      <w:tr>
        <w:tblPrEx>
          <w:tblLayout w:type="fixed"/>
          <w:tblCellMar>
            <w:top w:w="0" w:type="dxa"/>
            <w:left w:w="0" w:type="dxa"/>
            <w:bottom w:w="0" w:type="dxa"/>
            <w:right w:w="0" w:type="dxa"/>
          </w:tblCellMar>
        </w:tblPrEx>
        <w:trPr>
          <w:trHeight w:val="19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217</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人脸识别机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名称:人脸识别显示屏</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尺寸：7寸LCD</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操作方式：触摸屏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像素：200W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镜头数量：2个，1个可见光、1个850nm红外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有线网络：10M/100/1000M自适应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网口：1个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含人脸识别、IC读卡器、补光灯、防水功能</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IC卡发行器</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IC卡发行器</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4414" w:hRule="atLeast"/>
        </w:trPr>
        <w:tc>
          <w:tcPr>
            <w:tcW w:w="945" w:type="dxa"/>
            <w:tcBorders>
              <w:top w:val="single" w:color="000000" w:sz="4" w:space="0"/>
              <w:left w:val="single" w:color="000000" w:sz="8"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219</w:t>
            </w:r>
          </w:p>
        </w:tc>
        <w:tc>
          <w:tcPr>
            <w:tcW w:w="1740"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出入口管理终端</w:t>
            </w:r>
          </w:p>
        </w:tc>
        <w:tc>
          <w:tcPr>
            <w:tcW w:w="5324"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snapToGrid w:val="0"/>
                <w:color w:val="auto"/>
                <w:kern w:val="0"/>
                <w:sz w:val="20"/>
                <w:szCs w:val="20"/>
                <w:highlight w:val="none"/>
                <w:u w:val="none"/>
                <w:lang w:val="en-US" w:eastAsia="zh-CN" w:bidi="ar"/>
              </w:rPr>
            </w:pPr>
            <w:r>
              <w:rPr>
                <w:rFonts w:hint="eastAsia" w:ascii="宋体" w:hAnsi="宋体" w:eastAsia="宋体" w:cs="宋体"/>
                <w:i w:val="0"/>
                <w:snapToGrid w:val="0"/>
                <w:color w:val="auto"/>
                <w:kern w:val="0"/>
                <w:sz w:val="20"/>
                <w:szCs w:val="20"/>
                <w:highlight w:val="none"/>
                <w:u w:val="none"/>
                <w:lang w:val="en-US" w:eastAsia="zh-CN" w:bidi="ar"/>
              </w:rPr>
              <w:t>名称:出入口管理终端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1、可管理4车道，支持5机级联，含PMS管理功能，支持ETC，支持互联网远程访问，支持智慧停车云平台</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2、支持配置按轮轴数量来收取不同的停车费用；支持接入出入计数相机统计停车场的余位，可计算车辆的进出，形成出入记录。</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3、视频录像：支持录像存储，支持录像计划，保存进出车完整数据链，节省录像服务器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4、移动化配置：支持手机扫二维码，WIFI连接设备并调试设备，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5、远程访问：支持互联网远程访问设备，远程处理异常，远程下载日志，远程升级设备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6、本地显示控制：支持VGA/HDMI接显示器，标准鼠标键盘输入控制，即插即用，方便快捷</w:t>
            </w:r>
          </w:p>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7、异常处理：终端1对1热备份。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8、级联管理：单台管理4个车道，最多支持5台设备级联，可管理20个车道的停车场</w:t>
            </w:r>
          </w:p>
        </w:tc>
        <w:tc>
          <w:tcPr>
            <w:tcW w:w="690"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12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网络交换机</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名称:8口ONU网络交换机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1、≥1个GPON/EPON自适应PON光口上行</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2、10/100/1000M 电口≥8个，SFP光口≥1个</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3、上下行速率：≥1.25Gbps/2.5Gbps，≥1.25Gbps/1.25Gbps</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4、支持GPON、EPON自动切换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5、设备应支持动态带宽分配机制使所有用户可更合理地共享带宽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6、设备所有端口应支持6KV防雷能力</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7、设备应支持环路检测和自愈,支持远程环回监视和控制(802.3ah OAM)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8、支持云端管理、云备份配置、具备独立移动管理APP或微信小程序</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221</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出入口设备配套管线</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出入口设备进出管线、光纤、防雷接地、含土方开挖回填及开槽等配套工程</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r>
        <w:tblPrEx>
          <w:tblLayout w:type="fixed"/>
          <w:tblCellMar>
            <w:top w:w="0" w:type="dxa"/>
            <w:left w:w="0" w:type="dxa"/>
            <w:bottom w:w="0" w:type="dxa"/>
            <w:right w:w="0" w:type="dxa"/>
          </w:tblCellMar>
        </w:tblPrEx>
        <w:trPr>
          <w:trHeight w:val="285" w:hRule="atLeast"/>
        </w:trPr>
        <w:tc>
          <w:tcPr>
            <w:tcW w:w="945"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222</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w:t>
            </w:r>
          </w:p>
        </w:tc>
        <w:tc>
          <w:tcPr>
            <w:tcW w:w="53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脚手架搭拆费</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r>
    </w:tbl>
    <w:p>
      <w:pPr>
        <w:pageBreakBefore w:val="0"/>
        <w:widowControl w:val="0"/>
        <w:wordWrap/>
        <w:overflowPunct/>
        <w:topLinePunct w:val="0"/>
        <w:bidi w:val="0"/>
        <w:spacing w:line="242" w:lineRule="auto"/>
        <w:rPr>
          <w:color w:val="auto"/>
          <w:spacing w:val="0"/>
          <w:w w:val="100"/>
          <w:position w:val="0"/>
          <w:highlight w:val="none"/>
        </w:rPr>
      </w:pPr>
    </w:p>
    <w:p>
      <w:pPr>
        <w:pageBreakBefore w:val="0"/>
        <w:widowControl w:val="0"/>
        <w:wordWrap/>
        <w:overflowPunct/>
        <w:topLinePunct w:val="0"/>
        <w:bidi w:val="0"/>
        <w:spacing w:line="242" w:lineRule="auto"/>
        <w:rPr>
          <w:color w:val="auto"/>
          <w:spacing w:val="0"/>
          <w:w w:val="100"/>
          <w:position w:val="0"/>
          <w:highlight w:val="none"/>
        </w:rPr>
      </w:pP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eastAsia="zh-CN"/>
        </w:rPr>
        <w:t>注：1、以上技术需求为采购人最低需求，必须全部满足，有一项不满足视为无效投标。 投标人也可提供更优的技术需求参与投标</w:t>
      </w:r>
      <w:r>
        <w:rPr>
          <w:rFonts w:hint="eastAsia" w:asciiTheme="minorEastAsia" w:hAnsiTheme="minorEastAsia" w:eastAsiaTheme="minorEastAsia" w:cstheme="minorEastAsia"/>
          <w:color w:val="auto"/>
          <w:sz w:val="24"/>
          <w:szCs w:val="24"/>
          <w:highlight w:val="none"/>
          <w:lang w:val="en-US" w:eastAsia="zh-CN"/>
        </w:rPr>
        <w:t>但应符合设计要求</w:t>
      </w:r>
      <w:r>
        <w:rPr>
          <w:rFonts w:hint="eastAsia" w:asciiTheme="minorEastAsia" w:hAnsiTheme="minorEastAsia" w:eastAsiaTheme="minorEastAsia" w:cstheme="minorEastAsia"/>
          <w:color w:val="auto"/>
          <w:sz w:val="24"/>
          <w:szCs w:val="24"/>
          <w:highlight w:val="none"/>
          <w:lang w:eastAsia="zh-CN"/>
        </w:rPr>
        <w:t>。</w:t>
      </w:r>
    </w:p>
    <w:p>
      <w:pPr>
        <w:pageBreakBefore w:val="0"/>
        <w:widowControl w:val="0"/>
        <w:wordWrap/>
        <w:overflowPunct/>
        <w:topLinePunct w:val="0"/>
        <w:bidi w:val="0"/>
        <w:spacing w:line="245" w:lineRule="auto"/>
        <w:rPr>
          <w:color w:val="auto"/>
          <w:spacing w:val="0"/>
          <w:w w:val="100"/>
          <w:position w:val="0"/>
          <w:highlight w:val="none"/>
          <w:lang w:eastAsia="zh-CN"/>
        </w:rPr>
      </w:pPr>
    </w:p>
    <w:p>
      <w:pPr>
        <w:pageBreakBefore w:val="0"/>
        <w:widowControl w:val="0"/>
        <w:wordWrap/>
        <w:overflowPunct/>
        <w:topLinePunct w:val="0"/>
        <w:bidi w:val="0"/>
        <w:spacing w:line="245" w:lineRule="auto"/>
        <w:rPr>
          <w:color w:val="auto"/>
          <w:spacing w:val="0"/>
          <w:w w:val="100"/>
          <w:position w:val="0"/>
          <w:highlight w:val="none"/>
          <w:lang w:eastAsia="zh-CN"/>
        </w:rPr>
      </w:pPr>
    </w:p>
    <w:p>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（二） 商务条件</w:t>
      </w:r>
    </w:p>
    <w:p>
      <w:pPr>
        <w:pageBreakBefore w:val="0"/>
        <w:widowControl w:val="0"/>
        <w:wordWrap/>
        <w:overflowPunct/>
        <w:topLinePunct w:val="0"/>
        <w:bidi w:val="0"/>
        <w:spacing w:line="249" w:lineRule="auto"/>
        <w:rPr>
          <w:color w:val="auto"/>
          <w:spacing w:val="0"/>
          <w:w w:val="100"/>
          <w:position w:val="0"/>
          <w:highlight w:val="none"/>
          <w:lang w:eastAsia="zh-CN"/>
        </w:rPr>
      </w:pP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1、交付时间：</w:t>
      </w:r>
      <w:r>
        <w:rPr>
          <w:rFonts w:hint="eastAsia" w:ascii="宋体" w:hAnsi="宋体" w:eastAsia="宋体" w:cs="宋体"/>
          <w:snapToGrid w:val="0"/>
          <w:color w:val="auto"/>
          <w:kern w:val="0"/>
          <w:sz w:val="24"/>
          <w:szCs w:val="24"/>
          <w:highlight w:val="none"/>
          <w:lang w:val="en-US" w:eastAsia="zh-CN" w:bidi="ar"/>
        </w:rPr>
        <w:t>合同签订生效之日起120日内供货安装调试完毕并交付使用。</w:t>
      </w:r>
      <w:r>
        <w:rPr>
          <w:rFonts w:hint="eastAsia" w:ascii="宋体" w:hAnsi="宋体" w:eastAsia="宋体" w:cs="宋体"/>
          <w:i w:val="0"/>
          <w:iCs w:val="0"/>
          <w:color w:val="auto"/>
          <w:kern w:val="0"/>
          <w:sz w:val="24"/>
          <w:szCs w:val="24"/>
          <w:highlight w:val="none"/>
          <w:u w:val="none"/>
          <w:lang w:val="en-US" w:eastAsia="zh-CN" w:bidi="ar"/>
        </w:rPr>
        <w:t xml:space="preserve">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2、质量保修期和售后服务要求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2.1提供三年的质量保修期（国家、行业及生产厂家另有规定高于三年的，从其规定），质保期从货物安装调试完毕并经采购人验收合格之日起计算。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2.2成交供应商要求配有较强的专业技术队伍，要能够提供不低于同档次备用设备服务，不能影响用户使用。提供免费的故障处理、性能调优、技术咨询、维护和现场巡检等服务，以及其他的技术支持工作。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3、付款方式：</w:t>
      </w:r>
      <w:r>
        <w:rPr>
          <w:rFonts w:hint="eastAsia" w:asciiTheme="minorEastAsia" w:hAnsiTheme="minorEastAsia" w:eastAsiaTheme="minorEastAsia" w:cstheme="minorEastAsia"/>
          <w:color w:val="auto"/>
          <w:sz w:val="24"/>
          <w:szCs w:val="24"/>
          <w:highlight w:val="none"/>
          <w:lang w:val="en-US" w:eastAsia="zh-CN"/>
        </w:rPr>
        <w:t>合同签订生效后，所有设备安装调试完毕且全部验收合格后，支付至合同金额的 97%。 剩余3%一年后不计息付清。以上付款时间均在收到发票后 10 个工作日内完成支付。</w:t>
      </w:r>
      <w:r>
        <w:rPr>
          <w:rFonts w:hint="eastAsia" w:asciiTheme="minorEastAsia" w:hAnsiTheme="minorEastAsia" w:eastAsiaTheme="minorEastAsia" w:cstheme="minorEastAsia"/>
          <w:b/>
          <w:bCs/>
          <w:color w:val="auto"/>
          <w:sz w:val="24"/>
          <w:szCs w:val="24"/>
          <w:highlight w:val="none"/>
          <w:lang w:val="en-US" w:eastAsia="zh-CN"/>
        </w:rPr>
        <w:t>（所投电脑，报账时需提供“安全可靠测评”截图或检测报告当附件。）</w:t>
      </w:r>
      <w:r>
        <w:rPr>
          <w:rFonts w:hint="eastAsia" w:ascii="宋体" w:hAnsi="宋体" w:eastAsia="宋体" w:cs="宋体"/>
          <w:b/>
          <w:bCs/>
          <w:i w:val="0"/>
          <w:iCs w:val="0"/>
          <w:color w:val="auto"/>
          <w:kern w:val="0"/>
          <w:sz w:val="24"/>
          <w:szCs w:val="24"/>
          <w:highlight w:val="none"/>
          <w:u w:val="none"/>
          <w:lang w:val="en-US" w:eastAsia="zh-CN" w:bidi="ar"/>
        </w:rPr>
        <w:t xml:space="preserve">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4、履行地点要求：采购单位指定地点。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5、验收要求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5.1项目整体完成并稳定运行后采购人组织进行项目验收。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5.2验收标准：按照国家及行业相关标准、采购文件规定、合同约定等标准进行验收，如验收达不到规定要求，对采购人造成一定的损失，成交供应商应承担一切责任，并赔偿所造成的损失。项目验收要求及处罚标准，合同另行约定。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5.3成交供应商须在验收之前提供完整的资料。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5.4成交供应商所提供货物、服务质量、技术参数、性能指标以及安装质量不符合合同规定标准的，采购人有权拒收；因此产生的一切经济损失由成交供应商承担，相关权利义务、违约金，合同另行约定。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5.5如果成交供应商没有按照采购文件规定的时间交货，采购人依据相关法律法规的规定可以解除合同，因此产生的一切损失由成交供应商自行承担，并承担相应的法律责任，相关权利义务、违约金，合同另行约定。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6、货物验收、安装、调试: 按照要求，成交供应商负责派专业技术人员到现场进行安装、调试，并负责调试至采购人验收合格；对验收不合格的，采购人不予验收，成交供应商应承担相应费用。成交供应商提供 7×24 小时的故障服务受理，且接到故障通知后：6小时内到现场处理。</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7、培训要求：项目安装调试完成后，由成交供应商免费为采购方技术人员进行调试、操作、仪器维护、故障排除等方面的现场培训，除现场安装培训外，成交供应商应联系好并免费提供技术咨询服务。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8、成交供应商应保证采购人在使用该系统及货物或其任何一部分时不受第三方提出侵犯其专利权、商标权等知识产权或其他权利的起诉。如果任何第三方提出侵权指控或赔偿要求，成交供应商必须与第三方交涉，并承担发生和可能发生的一切损失、费用和法律责任，相关权利义务，合同另行约定。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9、成交供应商在项目实施或服务过程中发生的重大人员、产品质量事故，或因成交供应商管理不善等原因造成的人员伤亡等责任事故均由成交供应商负责，采购人不承担任何法律及经济责任。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10、如采购人在项目的实施过程中对采购货物的需求如数量、型号等发生变化，结算时按实际计量，单价按成交单价计算（但不得违背相关法规）。 </w:t>
      </w:r>
    </w:p>
    <w:p>
      <w:pPr>
        <w:pageBreakBefore w:val="0"/>
        <w:widowControl w:val="0"/>
        <w:wordWrap/>
        <w:overflowPunct/>
        <w:topLinePunct w:val="0"/>
        <w:bidi w:val="0"/>
        <w:spacing w:line="249" w:lineRule="auto"/>
        <w:rPr>
          <w:color w:val="auto"/>
          <w:spacing w:val="0"/>
          <w:w w:val="100"/>
          <w:position w:val="0"/>
          <w:highlight w:val="none"/>
          <w:lang w:eastAsia="zh-CN"/>
        </w:rPr>
      </w:pPr>
      <w:r>
        <w:rPr>
          <w:rFonts w:hint="eastAsia" w:ascii="宋体" w:hAnsi="宋体" w:eastAsia="宋体" w:cs="宋体"/>
          <w:i w:val="0"/>
          <w:iCs w:val="0"/>
          <w:color w:val="auto"/>
          <w:kern w:val="0"/>
          <w:sz w:val="24"/>
          <w:szCs w:val="24"/>
          <w:highlight w:val="none"/>
          <w:u w:val="none"/>
          <w:lang w:val="en-US" w:eastAsia="zh-CN" w:bidi="ar"/>
        </w:rPr>
        <w:t>11、本项目开标一览表中报总价，所有货物、配套材料、辅材、专用工具、备品 备件、包装、运输、转运、安装、调试、检测、验收、培训、售后服务、税金等完成本项目所需的一切费用均应包含在投标报价中。</w:t>
      </w:r>
      <w:r>
        <w:rPr>
          <w:rFonts w:hint="eastAsia" w:ascii="宋体" w:hAnsi="宋体" w:eastAsia="宋体" w:cs="宋体"/>
          <w:color w:val="auto"/>
          <w:kern w:val="0"/>
          <w:sz w:val="20"/>
          <w:szCs w:val="20"/>
          <w:highlight w:val="none"/>
          <w:lang w:val="en-US" w:eastAsia="zh-CN" w:bidi="ar"/>
        </w:rPr>
        <w:t xml:space="preserve">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ntT3MVAgAAFQQAAA4AAAAAAAAA&#10;AQAgAAAAHwEAAGRycy9lMm9Eb2MueG1sUEsFBgAAAAAGAAYAWQEAAKYFA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59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4AC8BBE"/>
    <w:multiLevelType w:val="singleLevel"/>
    <w:tmpl w:val="94AC8BBE"/>
    <w:lvl w:ilvl="0" w:tentative="0">
      <w:start w:val="9"/>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C8E76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Layout w:type="fixed"/>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2026-05-13T09:53:27Z</dcterms:created>
  <dc:creator>Administrator</dc:creator>
  <cp:lastModifiedBy>Administrator</cp:lastModifiedBy>
  <dcterms:modified xsi:type="dcterms:W3CDTF">2026-05-13T09:53:34Z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