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C0787">
      <w:pPr>
        <w:pStyle w:val="2"/>
        <w:bidi w:val="0"/>
        <w:spacing w:line="240" w:lineRule="auto"/>
        <w:jc w:val="center"/>
      </w:pPr>
      <w:bookmarkStart w:id="52" w:name="_GoBack"/>
      <w:bookmarkEnd w:id="52"/>
      <w:bookmarkStart w:id="0" w:name="_Toc3114"/>
      <w:r>
        <w:rPr>
          <w:rFonts w:hint="eastAsia"/>
          <w:lang w:val="en-US" w:eastAsia="zh-CN"/>
        </w:rPr>
        <w:t>铅山县独竖尖生态林场林下药材山苍子、岗梅种植基地建设项目</w:t>
      </w:r>
      <w:bookmarkEnd w:id="0"/>
      <w:r>
        <w:rPr>
          <w:rFonts w:hint="eastAsia"/>
          <w:lang w:val="en-US" w:eastAsia="zh-CN"/>
        </w:rPr>
        <w:t>（第三次）</w:t>
      </w:r>
    </w:p>
    <w:p w14:paraId="1E89C378">
      <w:pPr>
        <w:pStyle w:val="3"/>
        <w:numPr>
          <w:ilvl w:val="0"/>
          <w:numId w:val="1"/>
        </w:numPr>
        <w:bidi w:val="0"/>
        <w:spacing w:line="240" w:lineRule="auto"/>
        <w:rPr>
          <w:rFonts w:hint="eastAsia"/>
          <w:lang w:eastAsia="zh-CN"/>
        </w:rPr>
      </w:pPr>
      <w:bookmarkStart w:id="1" w:name="_Toc620"/>
      <w:bookmarkStart w:id="2" w:name="_Toc10267"/>
      <w:r>
        <w:rPr>
          <w:rFonts w:hint="eastAsia"/>
          <w:lang w:val="en-US" w:eastAsia="zh-CN"/>
        </w:rPr>
        <w:t>服务</w:t>
      </w:r>
      <w:r>
        <w:t>需求</w:t>
      </w:r>
      <w:r>
        <w:rPr>
          <w:rFonts w:hint="eastAsia"/>
          <w:lang w:eastAsia="zh-CN"/>
        </w:rPr>
        <w:t>：</w:t>
      </w:r>
      <w:bookmarkEnd w:id="1"/>
      <w:bookmarkEnd w:id="2"/>
    </w:p>
    <w:p w14:paraId="331B4437">
      <w:pPr>
        <w:rPr>
          <w:rFonts w:hint="default"/>
          <w:sz w:val="32"/>
          <w:szCs w:val="32"/>
          <w:lang w:val="en-US" w:eastAsia="zh-CN"/>
        </w:rPr>
      </w:pPr>
      <w:r>
        <w:rPr>
          <w:rFonts w:hint="eastAsia"/>
          <w:sz w:val="32"/>
          <w:szCs w:val="32"/>
          <w:lang w:val="en-US" w:eastAsia="zh-CN"/>
        </w:rPr>
        <w:t>一、服务要求：</w:t>
      </w:r>
    </w:p>
    <w:p w14:paraId="0D73170D">
      <w:pPr>
        <w:spacing w:line="240" w:lineRule="auto"/>
        <w:rPr>
          <w:rFonts w:hint="eastAsia"/>
          <w:lang w:eastAsia="zh-CN"/>
        </w:rPr>
      </w:pPr>
    </w:p>
    <w:p w14:paraId="35B98006">
      <w:pPr>
        <w:pageBreakBefore w:val="0"/>
        <w:widowControl w:val="0"/>
        <w:wordWrap/>
        <w:overflowPunct/>
        <w:topLinePunct w:val="0"/>
        <w:bidi w:val="0"/>
        <w:spacing w:line="240" w:lineRule="auto"/>
        <w:ind w:firstLine="420" w:firstLineChars="200"/>
        <w:rPr>
          <w:rStyle w:val="9"/>
          <w:rFonts w:hint="eastAsia" w:eastAsia="宋体"/>
          <w:b w:val="0"/>
          <w:bCs w:val="0"/>
          <w:sz w:val="24"/>
          <w:szCs w:val="24"/>
          <w:lang w:val="en-US" w:eastAsia="zh-CN"/>
        </w:rPr>
      </w:pPr>
      <w:r>
        <w:rPr>
          <w:rFonts w:hint="eastAsia" w:eastAsia="宋体"/>
          <w:color w:val="auto"/>
          <w:highlight w:val="none"/>
          <w:lang w:val="en-US" w:eastAsia="zh-CN"/>
        </w:rPr>
        <w:t>1、</w:t>
      </w:r>
      <w:r>
        <w:rPr>
          <w:rStyle w:val="9"/>
          <w:rFonts w:hint="eastAsia" w:eastAsia="宋体"/>
          <w:sz w:val="24"/>
          <w:szCs w:val="24"/>
          <w:lang w:val="en-US" w:eastAsia="zh-CN"/>
        </w:rPr>
        <w:t>服务</w:t>
      </w:r>
      <w:r>
        <w:rPr>
          <w:rStyle w:val="9"/>
          <w:rFonts w:hint="eastAsia"/>
          <w:sz w:val="24"/>
          <w:szCs w:val="24"/>
        </w:rPr>
        <w:t>地点</w:t>
      </w:r>
      <w:r>
        <w:rPr>
          <w:rStyle w:val="9"/>
          <w:rFonts w:hint="eastAsia" w:eastAsia="宋体"/>
          <w:sz w:val="24"/>
          <w:szCs w:val="24"/>
          <w:lang w:eastAsia="zh-CN"/>
        </w:rPr>
        <w:t>：</w:t>
      </w:r>
      <w:r>
        <w:rPr>
          <w:rStyle w:val="9"/>
          <w:rFonts w:hint="eastAsia" w:eastAsia="宋体"/>
          <w:b w:val="0"/>
          <w:bCs w:val="0"/>
          <w:sz w:val="24"/>
          <w:szCs w:val="24"/>
          <w:lang w:val="en-US" w:eastAsia="zh-CN"/>
        </w:rPr>
        <w:t>铅山县独立尖生态林场紫溪分场；</w:t>
      </w:r>
    </w:p>
    <w:p w14:paraId="25D62A66">
      <w:pPr>
        <w:pageBreakBefore w:val="0"/>
        <w:widowControl w:val="0"/>
        <w:wordWrap/>
        <w:overflowPunct/>
        <w:topLinePunct w:val="0"/>
        <w:bidi w:val="0"/>
        <w:spacing w:line="360" w:lineRule="auto"/>
        <w:ind w:firstLine="482" w:firstLineChars="200"/>
        <w:rPr>
          <w:rFonts w:hint="eastAsia" w:ascii="Arial" w:hAnsi="Arial" w:eastAsia="宋体" w:cs="Arial"/>
          <w:b w:val="0"/>
          <w:bCs w:val="0"/>
          <w:snapToGrid w:val="0"/>
          <w:color w:val="auto"/>
          <w:sz w:val="21"/>
          <w:szCs w:val="21"/>
          <w:highlight w:val="none"/>
          <w:lang w:val="en-US" w:eastAsia="zh-CN" w:bidi="ar-SA"/>
        </w:rPr>
      </w:pPr>
      <w:bookmarkStart w:id="3" w:name="_Toc19985"/>
      <w:bookmarkStart w:id="4" w:name="_Toc11077"/>
      <w:r>
        <w:rPr>
          <w:rStyle w:val="9"/>
          <w:rFonts w:hint="eastAsia"/>
          <w:sz w:val="24"/>
          <w:szCs w:val="24"/>
          <w:lang w:val="en-US" w:eastAsia="zh-CN"/>
        </w:rPr>
        <w:t>2、服务内容：</w:t>
      </w:r>
      <w:r>
        <w:rPr>
          <w:rStyle w:val="9"/>
          <w:rFonts w:hint="eastAsia"/>
          <w:b w:val="0"/>
          <w:bCs w:val="0"/>
          <w:sz w:val="24"/>
          <w:szCs w:val="24"/>
          <w:lang w:val="en-US" w:eastAsia="zh-CN"/>
        </w:rPr>
        <w:t>在现有林地（如杉木林、松林或阔叶林）下，计划种植山苍子（约62亩）、岗梅（约338亩），合计400亩。</w:t>
      </w:r>
      <w:bookmarkEnd w:id="3"/>
      <w:bookmarkEnd w:id="4"/>
    </w:p>
    <w:p w14:paraId="658B8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jc w:val="left"/>
        <w:rPr>
          <w:rStyle w:val="9"/>
          <w:rFonts w:hint="eastAsia"/>
          <w:b w:val="0"/>
          <w:bCs w:val="0"/>
          <w:sz w:val="24"/>
          <w:szCs w:val="24"/>
          <w:lang w:val="en-US" w:eastAsia="zh-CN"/>
        </w:rPr>
      </w:pPr>
      <w:bookmarkStart w:id="5" w:name="_Toc864"/>
      <w:bookmarkStart w:id="6" w:name="_Toc22280"/>
      <w:r>
        <w:rPr>
          <w:rStyle w:val="9"/>
          <w:rFonts w:hint="eastAsia"/>
          <w:sz w:val="24"/>
          <w:szCs w:val="24"/>
          <w:lang w:val="en-US" w:eastAsia="zh-CN"/>
        </w:rPr>
        <w:t>3、服务要求：</w:t>
      </w:r>
      <w:r>
        <w:rPr>
          <w:rStyle w:val="9"/>
          <w:rFonts w:hint="eastAsia"/>
          <w:b w:val="0"/>
          <w:bCs w:val="0"/>
          <w:sz w:val="24"/>
          <w:szCs w:val="24"/>
          <w:lang w:val="en-US" w:eastAsia="zh-CN"/>
        </w:rPr>
        <w:t>本项目为生态修复林地高效利用及农民增收，包含苗木采购、林地整理、种植施工及前期抚育。具体服务要求如下：</w:t>
      </w:r>
    </w:p>
    <w:bookmarkEnd w:id="5"/>
    <w:bookmarkEnd w:id="6"/>
    <w:p w14:paraId="7AC5BE59">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7" w:name="_Toc17733"/>
      <w:bookmarkStart w:id="8" w:name="_Toc4430"/>
      <w:r>
        <w:rPr>
          <w:rStyle w:val="9"/>
          <w:rFonts w:hint="eastAsia"/>
          <w:b w:val="0"/>
          <w:bCs w:val="0"/>
          <w:sz w:val="24"/>
          <w:szCs w:val="24"/>
          <w:lang w:val="en-US" w:eastAsia="zh-CN"/>
        </w:rPr>
        <w:t>林地选择与清理选择郁闭度在0.4-0.6之间的林分。山苍子喜光，宜选林窗较大或林缘地块；岗梅耐阴，可种郁闭度稍高地段。清除林下杂灌、藤蔓，保留目的树种。 这是林下种植的关键，必须强调郁闭度控制 。</w:t>
      </w:r>
    </w:p>
    <w:bookmarkEnd w:id="7"/>
    <w:bookmarkEnd w:id="8"/>
    <w:p w14:paraId="302289BB">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9" w:name="_Toc13222"/>
      <w:bookmarkStart w:id="10" w:name="_Toc14513"/>
      <w:r>
        <w:rPr>
          <w:rStyle w:val="9"/>
          <w:rFonts w:hint="eastAsia"/>
          <w:b w:val="0"/>
          <w:bCs w:val="0"/>
          <w:sz w:val="24"/>
          <w:szCs w:val="24"/>
          <w:lang w:val="en-US" w:eastAsia="zh-CN"/>
        </w:rPr>
        <w:t>整地与施肥 沿等高线进行块状或带状整地。施足基肥，每穴施有机肥不低于0.5公斤。岗梅怕积水，坡度较平处需开沟作床。</w:t>
      </w:r>
      <w:bookmarkEnd w:id="9"/>
      <w:bookmarkEnd w:id="10"/>
      <w:bookmarkStart w:id="11" w:name="_Toc11256"/>
      <w:bookmarkStart w:id="12" w:name="_Toc10021"/>
    </w:p>
    <w:p w14:paraId="5E0487F7">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r>
        <w:rPr>
          <w:rStyle w:val="9"/>
          <w:rFonts w:hint="eastAsia"/>
          <w:b w:val="0"/>
          <w:bCs w:val="0"/>
          <w:sz w:val="24"/>
          <w:szCs w:val="24"/>
          <w:lang w:val="en-US" w:eastAsia="zh-CN"/>
        </w:rPr>
        <w:t>山苍子：1年生以上良种壮苗，地径≥0.8cm，苗高≥50cm。 岗梅：1年生以上营养袋苗，地径≥0.5cm，苗高≥40cm，根系发达。种苗质量直接影响成活率，必须严格把关。</w:t>
      </w:r>
    </w:p>
    <w:bookmarkEnd w:id="11"/>
    <w:bookmarkEnd w:id="12"/>
    <w:p w14:paraId="7CBED674">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13" w:name="_Toc4527"/>
      <w:bookmarkStart w:id="14" w:name="_Toc16451"/>
      <w:r>
        <w:rPr>
          <w:rStyle w:val="9"/>
          <w:rFonts w:hint="eastAsia"/>
          <w:b w:val="0"/>
          <w:bCs w:val="0"/>
          <w:sz w:val="24"/>
          <w:szCs w:val="24"/>
          <w:lang w:val="en-US" w:eastAsia="zh-CN"/>
        </w:rPr>
        <w:t>栽植作业山苍子株行距2m×3m（约110株/亩），岗梅株行距1.5m×2m（约220株/亩）。栽植时做到“苗正、根舒、踏实”。 密度需根据实际立地条件微调。</w:t>
      </w:r>
    </w:p>
    <w:bookmarkEnd w:id="13"/>
    <w:bookmarkEnd w:id="14"/>
    <w:p w14:paraId="1AF364DA">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15" w:name="_Toc26969"/>
      <w:bookmarkStart w:id="16" w:name="_Toc20617"/>
      <w:r>
        <w:rPr>
          <w:rStyle w:val="9"/>
          <w:rFonts w:hint="eastAsia"/>
          <w:b w:val="0"/>
          <w:bCs w:val="0"/>
          <w:sz w:val="24"/>
          <w:szCs w:val="24"/>
          <w:lang w:val="en-US" w:eastAsia="zh-CN"/>
        </w:rPr>
        <w:t>抚育管护种植后连续抚育2年，每年2次（5-6月、8-9月）。内容包括：扩穴松土、除草、追肥、补植、病虫害防治。山苍子需适当修枝整形；岗梅需保持林内湿度。 做到“全过程精细化”管理 。</w:t>
      </w:r>
    </w:p>
    <w:bookmarkEnd w:id="15"/>
    <w:bookmarkEnd w:id="16"/>
    <w:p w14:paraId="33973E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jc w:val="left"/>
        <w:rPr>
          <w:rStyle w:val="9"/>
          <w:rFonts w:hint="eastAsia"/>
          <w:b/>
          <w:bCs/>
          <w:sz w:val="24"/>
          <w:szCs w:val="24"/>
          <w:lang w:val="en-US" w:eastAsia="zh-CN"/>
        </w:rPr>
      </w:pPr>
      <w:bookmarkStart w:id="17" w:name="_Toc12701"/>
      <w:bookmarkStart w:id="18" w:name="_Toc10632"/>
      <w:r>
        <w:rPr>
          <w:rStyle w:val="9"/>
          <w:rFonts w:hint="eastAsia"/>
          <w:b/>
          <w:bCs/>
          <w:sz w:val="24"/>
          <w:szCs w:val="24"/>
          <w:lang w:val="en-US" w:eastAsia="zh-CN"/>
        </w:rPr>
        <w:t>4、服务方案、人员要求</w:t>
      </w:r>
    </w:p>
    <w:bookmarkEnd w:id="17"/>
    <w:bookmarkEnd w:id="18"/>
    <w:p w14:paraId="16309EA3">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19" w:name="_Toc27399"/>
      <w:bookmarkStart w:id="20" w:name="_Toc28149"/>
      <w:r>
        <w:rPr>
          <w:rStyle w:val="9"/>
          <w:rFonts w:hint="eastAsia"/>
          <w:b w:val="0"/>
          <w:bCs w:val="0"/>
          <w:sz w:val="24"/>
          <w:szCs w:val="24"/>
          <w:lang w:val="en-US" w:eastAsia="zh-CN"/>
        </w:rPr>
        <w:t>投标供应商需在充分理解本项目采购需求的基础之上结合自身情况制定科学并有利于项目实施</w:t>
      </w:r>
      <w:r>
        <w:rPr>
          <w:rStyle w:val="9"/>
          <w:rFonts w:hint="eastAsia"/>
          <w:b w:val="0"/>
          <w:bCs w:val="0"/>
          <w:color w:val="auto"/>
          <w:sz w:val="24"/>
          <w:szCs w:val="24"/>
          <w:lang w:val="en-US" w:eastAsia="zh-CN"/>
        </w:rPr>
        <w:t>的技术方案和服务保障方案 。</w:t>
      </w:r>
    </w:p>
    <w:bookmarkEnd w:id="19"/>
    <w:bookmarkEnd w:id="20"/>
    <w:p w14:paraId="3F0519FA">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21" w:name="_Toc12465"/>
      <w:bookmarkStart w:id="22" w:name="_Toc17224"/>
      <w:r>
        <w:rPr>
          <w:rStyle w:val="9"/>
          <w:rFonts w:hint="eastAsia"/>
          <w:b w:val="0"/>
          <w:bCs w:val="0"/>
          <w:sz w:val="24"/>
          <w:szCs w:val="24"/>
          <w:lang w:val="en-US" w:eastAsia="zh-CN"/>
        </w:rPr>
        <w:t>投标供应商需拟派专业的服务团队，其中包含项目负责人1名，现场负责人1名，项目组团队技术人员若干，能完全满足本项目的质量和进度要求。</w:t>
      </w:r>
    </w:p>
    <w:bookmarkEnd w:id="21"/>
    <w:p w14:paraId="5CA3C299">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23" w:name="_Toc7074"/>
      <w:r>
        <w:rPr>
          <w:rStyle w:val="9"/>
          <w:rFonts w:hint="eastAsia"/>
          <w:b w:val="0"/>
          <w:bCs w:val="0"/>
          <w:sz w:val="24"/>
          <w:szCs w:val="24"/>
          <w:lang w:val="en-US" w:eastAsia="zh-CN"/>
        </w:rPr>
        <w:t>投标供应商需配备相应作业车辆及设备。</w:t>
      </w:r>
    </w:p>
    <w:bookmarkEnd w:id="22"/>
    <w:bookmarkEnd w:id="23"/>
    <w:p w14:paraId="11E9D284">
      <w:pPr>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845" w:leftChars="0" w:right="0" w:hanging="425" w:firstLineChars="0"/>
        <w:jc w:val="left"/>
        <w:rPr>
          <w:rStyle w:val="9"/>
          <w:rFonts w:hint="eastAsia"/>
          <w:b w:val="0"/>
          <w:bCs w:val="0"/>
          <w:sz w:val="24"/>
          <w:szCs w:val="24"/>
          <w:lang w:val="en-US" w:eastAsia="zh-CN"/>
        </w:rPr>
      </w:pPr>
      <w:bookmarkStart w:id="24" w:name="_Toc7607"/>
      <w:bookmarkStart w:id="25" w:name="_Toc12818"/>
      <w:r>
        <w:rPr>
          <w:rStyle w:val="9"/>
          <w:rFonts w:hint="eastAsia"/>
          <w:b w:val="0"/>
          <w:bCs w:val="0"/>
          <w:sz w:val="24"/>
          <w:szCs w:val="24"/>
          <w:lang w:val="en-US" w:eastAsia="zh-CN"/>
        </w:rPr>
        <w:t>中标供应商应依照《中华人民共和国劳动法》、《中华人民共和国劳动合同法》相关规定用工，能够适应野外作业。技术负责人必须到现场指导各工序施工，在第一年施工期内实行打卡制，每月出勤天数不得少于 20 日(不可抗力因素除外)，每缺勤一天扣除项目款人民币壹仟元整。在施工阶段至本项目验收合格期间，除不可抗力情况外，技术负责人不得进行更换，若在不可抗力情况下，因中标供应商的原因进行更换，必须征得采购人同意，未经批准擅自变更的将扣除1%的项目款。</w:t>
      </w:r>
    </w:p>
    <w:bookmarkEnd w:id="24"/>
    <w:bookmarkEnd w:id="25"/>
    <w:p w14:paraId="4E4A8ED6">
      <w:pPr>
        <w:pStyle w:val="5"/>
        <w:numPr>
          <w:ilvl w:val="0"/>
          <w:numId w:val="0"/>
        </w:numPr>
        <w:spacing w:line="360" w:lineRule="auto"/>
        <w:ind w:leftChars="200"/>
        <w:rPr>
          <w:rStyle w:val="9"/>
          <w:rFonts w:hint="eastAsia"/>
          <w:b w:val="0"/>
          <w:bCs w:val="0"/>
          <w:snapToGrid w:val="0"/>
          <w:color w:val="000000"/>
          <w:sz w:val="24"/>
          <w:lang w:val="en-US" w:eastAsia="zh-CN"/>
        </w:rPr>
      </w:pPr>
      <w:bookmarkStart w:id="26" w:name="_Toc30855"/>
      <w:bookmarkStart w:id="27" w:name="_Toc22251"/>
      <w:r>
        <w:rPr>
          <w:rStyle w:val="9"/>
          <w:rFonts w:hint="eastAsia"/>
          <w:b w:val="0"/>
          <w:bCs w:val="0"/>
          <w:snapToGrid w:val="0"/>
          <w:color w:val="000000"/>
          <w:sz w:val="24"/>
          <w:lang w:val="en-US" w:eastAsia="zh-CN"/>
        </w:rPr>
        <w:t>5.安全服务：一是施工前开展安全卫生教育培训和管理，持证上岗，保障劳动者的人身安全和健康，确保项目顺利实施;路边、水边、地势陡峭等安全隐患高的地段应设立安全警示标识，提示作业人员注意安全。</w:t>
      </w:r>
    </w:p>
    <w:bookmarkEnd w:id="26"/>
    <w:bookmarkEnd w:id="27"/>
    <w:p w14:paraId="49883C9E">
      <w:pPr>
        <w:pStyle w:val="5"/>
        <w:numPr>
          <w:ilvl w:val="0"/>
          <w:numId w:val="0"/>
        </w:numPr>
        <w:spacing w:line="360" w:lineRule="auto"/>
        <w:ind w:leftChars="200"/>
        <w:rPr>
          <w:rStyle w:val="9"/>
          <w:rFonts w:hint="default"/>
          <w:b w:val="0"/>
          <w:bCs w:val="0"/>
          <w:snapToGrid w:val="0"/>
          <w:color w:val="000000"/>
          <w:sz w:val="24"/>
          <w:lang w:val="en-US" w:eastAsia="zh-CN"/>
        </w:rPr>
      </w:pPr>
      <w:bookmarkStart w:id="28" w:name="_Toc9751"/>
      <w:bookmarkStart w:id="29" w:name="_Toc11951"/>
      <w:r>
        <w:rPr>
          <w:rStyle w:val="9"/>
          <w:rFonts w:hint="eastAsia"/>
          <w:b w:val="0"/>
          <w:bCs w:val="0"/>
          <w:snapToGrid w:val="0"/>
          <w:color w:val="000000"/>
          <w:sz w:val="24"/>
          <w:lang w:val="en-US" w:eastAsia="zh-CN"/>
        </w:rPr>
        <w:t>二是施工单位应为作业人员购买人身意外伤害保险，必要时配备工作服、安全帽、手套及必要的安全绳等保护装备;配备必需的应急药。</w:t>
      </w:r>
    </w:p>
    <w:bookmarkEnd w:id="28"/>
    <w:bookmarkEnd w:id="29"/>
    <w:p w14:paraId="6173EE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420" w:leftChars="200" w:right="0"/>
        <w:jc w:val="left"/>
        <w:rPr>
          <w:rStyle w:val="9"/>
          <w:rFonts w:hint="eastAsia"/>
          <w:b w:val="0"/>
          <w:bCs w:val="0"/>
          <w:sz w:val="24"/>
          <w:szCs w:val="24"/>
          <w:lang w:val="en-US" w:eastAsia="zh-CN"/>
        </w:rPr>
      </w:pPr>
    </w:p>
    <w:p w14:paraId="756BB5AB">
      <w:pPr>
        <w:bidi w:val="0"/>
        <w:rPr>
          <w:rFonts w:hint="eastAsia"/>
          <w:b/>
          <w:bCs/>
          <w:sz w:val="32"/>
          <w:szCs w:val="32"/>
          <w:lang w:val="en-US" w:eastAsia="zh-CN"/>
        </w:rPr>
      </w:pPr>
      <w:r>
        <w:rPr>
          <w:rFonts w:hint="eastAsia"/>
          <w:b/>
          <w:bCs/>
          <w:sz w:val="32"/>
          <w:szCs w:val="32"/>
          <w:lang w:val="en-US" w:eastAsia="zh-CN"/>
        </w:rPr>
        <w:t>二、商务要求：</w:t>
      </w:r>
    </w:p>
    <w:p w14:paraId="55B66314">
      <w:pPr>
        <w:pStyle w:val="5"/>
        <w:spacing w:line="360" w:lineRule="auto"/>
        <w:ind w:left="0" w:leftChars="0" w:firstLine="480" w:firstLineChars="200"/>
        <w:rPr>
          <w:rStyle w:val="9"/>
          <w:rFonts w:hint="eastAsia"/>
          <w:b w:val="0"/>
          <w:bCs w:val="0"/>
          <w:snapToGrid w:val="0"/>
          <w:color w:val="000000"/>
          <w:sz w:val="24"/>
          <w:lang w:val="en-US" w:eastAsia="zh-CN"/>
        </w:rPr>
      </w:pPr>
      <w:bookmarkStart w:id="30" w:name="_Toc23769"/>
      <w:bookmarkStart w:id="31" w:name="_Toc27032"/>
      <w:r>
        <w:rPr>
          <w:rStyle w:val="9"/>
          <w:rFonts w:hint="eastAsia"/>
          <w:b w:val="0"/>
          <w:bCs w:val="0"/>
          <w:snapToGrid w:val="0"/>
          <w:color w:val="000000"/>
          <w:sz w:val="24"/>
          <w:lang w:val="en-US" w:eastAsia="zh-CN"/>
        </w:rPr>
        <w:t>1、服务期限：包括种植期和抚育期，签订合同后40天内完成前完成栽植，抚育管护期为2年。</w:t>
      </w:r>
    </w:p>
    <w:bookmarkEnd w:id="30"/>
    <w:bookmarkEnd w:id="31"/>
    <w:p w14:paraId="391E1C2B">
      <w:pPr>
        <w:pStyle w:val="5"/>
        <w:numPr>
          <w:ilvl w:val="0"/>
          <w:numId w:val="0"/>
        </w:numPr>
        <w:spacing w:line="360" w:lineRule="auto"/>
        <w:ind w:leftChars="200"/>
        <w:rPr>
          <w:rStyle w:val="9"/>
          <w:rFonts w:hint="eastAsia"/>
          <w:b w:val="0"/>
          <w:bCs w:val="0"/>
          <w:snapToGrid w:val="0"/>
          <w:color w:val="000000"/>
          <w:sz w:val="24"/>
          <w:lang w:val="en-US" w:eastAsia="zh-CN"/>
        </w:rPr>
      </w:pPr>
      <w:bookmarkStart w:id="32" w:name="_Toc19756"/>
      <w:bookmarkStart w:id="33" w:name="_Toc29553"/>
      <w:r>
        <w:rPr>
          <w:rStyle w:val="9"/>
          <w:rFonts w:hint="eastAsia"/>
          <w:b w:val="0"/>
          <w:bCs w:val="0"/>
          <w:snapToGrid w:val="0"/>
          <w:color w:val="auto"/>
          <w:sz w:val="24"/>
          <w:lang w:val="en-US" w:eastAsia="zh-CN"/>
        </w:rPr>
        <w:t>2.</w:t>
      </w:r>
      <w:r>
        <w:rPr>
          <w:rStyle w:val="9"/>
          <w:rFonts w:hint="eastAsia"/>
          <w:b w:val="0"/>
          <w:bCs w:val="0"/>
          <w:snapToGrid w:val="0"/>
          <w:color w:val="0000FF"/>
          <w:sz w:val="24"/>
          <w:lang w:val="en-US" w:eastAsia="zh-CN"/>
        </w:rPr>
        <w:t xml:space="preserve"> </w:t>
      </w:r>
      <w:bookmarkStart w:id="34" w:name="_Toc12629"/>
      <w:bookmarkStart w:id="35" w:name="_Toc18171"/>
      <w:r>
        <w:rPr>
          <w:rStyle w:val="9"/>
          <w:rFonts w:hint="eastAsia"/>
          <w:b w:val="0"/>
          <w:bCs w:val="0"/>
          <w:snapToGrid w:val="0"/>
          <w:color w:val="000000"/>
          <w:sz w:val="24"/>
          <w:lang w:val="en-US" w:eastAsia="zh-CN"/>
        </w:rPr>
        <w:t>付款方式：“种植完成付40%，第一年抚育验收合格付30%，第二年抚育验收合格付30%”的方式。</w:t>
      </w:r>
    </w:p>
    <w:bookmarkEnd w:id="34"/>
    <w:bookmarkEnd w:id="35"/>
    <w:p w14:paraId="7B37E0F5">
      <w:pPr>
        <w:pStyle w:val="5"/>
        <w:spacing w:line="360" w:lineRule="auto"/>
        <w:ind w:left="0" w:leftChars="0" w:firstLine="480" w:firstLineChars="200"/>
        <w:rPr>
          <w:rStyle w:val="9"/>
          <w:rFonts w:hint="eastAsia"/>
          <w:b w:val="0"/>
          <w:bCs w:val="0"/>
          <w:snapToGrid w:val="0"/>
          <w:color w:val="auto"/>
          <w:sz w:val="24"/>
          <w:lang w:val="en-US" w:eastAsia="zh-CN"/>
        </w:rPr>
      </w:pPr>
      <w:r>
        <w:rPr>
          <w:rStyle w:val="9"/>
          <w:rFonts w:hint="eastAsia"/>
          <w:b w:val="0"/>
          <w:bCs w:val="0"/>
          <w:snapToGrid w:val="0"/>
          <w:color w:val="auto"/>
          <w:sz w:val="24"/>
          <w:lang w:val="en-US" w:eastAsia="zh-CN"/>
        </w:rPr>
        <w:t>3.验收标准：</w:t>
      </w:r>
    </w:p>
    <w:bookmarkEnd w:id="32"/>
    <w:bookmarkEnd w:id="33"/>
    <w:p w14:paraId="0D0335F6">
      <w:pPr>
        <w:pStyle w:val="5"/>
        <w:numPr>
          <w:ilvl w:val="0"/>
          <w:numId w:val="4"/>
        </w:numPr>
        <w:spacing w:line="360" w:lineRule="auto"/>
        <w:ind w:left="845" w:leftChars="0" w:hanging="425" w:firstLineChars="0"/>
        <w:rPr>
          <w:rStyle w:val="9"/>
          <w:rFonts w:hint="eastAsia"/>
          <w:b w:val="0"/>
          <w:bCs w:val="0"/>
          <w:snapToGrid w:val="0"/>
          <w:color w:val="auto"/>
          <w:sz w:val="24"/>
          <w:lang w:val="en-US" w:eastAsia="zh-CN"/>
        </w:rPr>
      </w:pPr>
      <w:bookmarkStart w:id="36" w:name="_Toc18432"/>
      <w:bookmarkStart w:id="37" w:name="_Toc8244"/>
      <w:r>
        <w:rPr>
          <w:rStyle w:val="9"/>
          <w:rFonts w:hint="eastAsia"/>
          <w:b w:val="0"/>
          <w:bCs w:val="0"/>
          <w:snapToGrid w:val="0"/>
          <w:color w:val="auto"/>
          <w:sz w:val="24"/>
          <w:lang w:val="en-US" w:eastAsia="zh-CN"/>
        </w:rPr>
        <w:t>当年验收：种植面积核实、苗木规格复核，成活率需达到95% 以上。</w:t>
      </w:r>
    </w:p>
    <w:bookmarkEnd w:id="36"/>
    <w:bookmarkEnd w:id="37"/>
    <w:p w14:paraId="00DD92BC">
      <w:pPr>
        <w:pStyle w:val="5"/>
        <w:numPr>
          <w:ilvl w:val="0"/>
          <w:numId w:val="4"/>
        </w:numPr>
        <w:spacing w:line="360" w:lineRule="auto"/>
        <w:ind w:left="845" w:leftChars="0" w:hanging="425" w:firstLineChars="0"/>
        <w:rPr>
          <w:rStyle w:val="9"/>
          <w:rFonts w:hint="eastAsia"/>
          <w:b w:val="0"/>
          <w:bCs w:val="0"/>
          <w:snapToGrid w:val="0"/>
          <w:color w:val="auto"/>
          <w:sz w:val="24"/>
          <w:lang w:val="en-US" w:eastAsia="zh-CN"/>
        </w:rPr>
      </w:pPr>
      <w:bookmarkStart w:id="38" w:name="_Toc15810"/>
      <w:bookmarkStart w:id="39" w:name="_Toc26237"/>
      <w:r>
        <w:rPr>
          <w:rStyle w:val="9"/>
          <w:rFonts w:hint="eastAsia"/>
          <w:b w:val="0"/>
          <w:bCs w:val="0"/>
          <w:snapToGrid w:val="0"/>
          <w:color w:val="auto"/>
          <w:sz w:val="24"/>
          <w:lang w:val="en-US" w:eastAsia="zh-CN"/>
        </w:rPr>
        <w:t>抚育期满验收：保存率需达到95% 以上，植株长势良好，无重大病虫害。</w:t>
      </w:r>
    </w:p>
    <w:bookmarkEnd w:id="38"/>
    <w:bookmarkEnd w:id="39"/>
    <w:p w14:paraId="613D46B7">
      <w:pPr>
        <w:pStyle w:val="5"/>
        <w:numPr>
          <w:ilvl w:val="0"/>
          <w:numId w:val="0"/>
        </w:numPr>
        <w:spacing w:line="360" w:lineRule="auto"/>
        <w:ind w:leftChars="200"/>
        <w:rPr>
          <w:rStyle w:val="9"/>
          <w:rFonts w:hint="eastAsia"/>
          <w:b w:val="0"/>
          <w:bCs w:val="0"/>
          <w:snapToGrid w:val="0"/>
          <w:color w:val="000000"/>
          <w:sz w:val="24"/>
          <w:lang w:val="en-US" w:eastAsia="zh-CN"/>
        </w:rPr>
      </w:pPr>
      <w:bookmarkStart w:id="40" w:name="_Toc343"/>
      <w:bookmarkStart w:id="41" w:name="_Toc85"/>
      <w:r>
        <w:rPr>
          <w:rStyle w:val="9"/>
          <w:rFonts w:hint="eastAsia"/>
          <w:b w:val="0"/>
          <w:bCs w:val="0"/>
          <w:snapToGrid w:val="0"/>
          <w:color w:val="000000"/>
          <w:sz w:val="24"/>
          <w:lang w:val="en-US" w:eastAsia="zh-CN"/>
        </w:rPr>
        <w:t>4.验收方式</w:t>
      </w:r>
    </w:p>
    <w:bookmarkEnd w:id="40"/>
    <w:bookmarkEnd w:id="41"/>
    <w:p w14:paraId="724D925A">
      <w:pPr>
        <w:pStyle w:val="5"/>
        <w:numPr>
          <w:ilvl w:val="0"/>
          <w:numId w:val="0"/>
        </w:numPr>
        <w:spacing w:line="360" w:lineRule="auto"/>
        <w:ind w:leftChars="200"/>
        <w:rPr>
          <w:rStyle w:val="9"/>
          <w:rFonts w:hint="eastAsia"/>
          <w:b w:val="0"/>
          <w:bCs w:val="0"/>
          <w:snapToGrid w:val="0"/>
          <w:color w:val="000000"/>
          <w:sz w:val="24"/>
          <w:lang w:val="en-US" w:eastAsia="zh-CN"/>
        </w:rPr>
      </w:pPr>
      <w:bookmarkStart w:id="42" w:name="_Toc8918"/>
      <w:bookmarkStart w:id="43" w:name="_Toc22456"/>
      <w:r>
        <w:rPr>
          <w:rStyle w:val="9"/>
          <w:rFonts w:hint="eastAsia"/>
          <w:b w:val="0"/>
          <w:bCs w:val="0"/>
          <w:snapToGrid w:val="0"/>
          <w:color w:val="000000"/>
          <w:sz w:val="24"/>
          <w:lang w:val="en-US" w:eastAsia="zh-CN"/>
        </w:rPr>
        <w:t>4.1.履约验收主体:采购人</w:t>
      </w:r>
    </w:p>
    <w:bookmarkEnd w:id="42"/>
    <w:bookmarkEnd w:id="43"/>
    <w:p w14:paraId="08BFC16C">
      <w:pPr>
        <w:pStyle w:val="5"/>
        <w:numPr>
          <w:ilvl w:val="0"/>
          <w:numId w:val="0"/>
        </w:numPr>
        <w:spacing w:line="360" w:lineRule="auto"/>
        <w:ind w:firstLine="480" w:firstLineChars="200"/>
        <w:rPr>
          <w:rStyle w:val="9"/>
          <w:rFonts w:hint="eastAsia"/>
          <w:b w:val="0"/>
          <w:bCs w:val="0"/>
          <w:snapToGrid w:val="0"/>
          <w:color w:val="000000"/>
          <w:sz w:val="24"/>
          <w:lang w:val="en-US" w:eastAsia="zh-CN"/>
        </w:rPr>
      </w:pPr>
      <w:bookmarkStart w:id="44" w:name="_Toc19302"/>
      <w:bookmarkStart w:id="45" w:name="_Toc5303"/>
      <w:r>
        <w:rPr>
          <w:rStyle w:val="9"/>
          <w:rFonts w:hint="eastAsia"/>
          <w:b w:val="0"/>
          <w:bCs w:val="0"/>
          <w:snapToGrid w:val="0"/>
          <w:color w:val="000000"/>
          <w:sz w:val="24"/>
          <w:lang w:val="en-US" w:eastAsia="zh-CN"/>
        </w:rPr>
        <w:t>4.2.履约验收方式:甲方组织工作人员或第三方林业专业机构进行分期验收</w:t>
      </w:r>
    </w:p>
    <w:bookmarkEnd w:id="44"/>
    <w:bookmarkEnd w:id="45"/>
    <w:p w14:paraId="3F219B83">
      <w:pPr>
        <w:pStyle w:val="5"/>
        <w:numPr>
          <w:ilvl w:val="0"/>
          <w:numId w:val="0"/>
        </w:numPr>
        <w:spacing w:line="360" w:lineRule="auto"/>
        <w:ind w:leftChars="200"/>
        <w:rPr>
          <w:rStyle w:val="9"/>
          <w:rFonts w:hint="eastAsia"/>
          <w:b w:val="0"/>
          <w:bCs w:val="0"/>
          <w:snapToGrid w:val="0"/>
          <w:color w:val="000000"/>
          <w:sz w:val="24"/>
          <w:lang w:val="en-US" w:eastAsia="zh-CN"/>
        </w:rPr>
      </w:pPr>
      <w:bookmarkStart w:id="46" w:name="_Toc13899"/>
      <w:bookmarkStart w:id="47" w:name="_Toc23338"/>
      <w:r>
        <w:rPr>
          <w:rStyle w:val="9"/>
          <w:rFonts w:hint="eastAsia"/>
          <w:b w:val="0"/>
          <w:bCs w:val="0"/>
          <w:snapToGrid w:val="0"/>
          <w:color w:val="000000"/>
          <w:sz w:val="24"/>
          <w:lang w:val="en-US" w:eastAsia="zh-CN"/>
        </w:rPr>
        <w:t>4.3.履约验收程序</w:t>
      </w:r>
    </w:p>
    <w:bookmarkEnd w:id="46"/>
    <w:bookmarkEnd w:id="47"/>
    <w:p w14:paraId="5BE1E264">
      <w:pPr>
        <w:pStyle w:val="5"/>
        <w:numPr>
          <w:ilvl w:val="0"/>
          <w:numId w:val="0"/>
        </w:numPr>
        <w:spacing w:line="360" w:lineRule="auto"/>
        <w:ind w:leftChars="200"/>
        <w:rPr>
          <w:rStyle w:val="9"/>
          <w:rFonts w:hint="eastAsia"/>
          <w:b w:val="0"/>
          <w:bCs w:val="0"/>
          <w:snapToGrid w:val="0"/>
          <w:color w:val="000000"/>
          <w:sz w:val="24"/>
          <w:lang w:val="en-US" w:eastAsia="zh-CN"/>
        </w:rPr>
      </w:pPr>
      <w:bookmarkStart w:id="48" w:name="_Toc18818"/>
      <w:bookmarkStart w:id="49" w:name="_Toc5631"/>
      <w:r>
        <w:rPr>
          <w:rStyle w:val="9"/>
          <w:rFonts w:hint="eastAsia"/>
          <w:b w:val="0"/>
          <w:bCs w:val="0"/>
          <w:snapToGrid w:val="0"/>
          <w:color w:val="000000"/>
          <w:sz w:val="24"/>
          <w:lang w:val="en-US" w:eastAsia="zh-CN"/>
        </w:rPr>
        <w:t>4.4甲方成立验收小组，按照磋商文件、中标人投标文件及采购合同的约定对乙方履约情况进行验收。验收时，应当对每一项技术、服务、安全标准的履约情况进行确认。验收结束后，应当出具验收书，列明各项标准的验收情况及项目总体评价，由验收双方共同签署。验收结果应当与采购合同约定的资金支付挂钩。履约验收的各项资料应当存档备查。</w:t>
      </w:r>
    </w:p>
    <w:bookmarkEnd w:id="48"/>
    <w:bookmarkEnd w:id="49"/>
    <w:p w14:paraId="75143A3C">
      <w:pPr>
        <w:pStyle w:val="5"/>
        <w:numPr>
          <w:ilvl w:val="0"/>
          <w:numId w:val="0"/>
        </w:numPr>
        <w:spacing w:line="360" w:lineRule="auto"/>
        <w:ind w:leftChars="200"/>
        <w:rPr>
          <w:rStyle w:val="9"/>
          <w:rFonts w:hint="default"/>
          <w:b w:val="0"/>
          <w:bCs w:val="0"/>
          <w:snapToGrid w:val="0"/>
          <w:color w:val="000000"/>
          <w:sz w:val="24"/>
          <w:lang w:val="en-US" w:eastAsia="zh-CN"/>
        </w:rPr>
      </w:pPr>
      <w:bookmarkStart w:id="50" w:name="_Toc922"/>
      <w:bookmarkStart w:id="51" w:name="_Toc18982"/>
      <w:r>
        <w:rPr>
          <w:rStyle w:val="9"/>
          <w:rFonts w:hint="eastAsia"/>
          <w:b w:val="0"/>
          <w:bCs w:val="0"/>
          <w:snapToGrid w:val="0"/>
          <w:color w:val="000000"/>
          <w:sz w:val="24"/>
          <w:lang w:val="en-US" w:eastAsia="zh-CN"/>
        </w:rPr>
        <w:t>6.投标报价包括投标供应商按本合同规定向采购人提供合同服务项目的一切费用。</w:t>
      </w:r>
    </w:p>
    <w:bookmarkEnd w:id="50"/>
    <w:bookmarkEnd w:id="51"/>
    <w:p w14:paraId="43C90FB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34D950"/>
    <w:multiLevelType w:val="singleLevel"/>
    <w:tmpl w:val="B934D950"/>
    <w:lvl w:ilvl="0" w:tentative="0">
      <w:start w:val="1"/>
      <w:numFmt w:val="decimal"/>
      <w:lvlText w:val="(%1)"/>
      <w:lvlJc w:val="left"/>
      <w:pPr>
        <w:ind w:left="425" w:hanging="425"/>
      </w:pPr>
      <w:rPr>
        <w:rFonts w:hint="default"/>
      </w:rPr>
    </w:lvl>
  </w:abstractNum>
  <w:abstractNum w:abstractNumId="1">
    <w:nsid w:val="DB83F6FC"/>
    <w:multiLevelType w:val="singleLevel"/>
    <w:tmpl w:val="DB83F6FC"/>
    <w:lvl w:ilvl="0" w:tentative="0">
      <w:start w:val="1"/>
      <w:numFmt w:val="decimal"/>
      <w:lvlText w:val="(%1)"/>
      <w:lvlJc w:val="left"/>
      <w:pPr>
        <w:tabs>
          <w:tab w:val="left" w:pos="420"/>
        </w:tabs>
        <w:ind w:left="845" w:hanging="425"/>
      </w:pPr>
      <w:rPr>
        <w:rFonts w:hint="default"/>
      </w:rPr>
    </w:lvl>
  </w:abstractNum>
  <w:abstractNum w:abstractNumId="2">
    <w:nsid w:val="092AF2E4"/>
    <w:multiLevelType w:val="singleLevel"/>
    <w:tmpl w:val="092AF2E4"/>
    <w:lvl w:ilvl="0" w:tentative="0">
      <w:start w:val="1"/>
      <w:numFmt w:val="chineseCounting"/>
      <w:suff w:val="nothing"/>
      <w:lvlText w:val="（%1）"/>
      <w:lvlJc w:val="left"/>
      <w:rPr>
        <w:rFonts w:hint="eastAsia"/>
      </w:rPr>
    </w:lvl>
  </w:abstractNum>
  <w:abstractNum w:abstractNumId="3">
    <w:nsid w:val="21A68F64"/>
    <w:multiLevelType w:val="singleLevel"/>
    <w:tmpl w:val="21A68F64"/>
    <w:lvl w:ilvl="0" w:tentative="0">
      <w:start w:val="1"/>
      <w:numFmt w:val="decimal"/>
      <w:lvlText w:val="(%1)"/>
      <w:lvlJc w:val="left"/>
      <w:pPr>
        <w:tabs>
          <w:tab w:val="left" w:pos="420"/>
        </w:tabs>
        <w:ind w:left="845" w:hanging="425"/>
      </w:pPr>
      <w:rPr>
        <w:rFont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964A23"/>
    <w:rsid w:val="36365E91"/>
    <w:rsid w:val="427442FF"/>
    <w:rsid w:val="6429546D"/>
    <w:rsid w:val="6AB751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link w:val="9"/>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footer"/>
    <w:basedOn w:val="1"/>
    <w:qFormat/>
    <w:uiPriority w:val="0"/>
    <w:pPr>
      <w:tabs>
        <w:tab w:val="center" w:pos="4153"/>
        <w:tab w:val="right" w:pos="8306"/>
      </w:tabs>
    </w:pPr>
    <w:rPr>
      <w:sz w:val="18"/>
    </w:rPr>
  </w:style>
  <w:style w:type="character" w:customStyle="1" w:styleId="9">
    <w:name w:val="标题 1 Char"/>
    <w:link w:val="2"/>
    <w:qFormat/>
    <w:uiPriority w:val="0"/>
    <w:rPr>
      <w:rFonts w:ascii="Times New Roman" w:hAnsi="Times New Roman" w:eastAsia="宋体" w:cs="Times New Roman"/>
      <w:b/>
      <w:bCs/>
      <w:kern w:val="44"/>
      <w:sz w:val="44"/>
      <w:szCs w:val="24"/>
      <w:lang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1461</Words>
  <Characters>1531</Characters>
  <Lines>0</Lines>
  <Paragraphs>0</Paragraphs>
  <TotalTime>0</TotalTime>
  <ScaleCrop>false</ScaleCrop>
  <LinksUpToDate>false</LinksUpToDate>
  <CharactersWithSpaces>1544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2026-04-14T08:39:00Z</dcterms:created>
  <dc:creator>Admin</dc:creator>
  <cp:lastModifiedBy>X</cp:lastModifiedBy>
  <dcterms:modified xsi:type="dcterms:W3CDTF">2026-05-13T10:04:45Z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eyJoZGlkIjoiYmFlY2JkODc2NTBkOWUzNDgyZDliNmUxNTIyY2QxN2QiLCJ1c2VySWQiOiIzNzE4MzIzNTgifQ==</vt:lpwstr>
  </property>
  <property fmtid="{D5CDD505-2E9C-101B-9397-08002B2CF9AE}" pid="4" name="ICV">
    <vt:lpwstr>1FA1DA1F3FFA4554B1ECB1FF8613D5B6_13</vt:lpwstr>
  </property>
</Properties>
</file>