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D7D3B0">
      <w:pPr>
        <w:keepNext w:val="0"/>
        <w:keepLines w:val="0"/>
        <w:pageBreakBefore w:val="0"/>
        <w:widowControl/>
        <w:kinsoku/>
        <w:wordWrap/>
        <w:overflowPunct/>
        <w:topLinePunct w:val="0"/>
        <w:autoSpaceDE/>
        <w:autoSpaceDN/>
        <w:bidi w:val="0"/>
        <w:adjustRightInd/>
        <w:snapToGrid/>
        <w:spacing w:line="460" w:lineRule="exact"/>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b/>
          <w:bCs/>
          <w:color w:val="auto"/>
          <w:kern w:val="0"/>
          <w:sz w:val="24"/>
          <w:szCs w:val="24"/>
          <w:highlight w:val="none"/>
          <w:lang w:eastAsia="zh-CN" w:bidi="ar"/>
        </w:rPr>
        <w:t>（</w:t>
      </w:r>
      <w:r>
        <w:rPr>
          <w:rFonts w:hint="eastAsia" w:ascii="宋体" w:hAnsi="宋体" w:eastAsia="宋体" w:cs="宋体"/>
          <w:b/>
          <w:bCs/>
          <w:color w:val="auto"/>
          <w:kern w:val="0"/>
          <w:sz w:val="24"/>
          <w:szCs w:val="24"/>
          <w:highlight w:val="none"/>
          <w:lang w:val="en-US" w:eastAsia="zh-CN" w:bidi="ar"/>
        </w:rPr>
        <w:t>一</w:t>
      </w:r>
      <w:r>
        <w:rPr>
          <w:rFonts w:hint="eastAsia" w:ascii="宋体" w:hAnsi="宋体" w:eastAsia="宋体" w:cs="宋体"/>
          <w:b/>
          <w:bCs/>
          <w:color w:val="auto"/>
          <w:kern w:val="0"/>
          <w:sz w:val="24"/>
          <w:szCs w:val="24"/>
          <w:highlight w:val="none"/>
          <w:lang w:eastAsia="zh-CN" w:bidi="ar"/>
        </w:rPr>
        <w:t>）</w:t>
      </w:r>
      <w:r>
        <w:rPr>
          <w:rFonts w:hint="eastAsia" w:ascii="宋体" w:hAnsi="宋体" w:eastAsia="宋体" w:cs="宋体"/>
          <w:b/>
          <w:bCs/>
          <w:color w:val="auto"/>
          <w:kern w:val="0"/>
          <w:sz w:val="24"/>
          <w:szCs w:val="24"/>
          <w:highlight w:val="none"/>
          <w:lang w:bidi="ar"/>
        </w:rPr>
        <w:t>项目概况：</w:t>
      </w:r>
      <w:r>
        <w:rPr>
          <w:rFonts w:hint="eastAsia" w:ascii="宋体" w:hAnsi="宋体" w:eastAsia="宋体" w:cs="宋体"/>
          <w:color w:val="auto"/>
          <w:kern w:val="0"/>
          <w:sz w:val="24"/>
          <w:szCs w:val="24"/>
          <w:highlight w:val="none"/>
          <w:lang w:bidi="ar"/>
        </w:rPr>
        <w:t xml:space="preserve"> </w:t>
      </w:r>
    </w:p>
    <w:p w14:paraId="4AC5049B">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eastAsia="zh-CN" w:bidi="ar"/>
        </w:rPr>
      </w:pPr>
      <w:r>
        <w:rPr>
          <w:rFonts w:hint="eastAsia" w:ascii="宋体" w:hAnsi="宋体" w:eastAsia="宋体" w:cs="宋体"/>
          <w:color w:val="auto"/>
          <w:kern w:val="0"/>
          <w:sz w:val="24"/>
          <w:szCs w:val="24"/>
          <w:highlight w:val="none"/>
          <w:lang w:bidi="ar"/>
        </w:rPr>
        <w:t>（1）项目名称：</w:t>
      </w:r>
      <w:r>
        <w:rPr>
          <w:rFonts w:hint="eastAsia" w:ascii="宋体" w:hAnsi="宋体" w:eastAsia="宋体" w:cs="宋体"/>
          <w:color w:val="auto"/>
          <w:kern w:val="0"/>
          <w:sz w:val="24"/>
          <w:szCs w:val="24"/>
          <w:highlight w:val="none"/>
          <w:lang w:eastAsia="zh-CN" w:bidi="ar"/>
        </w:rPr>
        <w:t>九江市住房保障管护中心2026年度公有房屋零星维修项目。</w:t>
      </w:r>
    </w:p>
    <w:p w14:paraId="563F2D73">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eastAsia="zh-CN" w:bidi="ar"/>
        </w:rPr>
      </w:pPr>
      <w:r>
        <w:rPr>
          <w:rFonts w:hint="eastAsia" w:ascii="宋体" w:hAnsi="宋体" w:eastAsia="宋体" w:cs="宋体"/>
          <w:color w:val="auto"/>
          <w:kern w:val="0"/>
          <w:sz w:val="24"/>
          <w:szCs w:val="24"/>
          <w:highlight w:val="none"/>
          <w:lang w:bidi="ar"/>
        </w:rPr>
        <w:t>（2）建设单位：九江市住房保障管护中心</w:t>
      </w:r>
      <w:r>
        <w:rPr>
          <w:rFonts w:hint="eastAsia" w:ascii="宋体" w:hAnsi="宋体" w:eastAsia="宋体" w:cs="宋体"/>
          <w:color w:val="auto"/>
          <w:kern w:val="0"/>
          <w:sz w:val="24"/>
          <w:szCs w:val="24"/>
          <w:highlight w:val="none"/>
          <w:lang w:eastAsia="zh-CN" w:bidi="ar"/>
        </w:rPr>
        <w:t>。</w:t>
      </w:r>
    </w:p>
    <w:p w14:paraId="220329C4">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（3）项目内容：</w:t>
      </w:r>
      <w:r>
        <w:rPr>
          <w:rFonts w:hint="eastAsia" w:ascii="宋体" w:hAnsi="宋体" w:eastAsia="宋体" w:cs="宋体"/>
          <w:color w:val="auto"/>
          <w:kern w:val="0"/>
          <w:sz w:val="24"/>
          <w:szCs w:val="24"/>
          <w:highlight w:val="none"/>
          <w:lang w:val="en-US" w:eastAsia="zh-CN" w:bidi="ar"/>
        </w:rPr>
        <w:t>辖区内公房电梯维修维护服务</w:t>
      </w:r>
      <w:r>
        <w:rPr>
          <w:rFonts w:hint="eastAsia" w:ascii="宋体" w:hAnsi="宋体" w:eastAsia="宋体" w:cs="宋体"/>
          <w:color w:val="auto"/>
          <w:kern w:val="0"/>
          <w:sz w:val="24"/>
          <w:szCs w:val="24"/>
          <w:highlight w:val="none"/>
          <w:lang w:bidi="ar"/>
        </w:rPr>
        <w:t>，详见</w:t>
      </w:r>
      <w:r>
        <w:rPr>
          <w:rFonts w:hint="eastAsia" w:ascii="宋体" w:hAnsi="宋体" w:eastAsia="宋体" w:cs="宋体"/>
          <w:color w:val="auto"/>
          <w:kern w:val="0"/>
          <w:sz w:val="24"/>
          <w:szCs w:val="24"/>
          <w:highlight w:val="none"/>
          <w:lang w:eastAsia="zh-CN" w:bidi="ar"/>
        </w:rPr>
        <w:t>《保障房小区电梯情况统计表》</w:t>
      </w:r>
      <w:r>
        <w:rPr>
          <w:rFonts w:hint="eastAsia" w:ascii="宋体" w:hAnsi="宋体" w:eastAsia="宋体" w:cs="宋体"/>
          <w:color w:val="auto"/>
          <w:kern w:val="0"/>
          <w:sz w:val="24"/>
          <w:szCs w:val="24"/>
          <w:highlight w:val="none"/>
          <w:lang w:bidi="ar"/>
        </w:rPr>
        <w:t>。</w:t>
      </w:r>
    </w:p>
    <w:tbl>
      <w:tblPr>
        <w:tblStyle w:val="4"/>
        <w:tblW w:w="972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21"/>
        <w:gridCol w:w="1924"/>
        <w:gridCol w:w="1189"/>
        <w:gridCol w:w="4541"/>
        <w:gridCol w:w="1345"/>
      </w:tblGrid>
      <w:tr w14:paraId="71B7A2B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488" w:hRule="atLeast"/>
          <w:jc w:val="center"/>
        </w:trPr>
        <w:tc>
          <w:tcPr>
            <w:tcW w:w="9720" w:type="dxa"/>
            <w:gridSpan w:val="5"/>
            <w:tcBorders>
              <w:bottom w:val="nil"/>
            </w:tcBorders>
            <w:shd w:val="clear" w:color="auto" w:fill="auto"/>
            <w:noWrap/>
            <w:vAlign w:val="center"/>
          </w:tcPr>
          <w:p w14:paraId="50F48E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b/>
                <w:bCs/>
                <w:i w:val="0"/>
                <w:iCs w:val="0"/>
                <w:snapToGrid w:val="0"/>
                <w:color w:val="000000"/>
                <w:kern w:val="0"/>
                <w:sz w:val="32"/>
                <w:szCs w:val="32"/>
                <w:highlight w:val="none"/>
                <w:u w:val="none"/>
                <w:lang w:val="en-US" w:eastAsia="zh-CN" w:bidi="ar"/>
              </w:rPr>
              <w:t>保障房小区电梯情况统计表</w:t>
            </w:r>
          </w:p>
        </w:tc>
      </w:tr>
      <w:tr w14:paraId="65DC27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721" w:type="dxa"/>
            <w:tcBorders>
              <w:top w:val="single" w:color="000000" w:sz="4" w:space="0"/>
              <w:bottom w:val="single" w:color="000000" w:sz="4" w:space="0"/>
              <w:right w:val="single" w:color="000000" w:sz="4" w:space="0"/>
            </w:tcBorders>
            <w:shd w:val="clear" w:color="auto" w:fill="auto"/>
            <w:vAlign w:val="center"/>
          </w:tcPr>
          <w:p w14:paraId="25C8C66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序号</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2989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小区名称</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413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小区电梯总台数</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679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电梯品牌及数量</w:t>
            </w:r>
          </w:p>
        </w:tc>
        <w:tc>
          <w:tcPr>
            <w:tcW w:w="1345" w:type="dxa"/>
            <w:tcBorders>
              <w:top w:val="single" w:color="000000" w:sz="4" w:space="0"/>
              <w:left w:val="single" w:color="000000" w:sz="4" w:space="0"/>
              <w:bottom w:val="single" w:color="000000" w:sz="4" w:space="0"/>
            </w:tcBorders>
            <w:shd w:val="clear" w:color="auto" w:fill="auto"/>
            <w:vAlign w:val="center"/>
          </w:tcPr>
          <w:p w14:paraId="6F94AD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备注</w:t>
            </w:r>
          </w:p>
        </w:tc>
      </w:tr>
      <w:tr w14:paraId="76A6608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0EA97D2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C6F7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怡庐苑一期</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CABE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148</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554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上海爱登堡电梯148台</w:t>
            </w:r>
          </w:p>
        </w:tc>
        <w:tc>
          <w:tcPr>
            <w:tcW w:w="0" w:type="auto"/>
            <w:tcBorders>
              <w:top w:val="single" w:color="000000" w:sz="4" w:space="0"/>
              <w:left w:val="single" w:color="000000" w:sz="4" w:space="0"/>
              <w:bottom w:val="single" w:color="000000" w:sz="4" w:space="0"/>
            </w:tcBorders>
            <w:shd w:val="clear" w:color="auto" w:fill="auto"/>
            <w:noWrap/>
            <w:vAlign w:val="center"/>
          </w:tcPr>
          <w:p w14:paraId="0AEB1621">
            <w:pPr>
              <w:rPr>
                <w:rFonts w:hint="eastAsia" w:ascii="宋体" w:hAnsi="宋体" w:eastAsia="宋体" w:cs="宋体"/>
                <w:i w:val="0"/>
                <w:iCs w:val="0"/>
                <w:color w:val="000000"/>
                <w:sz w:val="24"/>
                <w:szCs w:val="24"/>
                <w:highlight w:val="none"/>
                <w:u w:val="none"/>
              </w:rPr>
            </w:pPr>
          </w:p>
        </w:tc>
      </w:tr>
      <w:tr w14:paraId="10369CF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58F529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B99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怡和苑一期</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9D08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38</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DEB5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大连星玛电梯有限公司38台</w:t>
            </w:r>
          </w:p>
        </w:tc>
        <w:tc>
          <w:tcPr>
            <w:tcW w:w="0" w:type="auto"/>
            <w:tcBorders>
              <w:top w:val="single" w:color="000000" w:sz="4" w:space="0"/>
              <w:left w:val="single" w:color="000000" w:sz="4" w:space="0"/>
              <w:bottom w:val="single" w:color="000000" w:sz="4" w:space="0"/>
            </w:tcBorders>
            <w:shd w:val="clear" w:color="auto" w:fill="auto"/>
            <w:noWrap/>
            <w:vAlign w:val="center"/>
          </w:tcPr>
          <w:p w14:paraId="68A1940B">
            <w:pPr>
              <w:rPr>
                <w:rFonts w:hint="eastAsia" w:ascii="宋体" w:hAnsi="宋体" w:eastAsia="宋体" w:cs="宋体"/>
                <w:i w:val="0"/>
                <w:iCs w:val="0"/>
                <w:color w:val="000000"/>
                <w:sz w:val="24"/>
                <w:szCs w:val="24"/>
                <w:highlight w:val="none"/>
                <w:u w:val="none"/>
              </w:rPr>
            </w:pPr>
          </w:p>
        </w:tc>
      </w:tr>
      <w:tr w14:paraId="3B4F6F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70BFAAD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A9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怡和苑二期</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CA22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150</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BE93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爱默生电梯有限公司150台</w:t>
            </w:r>
          </w:p>
        </w:tc>
        <w:tc>
          <w:tcPr>
            <w:tcW w:w="0" w:type="auto"/>
            <w:tcBorders>
              <w:top w:val="single" w:color="000000" w:sz="4" w:space="0"/>
              <w:left w:val="single" w:color="000000" w:sz="4" w:space="0"/>
              <w:bottom w:val="single" w:color="000000" w:sz="4" w:space="0"/>
            </w:tcBorders>
            <w:shd w:val="clear" w:color="auto" w:fill="auto"/>
            <w:noWrap/>
            <w:vAlign w:val="center"/>
          </w:tcPr>
          <w:p w14:paraId="3061F088">
            <w:pPr>
              <w:rPr>
                <w:rFonts w:hint="eastAsia" w:ascii="宋体" w:hAnsi="宋体" w:eastAsia="宋体" w:cs="宋体"/>
                <w:i w:val="0"/>
                <w:iCs w:val="0"/>
                <w:color w:val="000000"/>
                <w:sz w:val="24"/>
                <w:szCs w:val="24"/>
                <w:highlight w:val="none"/>
                <w:u w:val="none"/>
              </w:rPr>
            </w:pPr>
          </w:p>
        </w:tc>
      </w:tr>
      <w:tr w14:paraId="3D3803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730FA65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6E5D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怡芳苑一期</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DBC3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129</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1805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蒂森电梯有限公司129台</w:t>
            </w:r>
          </w:p>
        </w:tc>
        <w:tc>
          <w:tcPr>
            <w:tcW w:w="0" w:type="auto"/>
            <w:tcBorders>
              <w:top w:val="single" w:color="000000" w:sz="4" w:space="0"/>
              <w:left w:val="single" w:color="000000" w:sz="4" w:space="0"/>
              <w:bottom w:val="single" w:color="000000" w:sz="4" w:space="0"/>
            </w:tcBorders>
            <w:shd w:val="clear" w:color="auto" w:fill="auto"/>
            <w:noWrap/>
            <w:vAlign w:val="center"/>
          </w:tcPr>
          <w:p w14:paraId="457928E2">
            <w:pPr>
              <w:rPr>
                <w:rFonts w:hint="eastAsia" w:ascii="宋体" w:hAnsi="宋体" w:eastAsia="宋体" w:cs="宋体"/>
                <w:i w:val="0"/>
                <w:iCs w:val="0"/>
                <w:color w:val="000000"/>
                <w:sz w:val="24"/>
                <w:szCs w:val="24"/>
                <w:highlight w:val="none"/>
                <w:u w:val="none"/>
              </w:rPr>
            </w:pPr>
          </w:p>
        </w:tc>
      </w:tr>
      <w:tr w14:paraId="6D2DA8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8"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06D300E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C66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怡芳苑二期A区</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C61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151</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223E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康力电梯股份有限公司83台</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亚洲富士长林电梯（新余）有限公司68台</w:t>
            </w:r>
          </w:p>
        </w:tc>
        <w:tc>
          <w:tcPr>
            <w:tcW w:w="0" w:type="auto"/>
            <w:tcBorders>
              <w:top w:val="single" w:color="000000" w:sz="4" w:space="0"/>
              <w:left w:val="single" w:color="000000" w:sz="4" w:space="0"/>
              <w:bottom w:val="single" w:color="000000" w:sz="4" w:space="0"/>
            </w:tcBorders>
            <w:shd w:val="clear" w:color="auto" w:fill="auto"/>
            <w:noWrap/>
            <w:vAlign w:val="center"/>
          </w:tcPr>
          <w:p w14:paraId="39B95A56">
            <w:pPr>
              <w:rPr>
                <w:rFonts w:hint="eastAsia" w:ascii="宋体" w:hAnsi="宋体" w:eastAsia="宋体" w:cs="宋体"/>
                <w:i w:val="0"/>
                <w:iCs w:val="0"/>
                <w:color w:val="000000"/>
                <w:sz w:val="24"/>
                <w:szCs w:val="24"/>
                <w:highlight w:val="none"/>
                <w:u w:val="none"/>
              </w:rPr>
            </w:pPr>
          </w:p>
        </w:tc>
      </w:tr>
      <w:tr w14:paraId="783385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73B351A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7E56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怡芳苑二期B区</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49DB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78</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506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克莱斯电梯（中国）有限公司78台</w:t>
            </w:r>
          </w:p>
        </w:tc>
        <w:tc>
          <w:tcPr>
            <w:tcW w:w="0" w:type="auto"/>
            <w:tcBorders>
              <w:top w:val="single" w:color="000000" w:sz="4" w:space="0"/>
              <w:left w:val="single" w:color="000000" w:sz="4" w:space="0"/>
              <w:bottom w:val="single" w:color="000000" w:sz="4" w:space="0"/>
            </w:tcBorders>
            <w:shd w:val="clear" w:color="auto" w:fill="auto"/>
            <w:noWrap/>
            <w:vAlign w:val="center"/>
          </w:tcPr>
          <w:p w14:paraId="5B23DA7C">
            <w:pPr>
              <w:rPr>
                <w:rFonts w:hint="eastAsia" w:ascii="宋体" w:hAnsi="宋体" w:eastAsia="宋体" w:cs="宋体"/>
                <w:i w:val="0"/>
                <w:iCs w:val="0"/>
                <w:color w:val="000000"/>
                <w:sz w:val="24"/>
                <w:szCs w:val="24"/>
                <w:highlight w:val="none"/>
                <w:u w:val="none"/>
              </w:rPr>
            </w:pPr>
          </w:p>
        </w:tc>
      </w:tr>
      <w:tr w14:paraId="0FF983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485FAF4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DE1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怡居苑一期</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6431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68</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4A6B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快意电梯股份有限公司68台</w:t>
            </w:r>
          </w:p>
        </w:tc>
        <w:tc>
          <w:tcPr>
            <w:tcW w:w="0" w:type="auto"/>
            <w:tcBorders>
              <w:top w:val="single" w:color="000000" w:sz="4" w:space="0"/>
              <w:left w:val="single" w:color="000000" w:sz="4" w:space="0"/>
              <w:bottom w:val="single" w:color="000000" w:sz="4" w:space="0"/>
            </w:tcBorders>
            <w:shd w:val="clear" w:color="auto" w:fill="auto"/>
            <w:noWrap/>
            <w:vAlign w:val="center"/>
          </w:tcPr>
          <w:p w14:paraId="786F77A3">
            <w:pPr>
              <w:rPr>
                <w:rFonts w:hint="eastAsia" w:ascii="宋体" w:hAnsi="宋体" w:eastAsia="宋体" w:cs="宋体"/>
                <w:i w:val="0"/>
                <w:iCs w:val="0"/>
                <w:color w:val="000000"/>
                <w:sz w:val="24"/>
                <w:szCs w:val="24"/>
                <w:highlight w:val="none"/>
                <w:u w:val="none"/>
              </w:rPr>
            </w:pPr>
          </w:p>
        </w:tc>
      </w:tr>
      <w:tr w14:paraId="15BAE95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733F614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C2D3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怡居苑二期</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A6F1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55</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A4E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快意电梯股份有限公司55台</w:t>
            </w:r>
          </w:p>
        </w:tc>
        <w:tc>
          <w:tcPr>
            <w:tcW w:w="0" w:type="auto"/>
            <w:tcBorders>
              <w:top w:val="single" w:color="000000" w:sz="4" w:space="0"/>
              <w:left w:val="single" w:color="000000" w:sz="4" w:space="0"/>
              <w:bottom w:val="single" w:color="000000" w:sz="4" w:space="0"/>
            </w:tcBorders>
            <w:shd w:val="clear" w:color="auto" w:fill="auto"/>
            <w:noWrap/>
            <w:vAlign w:val="center"/>
          </w:tcPr>
          <w:p w14:paraId="2EBFF7E8">
            <w:pPr>
              <w:rPr>
                <w:rFonts w:hint="eastAsia" w:ascii="宋体" w:hAnsi="宋体" w:eastAsia="宋体" w:cs="宋体"/>
                <w:i w:val="0"/>
                <w:iCs w:val="0"/>
                <w:color w:val="000000"/>
                <w:sz w:val="24"/>
                <w:szCs w:val="24"/>
                <w:highlight w:val="none"/>
                <w:u w:val="none"/>
              </w:rPr>
            </w:pPr>
          </w:p>
        </w:tc>
      </w:tr>
      <w:tr w14:paraId="258700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5D147C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0F6F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怡濂苑</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25DC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60</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BCAF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康力电梯股份有限公司60台</w:t>
            </w:r>
          </w:p>
        </w:tc>
        <w:tc>
          <w:tcPr>
            <w:tcW w:w="0" w:type="auto"/>
            <w:tcBorders>
              <w:top w:val="single" w:color="000000" w:sz="4" w:space="0"/>
              <w:left w:val="single" w:color="000000" w:sz="4" w:space="0"/>
              <w:bottom w:val="single" w:color="000000" w:sz="4" w:space="0"/>
            </w:tcBorders>
            <w:shd w:val="clear" w:color="auto" w:fill="auto"/>
            <w:noWrap/>
            <w:vAlign w:val="center"/>
          </w:tcPr>
          <w:p w14:paraId="4AE6060D">
            <w:pPr>
              <w:rPr>
                <w:rFonts w:hint="eastAsia" w:ascii="宋体" w:hAnsi="宋体" w:eastAsia="宋体" w:cs="宋体"/>
                <w:i w:val="0"/>
                <w:iCs w:val="0"/>
                <w:color w:val="000000"/>
                <w:sz w:val="24"/>
                <w:szCs w:val="24"/>
                <w:highlight w:val="none"/>
                <w:u w:val="none"/>
              </w:rPr>
            </w:pPr>
          </w:p>
        </w:tc>
      </w:tr>
      <w:tr w14:paraId="5F9A56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0" w:type="auto"/>
            <w:tcBorders>
              <w:top w:val="single" w:color="000000" w:sz="4" w:space="0"/>
              <w:bottom w:val="single" w:color="000000" w:sz="4" w:space="0"/>
              <w:right w:val="single" w:color="000000" w:sz="4" w:space="0"/>
            </w:tcBorders>
            <w:shd w:val="clear" w:color="auto" w:fill="auto"/>
            <w:noWrap/>
            <w:vAlign w:val="center"/>
          </w:tcPr>
          <w:p w14:paraId="2F92AF2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7CD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怡美苑</w:t>
            </w:r>
          </w:p>
        </w:tc>
        <w:tc>
          <w:tcPr>
            <w:tcW w:w="11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73E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48</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8CE6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快意电梯股份有限公司48台</w:t>
            </w:r>
          </w:p>
        </w:tc>
        <w:tc>
          <w:tcPr>
            <w:tcW w:w="0" w:type="auto"/>
            <w:tcBorders>
              <w:top w:val="single" w:color="000000" w:sz="4" w:space="0"/>
              <w:left w:val="single" w:color="000000" w:sz="4" w:space="0"/>
              <w:bottom w:val="single" w:color="000000" w:sz="4" w:space="0"/>
            </w:tcBorders>
            <w:shd w:val="clear" w:color="auto" w:fill="auto"/>
            <w:noWrap/>
            <w:vAlign w:val="center"/>
          </w:tcPr>
          <w:p w14:paraId="207AB1DD">
            <w:pPr>
              <w:rPr>
                <w:rFonts w:hint="eastAsia" w:ascii="宋体" w:hAnsi="宋体" w:eastAsia="宋体" w:cs="宋体"/>
                <w:i w:val="0"/>
                <w:iCs w:val="0"/>
                <w:color w:val="000000"/>
                <w:sz w:val="24"/>
                <w:szCs w:val="24"/>
                <w:highlight w:val="none"/>
                <w:u w:val="none"/>
              </w:rPr>
            </w:pPr>
          </w:p>
        </w:tc>
      </w:tr>
      <w:tr w14:paraId="256F70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1" w:hRule="atLeast"/>
          <w:jc w:val="center"/>
        </w:trPr>
        <w:tc>
          <w:tcPr>
            <w:tcW w:w="2645" w:type="dxa"/>
            <w:gridSpan w:val="2"/>
            <w:tcBorders>
              <w:top w:val="single" w:color="000000" w:sz="4" w:space="0"/>
              <w:right w:val="single" w:color="000000" w:sz="4" w:space="0"/>
            </w:tcBorders>
            <w:shd w:val="clear" w:color="auto" w:fill="auto"/>
            <w:noWrap/>
            <w:vAlign w:val="center"/>
          </w:tcPr>
          <w:p w14:paraId="069D68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合计</w:t>
            </w:r>
          </w:p>
        </w:tc>
        <w:tc>
          <w:tcPr>
            <w:tcW w:w="7075" w:type="dxa"/>
            <w:gridSpan w:val="3"/>
            <w:tcBorders>
              <w:top w:val="single" w:color="000000" w:sz="4" w:space="0"/>
              <w:left w:val="single" w:color="000000" w:sz="4" w:space="0"/>
            </w:tcBorders>
            <w:shd w:val="clear" w:color="auto" w:fill="auto"/>
            <w:noWrap/>
            <w:vAlign w:val="center"/>
          </w:tcPr>
          <w:p w14:paraId="2F4551F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925</w:t>
            </w:r>
          </w:p>
        </w:tc>
      </w:tr>
    </w:tbl>
    <w:p w14:paraId="27FF230E">
      <w:pPr>
        <w:keepNext w:val="0"/>
        <w:keepLines w:val="0"/>
        <w:pageBreakBefore w:val="0"/>
        <w:widowControl/>
        <w:kinsoku/>
        <w:wordWrap/>
        <w:overflowPunct/>
        <w:topLinePunct w:val="0"/>
        <w:autoSpaceDE/>
        <w:autoSpaceDN/>
        <w:bidi w:val="0"/>
        <w:adjustRightInd/>
        <w:snapToGrid/>
        <w:spacing w:line="460" w:lineRule="exact"/>
        <w:jc w:val="left"/>
        <w:textAlignment w:val="auto"/>
        <w:rPr>
          <w:rFonts w:hint="eastAsia" w:ascii="宋体" w:hAnsi="宋体" w:eastAsia="宋体" w:cs="宋体"/>
          <w:b/>
          <w:bCs/>
          <w:color w:val="auto"/>
          <w:kern w:val="0"/>
          <w:sz w:val="24"/>
          <w:szCs w:val="24"/>
          <w:highlight w:val="none"/>
          <w:lang w:eastAsia="zh-CN" w:bidi="ar"/>
        </w:rPr>
      </w:pPr>
    </w:p>
    <w:p w14:paraId="13043ADC">
      <w:pPr>
        <w:keepNext w:val="0"/>
        <w:keepLines w:val="0"/>
        <w:pageBreakBefore w:val="0"/>
        <w:widowControl/>
        <w:kinsoku/>
        <w:wordWrap/>
        <w:overflowPunct/>
        <w:topLinePunct w:val="0"/>
        <w:autoSpaceDE/>
        <w:autoSpaceDN/>
        <w:bidi w:val="0"/>
        <w:adjustRightInd/>
        <w:snapToGrid/>
        <w:spacing w:line="460" w:lineRule="exact"/>
        <w:jc w:val="left"/>
        <w:textAlignment w:val="auto"/>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eastAsia="zh-CN" w:bidi="ar"/>
        </w:rPr>
        <w:t>（</w:t>
      </w:r>
      <w:r>
        <w:rPr>
          <w:rFonts w:hint="eastAsia" w:ascii="宋体" w:hAnsi="宋体" w:eastAsia="宋体" w:cs="宋体"/>
          <w:b/>
          <w:bCs/>
          <w:color w:val="auto"/>
          <w:kern w:val="0"/>
          <w:sz w:val="24"/>
          <w:szCs w:val="24"/>
          <w:highlight w:val="none"/>
          <w:lang w:val="en-US" w:eastAsia="zh-CN" w:bidi="ar"/>
        </w:rPr>
        <w:t>二</w:t>
      </w:r>
      <w:r>
        <w:rPr>
          <w:rFonts w:hint="eastAsia" w:ascii="宋体" w:hAnsi="宋体" w:eastAsia="宋体" w:cs="宋体"/>
          <w:b/>
          <w:bCs/>
          <w:color w:val="auto"/>
          <w:kern w:val="0"/>
          <w:sz w:val="24"/>
          <w:szCs w:val="24"/>
          <w:highlight w:val="none"/>
          <w:lang w:eastAsia="zh-CN" w:bidi="ar"/>
        </w:rPr>
        <w:t>）</w:t>
      </w:r>
      <w:r>
        <w:rPr>
          <w:rFonts w:hint="eastAsia" w:ascii="宋体" w:hAnsi="宋体" w:eastAsia="宋体" w:cs="宋体"/>
          <w:b/>
          <w:bCs/>
          <w:color w:val="auto"/>
          <w:kern w:val="0"/>
          <w:sz w:val="24"/>
          <w:szCs w:val="24"/>
          <w:highlight w:val="none"/>
          <w:lang w:val="en-US" w:eastAsia="zh-CN" w:bidi="ar"/>
        </w:rPr>
        <w:t>服务内容要求</w:t>
      </w:r>
    </w:p>
    <w:p w14:paraId="7EB05776">
      <w:pPr>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1、基本要求</w:t>
      </w:r>
    </w:p>
    <w:p w14:paraId="52049985">
      <w:pPr>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采购人保留签订合同后，非特殊情况或投标人无资质等原因，投标人对采购人所派发的维修任务不得因为工作量小、材料缺少、位置偏远等借口拒收或选择性接受，否则采购人将有权对其进行处罚，并可安排其他服务单位进场维修，具体操作以双方签订的合同约定为准。</w:t>
      </w:r>
    </w:p>
    <w:p w14:paraId="4812C299">
      <w:pPr>
        <w:keepNext w:val="0"/>
        <w:keepLines w:val="0"/>
        <w:pageBreakBefore w:val="0"/>
        <w:numPr>
          <w:ilvl w:val="0"/>
          <w:numId w:val="1"/>
        </w:numPr>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服务要求</w:t>
      </w:r>
    </w:p>
    <w:p w14:paraId="6A6A56F5">
      <w:pPr>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2.1投标人应保证服务合同项下所供服务是由投标人提供的，并完全符合强制性的国家技术质量规范和维修服务合同规定的质量、性能和技术规范等的要求。</w:t>
      </w:r>
    </w:p>
    <w:p w14:paraId="7C681FF3">
      <w:pPr>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2.2如遇到电梯发生故障后成交供应商维修人员应及时到达现场检查或维修；并能提供正常连续的服务直至故障或事故排除。同时做好应急响应处置记录，应急响应处置记录应同时由使用单位代表签字验收。</w:t>
      </w:r>
    </w:p>
    <w:p w14:paraId="559A8B2B">
      <w:pPr>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2.3现场作业人员应当取得相应有效的《特种设备作业人员证》，为有效实施维修计划，应安排熟悉所维修电梯原理、结构、性能、安全要求的特种设备作业人员负责现场维修工作，并督促其严格按照产品工艺要求、安全及技术规范进行维修。</w:t>
      </w:r>
    </w:p>
    <w:p w14:paraId="18A467A6">
      <w:pPr>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2.4作业中应当负责落实现场安全防护措施，保证作业安全。需要安全监护作业的内容应书面告知采购人。作业时作业人员不得少于2人。</w:t>
      </w:r>
    </w:p>
    <w:p w14:paraId="3A27D083">
      <w:pPr>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2.5投标人自行配备工作所需的工具及设备，工作时设置现场安全警示标志，落实作业现场安全防护措施，保证作业安全。</w:t>
      </w:r>
    </w:p>
    <w:p w14:paraId="03CAC729">
      <w:pPr>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对电梯发生的故障等情况，及时进行详细的记录；根据故障统计记录，维修保养公司应至少每季度一次提出运行及故障分析报告。报告中应包含电梯运行状况、故障的统计分析、整改措施和预防措施，以及有关电梯使用管理的合理化建议。</w:t>
      </w:r>
    </w:p>
    <w:p w14:paraId="56174FC9">
      <w:pPr>
        <w:keepNext w:val="0"/>
        <w:keepLines w:val="0"/>
        <w:pageBreakBefore w:val="0"/>
        <w:widowControl/>
        <w:kinsoku/>
        <w:wordWrap/>
        <w:overflowPunct/>
        <w:topLinePunct w:val="0"/>
        <w:autoSpaceDE/>
        <w:autoSpaceDN/>
        <w:bidi w:val="0"/>
        <w:adjustRightInd/>
        <w:snapToGrid/>
        <w:spacing w:line="460" w:lineRule="exact"/>
        <w:jc w:val="left"/>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kern w:val="0"/>
          <w:sz w:val="24"/>
          <w:szCs w:val="24"/>
          <w:highlight w:val="none"/>
          <w:lang w:eastAsia="zh-CN" w:bidi="ar"/>
        </w:rPr>
        <w:t>（</w:t>
      </w:r>
      <w:r>
        <w:rPr>
          <w:rFonts w:hint="eastAsia" w:ascii="宋体" w:hAnsi="宋体" w:eastAsia="宋体" w:cs="宋体"/>
          <w:b/>
          <w:bCs/>
          <w:color w:val="auto"/>
          <w:kern w:val="0"/>
          <w:sz w:val="24"/>
          <w:szCs w:val="24"/>
          <w:highlight w:val="none"/>
          <w:lang w:val="en-US" w:eastAsia="zh-CN" w:bidi="ar"/>
        </w:rPr>
        <w:t>三</w:t>
      </w:r>
      <w:r>
        <w:rPr>
          <w:rFonts w:hint="eastAsia" w:ascii="宋体" w:hAnsi="宋体" w:eastAsia="宋体" w:cs="宋体"/>
          <w:b/>
          <w:bCs/>
          <w:color w:val="auto"/>
          <w:kern w:val="0"/>
          <w:sz w:val="24"/>
          <w:szCs w:val="24"/>
          <w:highlight w:val="none"/>
          <w:lang w:eastAsia="zh-CN" w:bidi="ar"/>
        </w:rPr>
        <w:t>）</w:t>
      </w:r>
      <w:r>
        <w:rPr>
          <w:rFonts w:hint="eastAsia" w:ascii="宋体" w:hAnsi="宋体" w:eastAsia="宋体" w:cs="宋体"/>
          <w:b/>
          <w:bCs/>
          <w:color w:val="auto"/>
          <w:kern w:val="0"/>
          <w:sz w:val="24"/>
          <w:szCs w:val="24"/>
          <w:highlight w:val="none"/>
          <w:lang w:bidi="ar"/>
        </w:rPr>
        <w:t>其他要求：</w:t>
      </w:r>
      <w:r>
        <w:rPr>
          <w:rFonts w:hint="eastAsia" w:ascii="宋体" w:hAnsi="宋体" w:eastAsia="宋体" w:cs="宋体"/>
          <w:color w:val="auto"/>
          <w:kern w:val="0"/>
          <w:sz w:val="24"/>
          <w:szCs w:val="24"/>
          <w:highlight w:val="none"/>
          <w:lang w:bidi="ar"/>
        </w:rPr>
        <w:t xml:space="preserve"> </w:t>
      </w:r>
    </w:p>
    <w:p w14:paraId="30D2FE14">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1、</w:t>
      </w:r>
      <w:r>
        <w:rPr>
          <w:rFonts w:hint="eastAsia" w:ascii="宋体" w:hAnsi="宋体" w:eastAsia="宋体" w:cs="宋体"/>
          <w:color w:val="auto"/>
          <w:kern w:val="0"/>
          <w:sz w:val="24"/>
          <w:szCs w:val="24"/>
          <w:highlight w:val="none"/>
          <w:lang w:bidi="ar"/>
        </w:rPr>
        <w:t>安全措施费和意外伤害保险费用以及项目保险、履约担保等防范的内容和事项：采购人在取费中已根据国家规定应计取的相关费用，</w:t>
      </w:r>
      <w:r>
        <w:rPr>
          <w:rFonts w:hint="eastAsia" w:ascii="宋体" w:hAnsi="宋体" w:eastAsia="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bidi="ar"/>
        </w:rPr>
        <w:t>的安全文明费和意外伤害保险费用以及项目保险，履约担保等承担的相关费用均由</w:t>
      </w:r>
      <w:r>
        <w:rPr>
          <w:rFonts w:hint="eastAsia" w:ascii="宋体" w:hAnsi="宋体" w:eastAsia="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bidi="ar"/>
        </w:rPr>
        <w:t>自理；非采购人的原因发生的项目事故、人</w:t>
      </w:r>
      <w:r>
        <w:rPr>
          <w:rFonts w:hint="eastAsia" w:ascii="宋体" w:hAnsi="宋体" w:eastAsia="宋体" w:cs="宋体"/>
          <w:color w:val="auto"/>
          <w:kern w:val="0"/>
          <w:sz w:val="24"/>
          <w:szCs w:val="24"/>
          <w:highlight w:val="none"/>
          <w:lang w:val="en-US" w:eastAsia="zh-CN" w:bidi="ar"/>
        </w:rPr>
        <w:t>身</w:t>
      </w:r>
      <w:r>
        <w:rPr>
          <w:rFonts w:hint="eastAsia" w:ascii="宋体" w:hAnsi="宋体" w:eastAsia="宋体" w:cs="宋体"/>
          <w:color w:val="auto"/>
          <w:kern w:val="0"/>
          <w:sz w:val="24"/>
          <w:szCs w:val="24"/>
          <w:highlight w:val="none"/>
          <w:lang w:bidi="ar"/>
        </w:rPr>
        <w:t>伤亡事故等均由</w:t>
      </w:r>
      <w:r>
        <w:rPr>
          <w:rFonts w:hint="eastAsia" w:ascii="宋体" w:hAnsi="宋体" w:eastAsia="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bidi="ar"/>
        </w:rPr>
        <w:t xml:space="preserve">承担责任。 </w:t>
      </w:r>
    </w:p>
    <w:p w14:paraId="554632B5">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2、</w:t>
      </w:r>
      <w:r>
        <w:rPr>
          <w:rFonts w:hint="eastAsia" w:ascii="宋体" w:hAnsi="宋体" w:eastAsia="宋体" w:cs="宋体"/>
          <w:color w:val="auto"/>
          <w:kern w:val="0"/>
          <w:sz w:val="24"/>
          <w:szCs w:val="24"/>
          <w:highlight w:val="none"/>
          <w:lang w:bidi="ar"/>
        </w:rPr>
        <w:t>本项目未经采购人同意不允许</w:t>
      </w:r>
      <w:r>
        <w:rPr>
          <w:rFonts w:hint="eastAsia" w:ascii="宋体" w:hAnsi="宋体" w:eastAsia="宋体" w:cs="宋体"/>
          <w:color w:val="auto"/>
          <w:kern w:val="0"/>
          <w:sz w:val="24"/>
          <w:szCs w:val="24"/>
          <w:highlight w:val="none"/>
          <w:lang w:val="en-US" w:eastAsia="zh-CN" w:bidi="ar"/>
        </w:rPr>
        <w:t>违法</w:t>
      </w:r>
      <w:r>
        <w:rPr>
          <w:rFonts w:hint="eastAsia" w:ascii="宋体" w:hAnsi="宋体" w:eastAsia="宋体" w:cs="宋体"/>
          <w:color w:val="auto"/>
          <w:kern w:val="0"/>
          <w:sz w:val="24"/>
          <w:szCs w:val="24"/>
          <w:highlight w:val="none"/>
          <w:lang w:bidi="ar"/>
        </w:rPr>
        <w:t>转包、分包，</w:t>
      </w:r>
      <w:r>
        <w:rPr>
          <w:rFonts w:hint="eastAsia" w:ascii="宋体" w:hAnsi="宋体" w:eastAsia="宋体" w:cs="宋体"/>
          <w:color w:val="auto"/>
          <w:kern w:val="0"/>
          <w:sz w:val="24"/>
          <w:szCs w:val="24"/>
          <w:highlight w:val="none"/>
          <w:lang w:val="en-US" w:eastAsia="zh-CN" w:bidi="ar"/>
        </w:rPr>
        <w:t>违法转包、分包均视为违约，</w:t>
      </w:r>
      <w:r>
        <w:rPr>
          <w:rFonts w:hint="eastAsia" w:ascii="宋体" w:hAnsi="宋体" w:eastAsia="宋体" w:cs="宋体"/>
          <w:color w:val="auto"/>
          <w:kern w:val="0"/>
          <w:sz w:val="24"/>
          <w:szCs w:val="24"/>
          <w:highlight w:val="none"/>
          <w:lang w:bidi="ar"/>
        </w:rPr>
        <w:t>情节严重的</w:t>
      </w:r>
      <w:r>
        <w:rPr>
          <w:rFonts w:hint="eastAsia" w:ascii="宋体" w:hAnsi="宋体" w:eastAsia="宋体" w:cs="宋体"/>
          <w:color w:val="auto"/>
          <w:kern w:val="0"/>
          <w:sz w:val="24"/>
          <w:szCs w:val="24"/>
          <w:highlight w:val="none"/>
          <w:lang w:val="en-US" w:eastAsia="zh-CN" w:bidi="ar"/>
        </w:rPr>
        <w:t>采购人有权单方解除</w:t>
      </w:r>
      <w:r>
        <w:rPr>
          <w:rFonts w:hint="eastAsia" w:ascii="宋体" w:hAnsi="宋体" w:eastAsia="宋体" w:cs="宋体"/>
          <w:color w:val="auto"/>
          <w:kern w:val="0"/>
          <w:sz w:val="24"/>
          <w:szCs w:val="24"/>
          <w:highlight w:val="none"/>
          <w:lang w:bidi="ar"/>
        </w:rPr>
        <w:t xml:space="preserve">合同。 </w:t>
      </w:r>
    </w:p>
    <w:p w14:paraId="6AC99A25">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3、</w:t>
      </w:r>
      <w:r>
        <w:rPr>
          <w:rFonts w:hint="eastAsia" w:ascii="宋体" w:hAnsi="宋体" w:eastAsia="宋体" w:cs="宋体"/>
          <w:color w:val="auto"/>
          <w:kern w:val="0"/>
          <w:sz w:val="24"/>
          <w:szCs w:val="24"/>
          <w:highlight w:val="none"/>
          <w:lang w:bidi="ar"/>
        </w:rPr>
        <w:t xml:space="preserve">投标人所提供的材料必须符合国家相关标准。 </w:t>
      </w:r>
    </w:p>
    <w:p w14:paraId="62B8C481">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4、</w:t>
      </w:r>
      <w:r>
        <w:rPr>
          <w:rFonts w:hint="eastAsia" w:ascii="宋体" w:hAnsi="宋体" w:eastAsia="宋体" w:cs="宋体"/>
          <w:color w:val="auto"/>
          <w:kern w:val="0"/>
          <w:sz w:val="24"/>
          <w:szCs w:val="24"/>
          <w:highlight w:val="none"/>
          <w:lang w:bidi="ar"/>
        </w:rPr>
        <w:t xml:space="preserve">凡投标人采购的主要材料，必须提供出厂合格证书及试验资料原件给采购人查验，否则，采购人有权制止使用并追究投标人的违约责任。 </w:t>
      </w:r>
    </w:p>
    <w:p w14:paraId="53B28396">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5、</w:t>
      </w:r>
      <w:r>
        <w:rPr>
          <w:rFonts w:hint="eastAsia" w:ascii="宋体" w:hAnsi="宋体" w:eastAsia="宋体" w:cs="宋体"/>
          <w:color w:val="auto"/>
          <w:kern w:val="0"/>
          <w:sz w:val="24"/>
          <w:szCs w:val="24"/>
          <w:highlight w:val="none"/>
          <w:lang w:bidi="ar"/>
        </w:rPr>
        <w:t>投标人应按江西省、九江市相关要求建立实名制管理台账（含花名册、 用工合同等），不得拖欠农民工工资。当发生农民工工资纠纷时（非采购人原因），</w:t>
      </w:r>
      <w:r>
        <w:rPr>
          <w:rFonts w:hint="eastAsia" w:ascii="宋体" w:hAnsi="宋体" w:eastAsia="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bidi="ar"/>
        </w:rPr>
        <w:t>应积极应对，及时处理。当纠纷干扰到采购人时，采购人可以对投标人进行处罚，每干扰一次处罚人民</w:t>
      </w:r>
      <w:r>
        <w:rPr>
          <w:rFonts w:hint="eastAsia" w:ascii="宋体" w:hAnsi="宋体" w:eastAsia="宋体" w:cs="宋体"/>
          <w:color w:val="auto"/>
          <w:kern w:val="0"/>
          <w:sz w:val="24"/>
          <w:szCs w:val="24"/>
          <w:highlight w:val="none"/>
          <w:lang w:val="en-US" w:eastAsia="zh-CN" w:bidi="ar"/>
        </w:rPr>
        <w:t>币</w:t>
      </w:r>
      <w:r>
        <w:rPr>
          <w:rFonts w:hint="eastAsia" w:ascii="宋体" w:hAnsi="宋体" w:eastAsia="宋体" w:cs="宋体"/>
          <w:color w:val="auto"/>
          <w:kern w:val="0"/>
          <w:sz w:val="24"/>
          <w:szCs w:val="24"/>
          <w:highlight w:val="none"/>
          <w:lang w:bidi="ar"/>
        </w:rPr>
        <w:t xml:space="preserve"> 5000元，从项目款中扣除。 </w:t>
      </w:r>
    </w:p>
    <w:p w14:paraId="5668EB6A">
      <w:pPr>
        <w:keepNext w:val="0"/>
        <w:keepLines w:val="0"/>
        <w:pageBreakBefore w:val="0"/>
        <w:widowControl/>
        <w:kinsoku/>
        <w:wordWrap/>
        <w:overflowPunct/>
        <w:topLinePunct w:val="0"/>
        <w:autoSpaceDE/>
        <w:autoSpaceDN/>
        <w:bidi w:val="0"/>
        <w:adjustRightInd/>
        <w:snapToGrid/>
        <w:spacing w:line="460" w:lineRule="exact"/>
        <w:ind w:firstLine="482" w:firstLineChars="200"/>
        <w:jc w:val="left"/>
        <w:textAlignment w:val="auto"/>
        <w:rPr>
          <w:rFonts w:hint="eastAsia" w:ascii="宋体" w:hAnsi="宋体" w:eastAsia="宋体" w:cs="宋体"/>
          <w:b/>
          <w:color w:val="auto"/>
          <w:kern w:val="0"/>
          <w:sz w:val="24"/>
          <w:szCs w:val="24"/>
          <w:highlight w:val="none"/>
          <w:lang w:bidi="ar"/>
        </w:rPr>
      </w:pPr>
      <w:r>
        <w:rPr>
          <w:rFonts w:hint="eastAsia" w:ascii="宋体" w:hAnsi="宋体" w:eastAsia="宋体" w:cs="宋体"/>
          <w:b/>
          <w:color w:val="auto"/>
          <w:kern w:val="0"/>
          <w:sz w:val="24"/>
          <w:szCs w:val="24"/>
          <w:highlight w:val="none"/>
          <w:lang w:val="en-US" w:eastAsia="zh-CN" w:bidi="ar"/>
        </w:rPr>
        <w:t>6、</w:t>
      </w:r>
      <w:r>
        <w:rPr>
          <w:rFonts w:hint="eastAsia" w:ascii="宋体" w:hAnsi="宋体" w:eastAsia="宋体" w:cs="宋体"/>
          <w:b/>
          <w:color w:val="auto"/>
          <w:kern w:val="0"/>
          <w:sz w:val="24"/>
          <w:szCs w:val="24"/>
          <w:highlight w:val="none"/>
          <w:lang w:bidi="ar"/>
        </w:rPr>
        <w:t>合同签订后，在服务期间，若投标人接到采购人任务下达后，投标人拒绝承接该项任务，采购人可自行委托其他单位维修，其产生的维修费用可在项目款中扣除。如在服务期间出现二次或以上拒绝承接任务的情况，采购人有权</w:t>
      </w:r>
      <w:r>
        <w:rPr>
          <w:rFonts w:hint="eastAsia" w:ascii="宋体" w:hAnsi="宋体" w:eastAsia="宋体" w:cs="宋体"/>
          <w:b/>
          <w:color w:val="auto"/>
          <w:kern w:val="0"/>
          <w:sz w:val="24"/>
          <w:szCs w:val="24"/>
          <w:highlight w:val="none"/>
          <w:lang w:val="en-US" w:eastAsia="zh-CN" w:bidi="ar"/>
        </w:rPr>
        <w:t>解除</w:t>
      </w:r>
      <w:r>
        <w:rPr>
          <w:rFonts w:hint="eastAsia" w:ascii="宋体" w:hAnsi="宋体" w:eastAsia="宋体" w:cs="宋体"/>
          <w:b/>
          <w:color w:val="auto"/>
          <w:kern w:val="0"/>
          <w:sz w:val="24"/>
          <w:szCs w:val="24"/>
          <w:highlight w:val="none"/>
          <w:lang w:bidi="ar"/>
        </w:rPr>
        <w:t>合同，采购人有权根据损失程度追究投标人的经济赔偿。</w:t>
      </w:r>
    </w:p>
    <w:p w14:paraId="02E28F6F">
      <w:pPr>
        <w:keepNext w:val="0"/>
        <w:keepLines w:val="0"/>
        <w:pageBreakBefore w:val="0"/>
        <w:kinsoku/>
        <w:wordWrap/>
        <w:overflowPunct/>
        <w:topLinePunct w:val="0"/>
        <w:autoSpaceDE/>
        <w:autoSpaceDN/>
        <w:bidi w:val="0"/>
        <w:adjustRightInd/>
        <w:snapToGrid/>
        <w:spacing w:line="460" w:lineRule="exact"/>
        <w:jc w:val="left"/>
        <w:textAlignment w:val="auto"/>
        <w:rPr>
          <w:rFonts w:hint="eastAsia" w:ascii="宋体" w:hAnsi="宋体" w:eastAsia="宋体" w:cs="宋体"/>
          <w:b/>
          <w:bCs w:val="0"/>
          <w:color w:val="auto"/>
          <w:kern w:val="0"/>
          <w:sz w:val="24"/>
          <w:szCs w:val="24"/>
          <w:highlight w:val="none"/>
          <w:lang w:eastAsia="zh-CN" w:bidi="ar"/>
        </w:rPr>
      </w:pPr>
      <w:r>
        <w:rPr>
          <w:rFonts w:hint="eastAsia" w:ascii="宋体" w:hAnsi="宋体" w:eastAsia="宋体" w:cs="宋体"/>
          <w:b/>
          <w:bCs w:val="0"/>
          <w:color w:val="auto"/>
          <w:kern w:val="0"/>
          <w:sz w:val="24"/>
          <w:szCs w:val="24"/>
          <w:highlight w:val="none"/>
          <w:lang w:eastAsia="zh-CN" w:bidi="ar"/>
        </w:rPr>
        <w:t>（</w:t>
      </w:r>
      <w:r>
        <w:rPr>
          <w:rFonts w:hint="eastAsia" w:ascii="宋体" w:hAnsi="宋体" w:eastAsia="宋体" w:cs="宋体"/>
          <w:b/>
          <w:bCs w:val="0"/>
          <w:color w:val="auto"/>
          <w:kern w:val="0"/>
          <w:sz w:val="24"/>
          <w:szCs w:val="24"/>
          <w:highlight w:val="none"/>
          <w:lang w:val="en-US" w:eastAsia="zh-CN" w:bidi="ar"/>
        </w:rPr>
        <w:t>四</w:t>
      </w:r>
      <w:r>
        <w:rPr>
          <w:rFonts w:hint="eastAsia" w:ascii="宋体" w:hAnsi="宋体" w:eastAsia="宋体" w:cs="宋体"/>
          <w:b/>
          <w:bCs w:val="0"/>
          <w:color w:val="auto"/>
          <w:kern w:val="0"/>
          <w:sz w:val="24"/>
          <w:szCs w:val="24"/>
          <w:highlight w:val="none"/>
          <w:lang w:eastAsia="zh-CN" w:bidi="ar"/>
        </w:rPr>
        <w:t>）</w:t>
      </w:r>
      <w:r>
        <w:rPr>
          <w:rFonts w:hint="eastAsia" w:ascii="宋体" w:hAnsi="宋体" w:eastAsia="宋体" w:cs="宋体"/>
          <w:b/>
          <w:bCs w:val="0"/>
          <w:color w:val="auto"/>
          <w:sz w:val="24"/>
          <w:szCs w:val="24"/>
          <w:highlight w:val="none"/>
        </w:rPr>
        <w:t>如出现以下</w:t>
      </w:r>
      <w:r>
        <w:rPr>
          <w:rFonts w:hint="eastAsia" w:ascii="宋体" w:hAnsi="宋体" w:eastAsia="宋体" w:cs="宋体"/>
          <w:b/>
          <w:bCs w:val="0"/>
          <w:color w:val="auto"/>
          <w:sz w:val="24"/>
          <w:szCs w:val="24"/>
          <w:highlight w:val="none"/>
          <w:lang w:eastAsia="zh-CN"/>
        </w:rPr>
        <w:t>行为中标维修企业应承担违约金</w:t>
      </w:r>
      <w:r>
        <w:rPr>
          <w:rFonts w:hint="eastAsia" w:ascii="宋体" w:hAnsi="宋体" w:eastAsia="宋体" w:cs="宋体"/>
          <w:b/>
          <w:bCs w:val="0"/>
          <w:color w:val="auto"/>
          <w:sz w:val="24"/>
          <w:szCs w:val="24"/>
          <w:highlight w:val="none"/>
        </w:rPr>
        <w:t>。</w:t>
      </w:r>
    </w:p>
    <w:p w14:paraId="3204CBF4">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1、</w:t>
      </w:r>
      <w:r>
        <w:rPr>
          <w:rFonts w:hint="eastAsia" w:ascii="宋体" w:hAnsi="宋体" w:eastAsia="宋体" w:cs="宋体"/>
          <w:color w:val="auto"/>
          <w:kern w:val="0"/>
          <w:sz w:val="24"/>
          <w:szCs w:val="24"/>
          <w:highlight w:val="none"/>
          <w:lang w:bidi="ar"/>
        </w:rPr>
        <w:t>维修单位未在合同约定承诺时间内及时组织人员进场勘查的，维修单位应承担违约金100元/次。</w:t>
      </w:r>
    </w:p>
    <w:p w14:paraId="08933F09">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2、</w:t>
      </w:r>
      <w:r>
        <w:rPr>
          <w:rFonts w:hint="eastAsia" w:ascii="宋体" w:hAnsi="宋体" w:eastAsia="宋体" w:cs="宋体"/>
          <w:color w:val="auto"/>
          <w:kern w:val="0"/>
          <w:sz w:val="24"/>
          <w:szCs w:val="24"/>
          <w:highlight w:val="none"/>
          <w:lang w:bidi="ar"/>
        </w:rPr>
        <w:t>维修单位未在承诺时间内及时进场维修的，维修单位应承担违约金200元/次。</w:t>
      </w:r>
    </w:p>
    <w:p w14:paraId="3F7C9D51">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3、</w:t>
      </w:r>
      <w:r>
        <w:rPr>
          <w:rFonts w:hint="eastAsia" w:ascii="宋体" w:hAnsi="宋体" w:eastAsia="宋体" w:cs="宋体"/>
          <w:color w:val="auto"/>
          <w:kern w:val="0"/>
          <w:sz w:val="24"/>
          <w:szCs w:val="24"/>
          <w:highlight w:val="none"/>
          <w:lang w:bidi="ar"/>
        </w:rPr>
        <w:t>维修单位每两个月内承担的维修项目返工率超过20%（含20%）的，维修单位应承担违约金200元/返工项目。</w:t>
      </w:r>
    </w:p>
    <w:p w14:paraId="2D0D3D8D">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4、</w:t>
      </w:r>
      <w:r>
        <w:rPr>
          <w:rFonts w:hint="eastAsia" w:ascii="宋体" w:hAnsi="宋体" w:eastAsia="宋体" w:cs="宋体"/>
          <w:color w:val="auto"/>
          <w:kern w:val="0"/>
          <w:sz w:val="24"/>
          <w:szCs w:val="24"/>
          <w:highlight w:val="none"/>
          <w:lang w:bidi="ar"/>
        </w:rPr>
        <w:t>维修单位承担的维修项目中有单个维修项目返修超过2次（含2次）的，维修单位应承担违约金200元/项。</w:t>
      </w:r>
    </w:p>
    <w:p w14:paraId="76D43432">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5、</w:t>
      </w:r>
      <w:r>
        <w:rPr>
          <w:rFonts w:hint="eastAsia" w:ascii="宋体" w:hAnsi="宋体" w:eastAsia="宋体" w:cs="宋体"/>
          <w:color w:val="auto"/>
          <w:kern w:val="0"/>
          <w:sz w:val="24"/>
          <w:szCs w:val="24"/>
          <w:highlight w:val="none"/>
          <w:lang w:bidi="ar"/>
        </w:rPr>
        <w:t>因</w:t>
      </w:r>
      <w:r>
        <w:rPr>
          <w:rFonts w:hint="eastAsia" w:ascii="宋体" w:hAnsi="宋体" w:eastAsia="宋体" w:cs="宋体"/>
          <w:color w:val="auto"/>
          <w:kern w:val="0"/>
          <w:sz w:val="24"/>
          <w:szCs w:val="24"/>
          <w:highlight w:val="none"/>
          <w:lang w:val="en-US" w:eastAsia="zh-CN" w:bidi="ar"/>
        </w:rPr>
        <w:t>电梯</w:t>
      </w:r>
      <w:r>
        <w:rPr>
          <w:rFonts w:hint="eastAsia" w:ascii="宋体" w:hAnsi="宋体" w:eastAsia="宋体" w:cs="宋体"/>
          <w:color w:val="auto"/>
          <w:kern w:val="0"/>
          <w:sz w:val="24"/>
          <w:szCs w:val="24"/>
          <w:highlight w:val="none"/>
          <w:lang w:bidi="ar"/>
        </w:rPr>
        <w:t>维修相关事宜接到住户有效投诉的，维修单位应承担违约金</w:t>
      </w:r>
      <w:r>
        <w:rPr>
          <w:rFonts w:hint="eastAsia" w:ascii="宋体" w:hAnsi="宋体" w:eastAsia="宋体" w:cs="宋体"/>
          <w:color w:val="auto"/>
          <w:kern w:val="0"/>
          <w:sz w:val="24"/>
          <w:szCs w:val="24"/>
          <w:highlight w:val="none"/>
          <w:lang w:val="en-US" w:eastAsia="zh-CN" w:bidi="ar"/>
        </w:rPr>
        <w:t>500</w:t>
      </w:r>
      <w:r>
        <w:rPr>
          <w:rFonts w:hint="eastAsia" w:ascii="宋体" w:hAnsi="宋体" w:eastAsia="宋体" w:cs="宋体"/>
          <w:color w:val="auto"/>
          <w:kern w:val="0"/>
          <w:sz w:val="24"/>
          <w:szCs w:val="24"/>
          <w:highlight w:val="none"/>
          <w:lang w:bidi="ar"/>
        </w:rPr>
        <w:t>元/项。</w:t>
      </w:r>
    </w:p>
    <w:p w14:paraId="20F9E997">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6、</w:t>
      </w:r>
      <w:r>
        <w:rPr>
          <w:rFonts w:hint="eastAsia" w:ascii="宋体" w:hAnsi="宋体" w:eastAsia="宋体" w:cs="宋体"/>
          <w:color w:val="auto"/>
          <w:kern w:val="0"/>
          <w:sz w:val="24"/>
          <w:szCs w:val="24"/>
          <w:highlight w:val="none"/>
          <w:lang w:bidi="ar"/>
        </w:rPr>
        <w:t>维修单位正式报送的工程结算，经审定后的审减额若高出审定后的当月送审总金额的10%，每次维修单位</w:t>
      </w:r>
      <w:r>
        <w:rPr>
          <w:rFonts w:hint="eastAsia" w:ascii="宋体" w:hAnsi="宋体" w:eastAsia="宋体" w:cs="宋体"/>
          <w:color w:val="auto"/>
          <w:kern w:val="0"/>
          <w:sz w:val="24"/>
          <w:szCs w:val="24"/>
          <w:highlight w:val="none"/>
          <w:lang w:val="en-US" w:eastAsia="zh-CN" w:bidi="ar"/>
        </w:rPr>
        <w:t>承担违约金</w:t>
      </w:r>
      <w:r>
        <w:rPr>
          <w:rFonts w:hint="eastAsia" w:ascii="宋体" w:hAnsi="宋体" w:eastAsia="宋体" w:cs="宋体"/>
          <w:color w:val="auto"/>
          <w:kern w:val="0"/>
          <w:sz w:val="24"/>
          <w:szCs w:val="24"/>
          <w:highlight w:val="none"/>
          <w:lang w:bidi="ar"/>
        </w:rPr>
        <w:t>500元。若在服务期限内出现3次上述情况的，</w:t>
      </w:r>
      <w:r>
        <w:rPr>
          <w:rFonts w:hint="eastAsia" w:ascii="宋体" w:hAnsi="宋体" w:eastAsia="宋体" w:cs="宋体"/>
          <w:color w:val="auto"/>
          <w:kern w:val="0"/>
          <w:sz w:val="24"/>
          <w:szCs w:val="24"/>
          <w:highlight w:val="none"/>
          <w:lang w:eastAsia="zh-CN" w:bidi="ar"/>
        </w:rPr>
        <w:t>采购人</w:t>
      </w:r>
      <w:r>
        <w:rPr>
          <w:rFonts w:hint="eastAsia" w:ascii="宋体" w:hAnsi="宋体" w:eastAsia="宋体" w:cs="宋体"/>
          <w:color w:val="auto"/>
          <w:kern w:val="0"/>
          <w:sz w:val="24"/>
          <w:szCs w:val="24"/>
          <w:highlight w:val="none"/>
          <w:lang w:bidi="ar"/>
        </w:rPr>
        <w:t>有权解除合同。</w:t>
      </w:r>
    </w:p>
    <w:p w14:paraId="565999ED">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7、安全文明施工不到位，未做好周边配套设施保护等，</w:t>
      </w:r>
      <w:r>
        <w:rPr>
          <w:rFonts w:hint="eastAsia" w:ascii="宋体" w:hAnsi="宋体" w:eastAsia="宋体" w:cs="宋体"/>
          <w:color w:val="auto"/>
          <w:kern w:val="0"/>
          <w:sz w:val="24"/>
          <w:szCs w:val="24"/>
          <w:highlight w:val="none"/>
          <w:lang w:bidi="ar"/>
        </w:rPr>
        <w:t>维修单位</w:t>
      </w:r>
      <w:r>
        <w:rPr>
          <w:rFonts w:hint="eastAsia" w:ascii="宋体" w:hAnsi="宋体" w:eastAsia="宋体" w:cs="宋体"/>
          <w:color w:val="auto"/>
          <w:kern w:val="0"/>
          <w:sz w:val="24"/>
          <w:szCs w:val="24"/>
          <w:highlight w:val="none"/>
          <w:lang w:val="en-US" w:eastAsia="zh-CN" w:bidi="ar"/>
        </w:rPr>
        <w:t>承担违约金</w:t>
      </w:r>
      <w:r>
        <w:rPr>
          <w:rFonts w:hint="eastAsia" w:ascii="宋体" w:hAnsi="宋体" w:eastAsia="宋体" w:cs="宋体"/>
          <w:color w:val="auto"/>
          <w:kern w:val="0"/>
          <w:sz w:val="24"/>
          <w:szCs w:val="24"/>
          <w:highlight w:val="none"/>
          <w:lang w:bidi="ar"/>
        </w:rPr>
        <w:t>500元</w:t>
      </w:r>
      <w:r>
        <w:rPr>
          <w:rFonts w:hint="eastAsia" w:ascii="宋体" w:hAnsi="宋体" w:eastAsia="宋体" w:cs="宋体"/>
          <w:color w:val="auto"/>
          <w:kern w:val="0"/>
          <w:sz w:val="24"/>
          <w:szCs w:val="24"/>
          <w:highlight w:val="none"/>
          <w:lang w:val="en-US" w:eastAsia="zh-CN" w:bidi="ar"/>
        </w:rPr>
        <w:t>。</w:t>
      </w:r>
    </w:p>
    <w:p w14:paraId="0134C8DB">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8</w:t>
      </w:r>
      <w:r>
        <w:rPr>
          <w:rFonts w:hint="eastAsia" w:ascii="宋体" w:hAnsi="宋体" w:eastAsia="宋体" w:cs="宋体"/>
          <w:color w:val="auto"/>
          <w:kern w:val="0"/>
          <w:sz w:val="24"/>
          <w:szCs w:val="24"/>
          <w:highlight w:val="none"/>
          <w:lang w:bidi="ar"/>
        </w:rPr>
        <w:t>.涉及应急抢修抢险项目，维修单位未按要求时限进场，每次扣</w:t>
      </w:r>
      <w:r>
        <w:rPr>
          <w:rFonts w:hint="eastAsia" w:ascii="宋体" w:hAnsi="宋体" w:eastAsia="宋体" w:cs="宋体"/>
          <w:color w:val="auto"/>
          <w:kern w:val="0"/>
          <w:sz w:val="24"/>
          <w:szCs w:val="24"/>
          <w:highlight w:val="none"/>
          <w:lang w:val="en-US" w:eastAsia="zh-CN" w:bidi="ar"/>
        </w:rPr>
        <w:t>500</w:t>
      </w:r>
      <w:r>
        <w:rPr>
          <w:rFonts w:hint="eastAsia" w:ascii="宋体" w:hAnsi="宋体" w:eastAsia="宋体" w:cs="宋体"/>
          <w:color w:val="auto"/>
          <w:kern w:val="0"/>
          <w:sz w:val="24"/>
          <w:szCs w:val="24"/>
          <w:highlight w:val="none"/>
          <w:lang w:bidi="ar"/>
        </w:rPr>
        <w:t>元，不积极配合、未按约定工期及时处理安全隐患，每延误一天，</w:t>
      </w:r>
      <w:r>
        <w:rPr>
          <w:rFonts w:hint="eastAsia" w:ascii="宋体" w:hAnsi="宋体" w:eastAsia="宋体" w:cs="宋体"/>
          <w:color w:val="auto"/>
          <w:kern w:val="0"/>
          <w:sz w:val="24"/>
          <w:szCs w:val="24"/>
          <w:highlight w:val="none"/>
          <w:lang w:val="en-US" w:eastAsia="zh-CN" w:bidi="ar"/>
        </w:rPr>
        <w:t>维修单位</w:t>
      </w:r>
      <w:r>
        <w:rPr>
          <w:rFonts w:hint="eastAsia" w:ascii="宋体" w:hAnsi="宋体" w:eastAsia="宋体" w:cs="宋体"/>
          <w:color w:val="auto"/>
          <w:kern w:val="0"/>
          <w:sz w:val="24"/>
          <w:szCs w:val="24"/>
          <w:highlight w:val="none"/>
          <w:lang w:bidi="ar"/>
        </w:rPr>
        <w:t>按</w:t>
      </w:r>
      <w:r>
        <w:rPr>
          <w:rFonts w:hint="eastAsia" w:ascii="宋体" w:hAnsi="宋体" w:eastAsia="宋体" w:cs="宋体"/>
          <w:color w:val="auto"/>
          <w:kern w:val="0"/>
          <w:sz w:val="24"/>
          <w:szCs w:val="24"/>
          <w:highlight w:val="none"/>
          <w:lang w:val="en-US" w:eastAsia="zh-CN" w:bidi="ar"/>
        </w:rPr>
        <w:t>300</w:t>
      </w:r>
      <w:r>
        <w:rPr>
          <w:rFonts w:hint="eastAsia" w:ascii="宋体" w:hAnsi="宋体" w:eastAsia="宋体" w:cs="宋体"/>
          <w:color w:val="auto"/>
          <w:kern w:val="0"/>
          <w:sz w:val="24"/>
          <w:szCs w:val="24"/>
          <w:highlight w:val="none"/>
          <w:lang w:bidi="ar"/>
        </w:rPr>
        <w:t>/天</w:t>
      </w:r>
      <w:r>
        <w:rPr>
          <w:rFonts w:hint="eastAsia" w:ascii="宋体" w:hAnsi="宋体" w:eastAsia="宋体" w:cs="宋体"/>
          <w:color w:val="auto"/>
          <w:kern w:val="0"/>
          <w:sz w:val="24"/>
          <w:szCs w:val="24"/>
          <w:highlight w:val="none"/>
          <w:lang w:val="en-US" w:eastAsia="zh-CN" w:bidi="ar"/>
        </w:rPr>
        <w:t>承担违约金</w:t>
      </w:r>
      <w:r>
        <w:rPr>
          <w:rFonts w:hint="eastAsia" w:ascii="宋体" w:hAnsi="宋体" w:eastAsia="宋体" w:cs="宋体"/>
          <w:color w:val="auto"/>
          <w:kern w:val="0"/>
          <w:sz w:val="24"/>
          <w:szCs w:val="24"/>
          <w:highlight w:val="none"/>
          <w:lang w:bidi="ar"/>
        </w:rPr>
        <w:t>。</w:t>
      </w:r>
    </w:p>
    <w:p w14:paraId="1A546291">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9</w:t>
      </w:r>
      <w:r>
        <w:rPr>
          <w:rFonts w:hint="eastAsia" w:ascii="宋体" w:hAnsi="宋体" w:eastAsia="宋体" w:cs="宋体"/>
          <w:color w:val="auto"/>
          <w:kern w:val="0"/>
          <w:sz w:val="24"/>
          <w:szCs w:val="24"/>
          <w:highlight w:val="none"/>
          <w:lang w:bidi="ar"/>
        </w:rPr>
        <w:t>.维修人员配置不齐，约谈维修单位二次以上（含二次），仍未按现场实际情况配置人员的，</w:t>
      </w:r>
      <w:r>
        <w:rPr>
          <w:rFonts w:hint="eastAsia" w:ascii="宋体" w:hAnsi="宋体" w:eastAsia="宋体" w:cs="宋体"/>
          <w:color w:val="auto"/>
          <w:kern w:val="0"/>
          <w:sz w:val="24"/>
          <w:szCs w:val="24"/>
          <w:highlight w:val="none"/>
          <w:lang w:val="en-US" w:eastAsia="zh-CN" w:bidi="ar"/>
        </w:rPr>
        <w:t>维修单位</w:t>
      </w:r>
      <w:r>
        <w:rPr>
          <w:rFonts w:hint="eastAsia" w:ascii="宋体" w:hAnsi="宋体" w:eastAsia="宋体" w:cs="宋体"/>
          <w:color w:val="auto"/>
          <w:kern w:val="0"/>
          <w:sz w:val="24"/>
          <w:szCs w:val="24"/>
          <w:highlight w:val="none"/>
          <w:lang w:bidi="ar"/>
        </w:rPr>
        <w:t>按</w:t>
      </w:r>
      <w:r>
        <w:rPr>
          <w:rFonts w:hint="eastAsia" w:ascii="宋体" w:hAnsi="宋体" w:eastAsia="宋体" w:cs="宋体"/>
          <w:color w:val="auto"/>
          <w:kern w:val="0"/>
          <w:sz w:val="24"/>
          <w:szCs w:val="24"/>
          <w:highlight w:val="none"/>
          <w:lang w:val="en-US" w:eastAsia="zh-CN" w:bidi="ar"/>
        </w:rPr>
        <w:t>500</w:t>
      </w:r>
      <w:r>
        <w:rPr>
          <w:rFonts w:hint="eastAsia" w:ascii="宋体" w:hAnsi="宋体" w:eastAsia="宋体" w:cs="宋体"/>
          <w:color w:val="auto"/>
          <w:kern w:val="0"/>
          <w:sz w:val="24"/>
          <w:szCs w:val="24"/>
          <w:highlight w:val="none"/>
          <w:lang w:bidi="ar"/>
        </w:rPr>
        <w:t>元/</w:t>
      </w:r>
      <w:r>
        <w:rPr>
          <w:rFonts w:hint="eastAsia" w:ascii="宋体" w:hAnsi="宋体" w:eastAsia="宋体" w:cs="宋体"/>
          <w:color w:val="auto"/>
          <w:kern w:val="0"/>
          <w:sz w:val="24"/>
          <w:szCs w:val="24"/>
          <w:highlight w:val="none"/>
          <w:lang w:val="en-US" w:eastAsia="zh-CN" w:bidi="ar"/>
        </w:rPr>
        <w:t>次承担违约金</w:t>
      </w:r>
      <w:r>
        <w:rPr>
          <w:rFonts w:hint="eastAsia" w:ascii="宋体" w:hAnsi="宋体" w:eastAsia="宋体" w:cs="宋体"/>
          <w:color w:val="auto"/>
          <w:kern w:val="0"/>
          <w:sz w:val="24"/>
          <w:szCs w:val="24"/>
          <w:highlight w:val="none"/>
          <w:lang w:bidi="ar"/>
        </w:rPr>
        <w:t>。</w:t>
      </w:r>
    </w:p>
    <w:p w14:paraId="115B19E5">
      <w:pPr>
        <w:keepNext w:val="0"/>
        <w:keepLines w:val="0"/>
        <w:pageBreakBefore w:val="0"/>
        <w:widowControl/>
        <w:kinsoku/>
        <w:wordWrap/>
        <w:overflowPunct/>
        <w:topLinePunct w:val="0"/>
        <w:autoSpaceDE/>
        <w:autoSpaceDN/>
        <w:bidi w:val="0"/>
        <w:adjustRightInd/>
        <w:snapToGrid/>
        <w:spacing w:line="460" w:lineRule="exact"/>
        <w:ind w:firstLine="480" w:firstLineChars="200"/>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10</w:t>
      </w:r>
      <w:r>
        <w:rPr>
          <w:rFonts w:hint="eastAsia" w:ascii="宋体" w:hAnsi="宋体" w:eastAsia="宋体" w:cs="宋体"/>
          <w:color w:val="auto"/>
          <w:kern w:val="0"/>
          <w:sz w:val="24"/>
          <w:szCs w:val="24"/>
          <w:highlight w:val="none"/>
          <w:lang w:bidi="ar"/>
        </w:rPr>
        <w:t>.</w:t>
      </w:r>
      <w:r>
        <w:rPr>
          <w:rFonts w:hint="eastAsia" w:ascii="宋体" w:hAnsi="宋体" w:eastAsia="宋体" w:cs="宋体"/>
          <w:color w:val="auto"/>
          <w:kern w:val="0"/>
          <w:sz w:val="24"/>
          <w:szCs w:val="24"/>
          <w:highlight w:val="none"/>
          <w:lang w:val="en-US" w:eastAsia="zh-CN" w:bidi="ar"/>
        </w:rPr>
        <w:t>违约金</w:t>
      </w:r>
      <w:r>
        <w:rPr>
          <w:rFonts w:hint="eastAsia" w:ascii="宋体" w:hAnsi="宋体" w:eastAsia="宋体" w:cs="宋体"/>
          <w:color w:val="auto"/>
          <w:kern w:val="0"/>
          <w:sz w:val="24"/>
          <w:szCs w:val="24"/>
          <w:highlight w:val="none"/>
          <w:lang w:bidi="ar"/>
        </w:rPr>
        <w:t>金额从当</w:t>
      </w:r>
      <w:r>
        <w:rPr>
          <w:rFonts w:hint="eastAsia" w:ascii="宋体" w:hAnsi="宋体" w:eastAsia="宋体" w:cs="宋体"/>
          <w:color w:val="auto"/>
          <w:kern w:val="0"/>
          <w:sz w:val="24"/>
          <w:szCs w:val="24"/>
          <w:highlight w:val="none"/>
          <w:lang w:eastAsia="zh-CN" w:bidi="ar"/>
        </w:rPr>
        <w:t>季度</w:t>
      </w:r>
      <w:r>
        <w:rPr>
          <w:rFonts w:hint="eastAsia" w:ascii="宋体" w:hAnsi="宋体" w:eastAsia="宋体" w:cs="宋体"/>
          <w:color w:val="auto"/>
          <w:kern w:val="0"/>
          <w:sz w:val="24"/>
          <w:szCs w:val="24"/>
          <w:highlight w:val="none"/>
          <w:lang w:bidi="ar"/>
        </w:rPr>
        <w:t>维修进度款中扣除,对扣除的</w:t>
      </w:r>
      <w:r>
        <w:rPr>
          <w:rFonts w:hint="eastAsia" w:ascii="宋体" w:hAnsi="宋体" w:eastAsia="宋体" w:cs="宋体"/>
          <w:color w:val="auto"/>
          <w:kern w:val="0"/>
          <w:sz w:val="24"/>
          <w:szCs w:val="24"/>
          <w:highlight w:val="none"/>
          <w:lang w:val="en-US" w:eastAsia="zh-CN" w:bidi="ar"/>
        </w:rPr>
        <w:t>违约金</w:t>
      </w:r>
      <w:r>
        <w:rPr>
          <w:rFonts w:hint="eastAsia" w:ascii="宋体" w:hAnsi="宋体" w:eastAsia="宋体" w:cs="宋体"/>
          <w:color w:val="auto"/>
          <w:kern w:val="0"/>
          <w:sz w:val="24"/>
          <w:szCs w:val="24"/>
          <w:highlight w:val="none"/>
          <w:lang w:bidi="ar"/>
        </w:rPr>
        <w:t>金额将不再予以返回。</w:t>
      </w:r>
    </w:p>
    <w:p w14:paraId="61D199F8">
      <w:pPr>
        <w:pStyle w:val="2"/>
        <w:rPr>
          <w:rFonts w:hint="default" w:eastAsia="仿宋"/>
          <w:lang w:val="en-US" w:eastAsia="zh-CN"/>
        </w:rPr>
      </w:pPr>
      <w:bookmarkStart w:id="0" w:name="_GoBack"/>
      <w:bookmarkEnd w:id="0"/>
      <w:r>
        <w:rPr>
          <w:rFonts w:hint="eastAsia"/>
          <w:lang w:val="en-US" w:eastAsia="zh-CN"/>
        </w:rPr>
        <w:t>详见采购文件</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D71624"/>
    <w:multiLevelType w:val="singleLevel"/>
    <w:tmpl w:val="36D71624"/>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421B2F"/>
    <w:rsid w:val="37421B2F"/>
    <w:rsid w:val="3C9345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2026-04-24T07:12:00Z</dcterms:created>
  <dc:creator>HK</dc:creator>
  <cp:lastModifiedBy>HK</cp:lastModifiedBy>
  <dcterms:modified xsi:type="dcterms:W3CDTF">2026-04-24T07:12:54Z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E8A7DD26B6B34A45B9A71E8FEBDD0717_11</vt:lpwstr>
  </property>
  <property fmtid="{D5CDD505-2E9C-101B-9397-08002B2CF9AE}" pid="4" name="KSOTemplateDocerSaveRecord">
    <vt:lpwstr>eyJoZGlkIjoiMDkxNGFiNzY2N2I5ZWMyNmY2ZTQ2N2ZjMjY4ODk1YjgiLCJ1c2VySWQiOiIzNTE4NzkwNTcifQ==</vt:lpwstr>
  </property>
</Properties>
</file>