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4D5E5F">
      <w:pPr>
        <w:widowControl w:val="0"/>
        <w:spacing w:before="78" w:line="360" w:lineRule="auto"/>
        <w:jc w:val="center"/>
        <w:outlineLvl w:val="1"/>
        <w:rPr>
          <w:rFonts w:hint="eastAsia" w:ascii="宋体" w:hAnsi="宋体" w:eastAsia="宋体" w:cs="宋体"/>
          <w:b/>
          <w:bCs/>
          <w:color w:val="auto"/>
          <w:spacing w:val="-2"/>
          <w:sz w:val="30"/>
          <w:szCs w:val="30"/>
          <w:lang w:eastAsia="zh-CN"/>
        </w:rPr>
      </w:pPr>
      <w:bookmarkStart w:id="0" w:name="_Toc207297442"/>
      <w:r>
        <w:rPr>
          <w:rFonts w:hint="eastAsia" w:ascii="宋体" w:hAnsi="宋体" w:eastAsia="宋体" w:cs="宋体"/>
          <w:b/>
          <w:bCs/>
          <w:color w:val="auto"/>
          <w:spacing w:val="-2"/>
          <w:sz w:val="30"/>
          <w:szCs w:val="30"/>
          <w:lang w:eastAsia="zh-CN"/>
        </w:rPr>
        <w:t>二、技术（服务）要求</w:t>
      </w:r>
      <w:bookmarkEnd w:id="0"/>
    </w:p>
    <w:p w14:paraId="0D808526">
      <w:pPr>
        <w:widowControl w:val="0"/>
        <w:tabs>
          <w:tab w:val="left" w:pos="2940"/>
        </w:tabs>
        <w:kinsoku/>
        <w:autoSpaceDE/>
        <w:autoSpaceDN/>
        <w:adjustRightInd/>
        <w:snapToGrid/>
        <w:spacing w:line="360" w:lineRule="auto"/>
        <w:ind w:firstLine="482" w:firstLineChars="200"/>
        <w:rPr>
          <w:rFonts w:hint="eastAsia" w:ascii="宋体" w:hAnsi="宋体" w:eastAsia="宋体" w:cs="楷体_GB2312"/>
          <w:b/>
          <w:bCs/>
          <w:color w:val="auto"/>
          <w:sz w:val="24"/>
          <w:szCs w:val="24"/>
          <w:lang w:val="en" w:eastAsia="zh-CN"/>
        </w:rPr>
      </w:pPr>
      <w:r>
        <w:rPr>
          <w:rFonts w:hint="eastAsia" w:ascii="宋体" w:hAnsi="宋体" w:eastAsia="宋体" w:cs="楷体_GB2312"/>
          <w:b/>
          <w:bCs/>
          <w:color w:val="auto"/>
          <w:sz w:val="24"/>
          <w:szCs w:val="24"/>
          <w:lang w:val="en" w:eastAsia="zh-CN"/>
        </w:rPr>
        <w:t>（一）采购项目需实现的功能和目标</w:t>
      </w:r>
    </w:p>
    <w:p w14:paraId="3D0D84D2">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以提升江西省体育科学研究中心重点保障运动员的专项竞技能力为目标，需由一家拥有专业复合型团队的相关机构，负责为相关运动员提供高端、针对性强的体能、康复、体育科研的服务，为运动员提供科学手段的训练保障。</w:t>
      </w:r>
    </w:p>
    <w:p w14:paraId="1BCE3D3C">
      <w:pPr>
        <w:widowControl w:val="0"/>
        <w:tabs>
          <w:tab w:val="left" w:pos="2940"/>
        </w:tabs>
        <w:kinsoku/>
        <w:autoSpaceDE/>
        <w:autoSpaceDN/>
        <w:adjustRightInd/>
        <w:snapToGrid/>
        <w:spacing w:line="360" w:lineRule="auto"/>
        <w:ind w:firstLine="482" w:firstLineChars="200"/>
        <w:rPr>
          <w:rFonts w:hint="eastAsia" w:ascii="宋体" w:hAnsi="宋体" w:eastAsia="宋体" w:cs="楷体_GB2312"/>
          <w:b/>
          <w:bCs/>
          <w:color w:val="auto"/>
          <w:sz w:val="24"/>
          <w:szCs w:val="24"/>
          <w:lang w:val="en" w:eastAsia="zh-CN"/>
        </w:rPr>
      </w:pPr>
      <w:r>
        <w:rPr>
          <w:rFonts w:hint="eastAsia" w:ascii="宋体" w:hAnsi="宋体" w:eastAsia="宋体" w:cs="楷体_GB2312"/>
          <w:b/>
          <w:bCs/>
          <w:color w:val="auto"/>
          <w:sz w:val="24"/>
          <w:szCs w:val="24"/>
          <w:lang w:val="en" w:eastAsia="zh-CN"/>
        </w:rPr>
        <w:t>（二）服务内容</w:t>
      </w:r>
    </w:p>
    <w:p w14:paraId="0DCE7285">
      <w:pPr>
        <w:spacing w:line="360" w:lineRule="auto"/>
        <w:ind w:firstLine="480" w:firstLineChars="200"/>
        <w:rPr>
          <w:rFonts w:hint="eastAsia" w:ascii="宋体" w:hAnsi="宋体" w:eastAsia="宋体" w:cs="宋体"/>
          <w:sz w:val="24"/>
          <w:szCs w:val="24"/>
          <w:lang w:eastAsia="zh-CN"/>
        </w:rPr>
      </w:pPr>
      <w:bookmarkStart w:id="1" w:name="_Hlk224887282"/>
      <w:r>
        <w:rPr>
          <w:rFonts w:hint="eastAsia" w:ascii="宋体" w:hAnsi="宋体" w:eastAsia="宋体" w:cs="宋体"/>
          <w:sz w:val="24"/>
          <w:szCs w:val="24"/>
          <w:lang w:eastAsia="zh-CN"/>
        </w:rPr>
        <w:t>（1）以科学训练原则为基础，针对不同运动项目制定个性化体能训练方案。服务内容包括：总体运动表现目标设定、项目需求分析（从生物力学与动作技术、生理学特征、力量特征及运动损伤预防等维度进行分析）、周期训练模型设计（依据队伍赛季安排及比赛计划确定），并根据各项目主教练提出的具体要求，由供应商为职业运动员制定全年或阶段性体能训练计划，以及运动损伤功能恢复与运动防伤方案，并负责组织实施。</w:t>
      </w:r>
    </w:p>
    <w:p w14:paraId="66D63D99">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训练内容主要包括力量训练、速度训练、耐力训练、协调性训练及身体功能训练等。通过力量训练提升运动员的最大力量、肌耐力及爆发力等能力，并根据不同运动项目对力量—速度特征曲线的要求，在不同训练周期中针对性调整运动员的力量发展水平，为提升运动表现奠定基础。同时，通过速度训练、耐力训练及协调性训练等专项辅助训练，提高运动员的耐训能力与能训能力，并以科学手段挖掘和激发运动员的专项运动潜能。</w:t>
      </w:r>
    </w:p>
    <w:p w14:paraId="365D16E7">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（3）在训练恢复方面，提供训练后的筋膜松解、被动拉伸及条索处理等恢复性服务，以缓解肌肉粘滞性问题并促进机体恢复。</w:t>
      </w:r>
    </w:p>
    <w:p w14:paraId="295F368B">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常规监测包括月度综合检测：每月开展一次生理生化指标血液检测（包括血清睾酮、肌酸激酶、血红蛋白、尿素氮等），并结合生物力学指标（如动作模式、力量输出）及生理机能指标（如血乳酸、心率变异性、最大摄氧量等）进行综合分析。</w:t>
      </w:r>
    </w:p>
    <w:p w14:paraId="3E32BDA4">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（5）赛前强化监测：在赛前3–5天进行高频生化指标检测，重点监测疲劳相关指标（如皮质醇）、肌酸激酶（CK）水平以及神经性疲劳指标（如静息心率评估值）。</w:t>
      </w:r>
    </w:p>
    <w:p w14:paraId="3F2419FA">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6）根据监测数据，为运动员提供赛前减重与运动营养保障方案，包括个性化减重方案设计与实施、每日饮食跟踪、每日能量需求计算、训练前后体重变化百分比分析、清晨空腹体重趋势分析，以及减重期尿十项数据检测与分析（可使用便携式检测设备）。同时，通过生化指标分析提供饮食摄入建议及运动营养品使用指导方案（限于单位已采购入库的运动营养品），并根据监测结果动态调整相关方案。</w:t>
      </w:r>
    </w:p>
    <w:p w14:paraId="49D5315A">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（7）阶段性报告：基于月度监测数据形成月度报告，对训练负荷进行总结分析；每季度对相关数据进行整合，形成季度趋势分析报告。</w:t>
      </w:r>
    </w:p>
    <w:p w14:paraId="3AA334BF">
      <w:pPr>
        <w:widowControl w:val="0"/>
        <w:tabs>
          <w:tab w:val="left" w:pos="2940"/>
        </w:tabs>
        <w:kinsoku/>
        <w:autoSpaceDE/>
        <w:autoSpaceDN/>
        <w:adjustRightInd/>
        <w:snapToGrid/>
        <w:spacing w:line="360" w:lineRule="auto"/>
        <w:ind w:firstLine="482" w:firstLineChars="200"/>
        <w:rPr>
          <w:rFonts w:hint="eastAsia" w:ascii="宋体" w:hAnsi="宋体" w:eastAsia="宋体" w:cs="楷体_GB2312"/>
          <w:b/>
          <w:bCs/>
          <w:color w:val="auto"/>
          <w:sz w:val="24"/>
          <w:szCs w:val="24"/>
          <w:lang w:val="en" w:eastAsia="zh-CN"/>
        </w:rPr>
      </w:pPr>
      <w:r>
        <w:rPr>
          <w:rFonts w:hint="eastAsia" w:ascii="宋体" w:hAnsi="宋体" w:eastAsia="宋体" w:cs="楷体_GB2312"/>
          <w:b/>
          <w:bCs/>
          <w:color w:val="auto"/>
          <w:sz w:val="24"/>
          <w:szCs w:val="24"/>
          <w:lang w:val="en" w:eastAsia="zh-CN"/>
        </w:rPr>
        <w:t>（三）服务要求</w:t>
      </w:r>
    </w:p>
    <w:p w14:paraId="2D6907E1">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 设备及数据需求</w:t>
      </w:r>
    </w:p>
    <w:p w14:paraId="7450DB05">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（1）配备VBT系统、Optimum Power等速度传感器设备，以及心率监测设备等专项电子器材，为运动队提供阶段性体能测试数据及训练监控支持。每个阶段需形成相应的数字化分析报告，供主教练评估运动员竞技状态并据此调整训练计划。</w:t>
      </w:r>
    </w:p>
    <w:p w14:paraId="1D4F3373">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（2）同时提供弹力带、筋膜球、泡沫轴等训练及恢复器材，用于开展运动损伤预防及稳定性训练。</w:t>
      </w:r>
    </w:p>
    <w:p w14:paraId="34A49B67">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（3）常规监测及赛前强化监测所需数据应由权威机构提供支持（包括实验室、三甲医院或由专业科研人员采集的数据），检测过程需使用专业固定式或便携式生化分析仪器，以确保数据的准确性和可靠性。</w:t>
      </w:r>
    </w:p>
    <w:p w14:paraId="7CF9B9C5">
      <w:pPr>
        <w:widowControl w:val="0"/>
        <w:tabs>
          <w:tab w:val="left" w:pos="2940"/>
        </w:tabs>
        <w:kinsoku/>
        <w:autoSpaceDE/>
        <w:autoSpaceDN/>
        <w:adjustRightInd/>
        <w:snapToGrid/>
        <w:spacing w:line="360" w:lineRule="auto"/>
        <w:ind w:firstLine="482" w:firstLineChars="200"/>
        <w:rPr>
          <w:rFonts w:hint="eastAsia" w:ascii="宋体" w:hAnsi="宋体" w:eastAsia="宋体" w:cs="楷体_GB2312"/>
          <w:b/>
          <w:bCs/>
          <w:color w:val="auto"/>
          <w:sz w:val="24"/>
          <w:szCs w:val="24"/>
          <w:lang w:val="en" w:eastAsia="zh-CN"/>
        </w:rPr>
      </w:pPr>
      <w:r>
        <w:rPr>
          <w:rFonts w:hint="eastAsia" w:ascii="宋体" w:hAnsi="宋体" w:eastAsia="宋体" w:cs="楷体_GB2312"/>
          <w:b/>
          <w:bCs/>
          <w:color w:val="auto"/>
          <w:sz w:val="24"/>
          <w:szCs w:val="24"/>
          <w:lang w:val="en" w:eastAsia="zh-CN"/>
        </w:rPr>
        <w:t>（四）服务人员需求</w:t>
      </w:r>
    </w:p>
    <w:bookmarkEnd w:id="1"/>
    <w:p w14:paraId="6D58EDB3">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为确保服务的专业性与实效性，服务团队需至少满足以下人员配置及资质要求：</w:t>
      </w:r>
    </w:p>
    <w:p w14:paraId="43E4DA9B">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1.人员规模与专业背景：团队须配备6名及以上具备运动相关专业本科及以上学历的专职教练或康复师。其中，持有其他相关专业研究生及以上学位者需提供学位证书作为资质证明。所有人员需具备2年以上服务专业队、职业队的实际经验，熟悉高水平运动队的训练体系与管理要求。</w:t>
      </w:r>
    </w:p>
    <w:p w14:paraId="30ED2419">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2.专业能力要求：团队成员需具备扎实的理论基础与实操能力，能够独立完成以下工作：  </w:t>
      </w:r>
    </w:p>
    <w:p w14:paraId="12FF7111">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（1）科学设定体能训练周期，设计个性化体能训练计划；  </w:t>
      </w:r>
    </w:p>
    <w:p w14:paraId="799A819A">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（2）组织并执行体能训练测试，精准评估运动员体能状态；  </w:t>
      </w:r>
    </w:p>
    <w:p w14:paraId="4D1EAA3D">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（3）高效执教体能训练课程，确保训练质量与安全；  </w:t>
      </w:r>
    </w:p>
    <w:p w14:paraId="77276C72">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（4）熟悉运动生理学、生物化学及运动生物力学等学科知识，能配合开展运动员生理监控、动作技术分析、营养指导与恢复方案制定等工作。</w:t>
      </w:r>
    </w:p>
    <w:p w14:paraId="2B99ED6C">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3.服务模式与时间安排：  </w:t>
      </w:r>
    </w:p>
    <w:p w14:paraId="03432F74">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（1）提供驻队服务，作息时间严格遵循运动队统一安排。下派人员每周工作时长不低于48小时，需根据训练时间动态调整工作与休息时段，弹性调休；  </w:t>
      </w:r>
    </w:p>
    <w:p w14:paraId="22C05DF3">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（2）原则上，法定节假日需按队内要求参与保障工作，赛期内不得请假，确保服务连续性。</w:t>
      </w:r>
    </w:p>
    <w:p w14:paraId="0BD5D6D8">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lang w:eastAsia="zh-CN"/>
        </w:rPr>
        <w:t>4.资质审核与人员一致性：</w:t>
      </w:r>
      <w:r>
        <w:rPr>
          <w:rFonts w:hint="eastAsia" w:ascii="宋体" w:hAnsi="宋体" w:eastAsia="宋体" w:cs="宋体"/>
          <w:sz w:val="24"/>
          <w:szCs w:val="24"/>
          <w:lang w:val="en-US" w:eastAsia="zh-CN"/>
        </w:rPr>
        <w:t>供应商</w:t>
      </w:r>
      <w:r>
        <w:rPr>
          <w:rFonts w:hint="eastAsia" w:ascii="宋体" w:hAnsi="宋体" w:eastAsia="宋体" w:cs="宋体"/>
          <w:sz w:val="24"/>
          <w:szCs w:val="24"/>
          <w:lang w:eastAsia="zh-CN"/>
        </w:rPr>
        <w:t>须确保提交学历证明的人员与实际下派人员完全一致，严禁出现“持证人”与“实际服务人”不符的情况。所有人员资质将由运动队主管或行政训练科室进行严格审核，审核通过后方可上岗。若实际下派人员与承诺（响应文件中提供的人员）不一致，或资质审核不通过，</w:t>
      </w:r>
      <w:r>
        <w:rPr>
          <w:rFonts w:hint="eastAsia" w:ascii="宋体" w:hAnsi="宋体" w:eastAsia="宋体" w:cs="宋体"/>
          <w:sz w:val="24"/>
          <w:szCs w:val="24"/>
          <w:lang w:val="en-US" w:eastAsia="zh-CN"/>
        </w:rPr>
        <w:t>供应商</w:t>
      </w:r>
      <w:r>
        <w:rPr>
          <w:rFonts w:hint="eastAsia" w:ascii="宋体" w:hAnsi="宋体" w:eastAsia="宋体" w:cs="宋体"/>
          <w:sz w:val="24"/>
          <w:szCs w:val="24"/>
          <w:lang w:eastAsia="zh-CN"/>
        </w:rPr>
        <w:t>应在</w:t>
      </w:r>
      <w:r>
        <w:rPr>
          <w:rFonts w:hint="eastAsia" w:ascii="宋体" w:hAnsi="宋体" w:eastAsia="宋体" w:cs="宋体"/>
          <w:sz w:val="24"/>
          <w:szCs w:val="24"/>
          <w:lang w:val="en-US" w:eastAsia="zh-CN"/>
        </w:rPr>
        <w:t>采购人</w:t>
      </w:r>
      <w:r>
        <w:rPr>
          <w:rFonts w:hint="eastAsia" w:ascii="宋体" w:hAnsi="宋体" w:eastAsia="宋体" w:cs="宋体"/>
          <w:sz w:val="24"/>
          <w:szCs w:val="24"/>
          <w:lang w:eastAsia="zh-CN"/>
        </w:rPr>
        <w:t>要求的3个工作日内更换合格人员，逾期未更换的，</w:t>
      </w:r>
      <w:r>
        <w:rPr>
          <w:rFonts w:hint="eastAsia" w:ascii="宋体" w:hAnsi="宋体" w:eastAsia="宋体" w:cs="宋体"/>
          <w:sz w:val="24"/>
          <w:szCs w:val="24"/>
          <w:lang w:val="en-US" w:eastAsia="zh-CN"/>
        </w:rPr>
        <w:t>采购人</w:t>
      </w:r>
      <w:r>
        <w:rPr>
          <w:rFonts w:hint="eastAsia" w:ascii="宋体" w:hAnsi="宋体" w:eastAsia="宋体" w:cs="宋体"/>
          <w:sz w:val="24"/>
          <w:szCs w:val="24"/>
          <w:lang w:eastAsia="zh-CN"/>
        </w:rPr>
        <w:t>有权扣除当月服务费用的10%/次，累计达到2次及以上的，</w:t>
      </w:r>
      <w:r>
        <w:rPr>
          <w:rFonts w:hint="eastAsia" w:ascii="宋体" w:hAnsi="宋体" w:eastAsia="宋体" w:cs="宋体"/>
          <w:sz w:val="24"/>
          <w:szCs w:val="24"/>
          <w:lang w:val="en-US" w:eastAsia="zh-CN"/>
        </w:rPr>
        <w:t>采购人</w:t>
      </w:r>
      <w:r>
        <w:rPr>
          <w:rFonts w:hint="eastAsia" w:ascii="宋体" w:hAnsi="宋体" w:eastAsia="宋体" w:cs="宋体"/>
          <w:sz w:val="24"/>
          <w:szCs w:val="24"/>
          <w:lang w:eastAsia="zh-CN"/>
        </w:rPr>
        <w:t>有权终止合同，并要求</w:t>
      </w:r>
      <w:r>
        <w:rPr>
          <w:rFonts w:hint="eastAsia" w:ascii="宋体" w:hAnsi="宋体" w:eastAsia="宋体" w:cs="宋体"/>
          <w:sz w:val="24"/>
          <w:szCs w:val="24"/>
          <w:lang w:val="en-US" w:eastAsia="zh-CN"/>
        </w:rPr>
        <w:t>供应商</w:t>
      </w:r>
      <w:r>
        <w:rPr>
          <w:rFonts w:hint="eastAsia" w:ascii="宋体" w:hAnsi="宋体" w:eastAsia="宋体" w:cs="宋体"/>
          <w:sz w:val="24"/>
          <w:szCs w:val="24"/>
          <w:lang w:eastAsia="zh-CN"/>
        </w:rPr>
        <w:t>承担违约责任。</w:t>
      </w:r>
    </w:p>
    <w:p w14:paraId="15143126">
      <w:pPr>
        <w:spacing w:line="360" w:lineRule="auto"/>
        <w:ind w:firstLine="482" w:firstLineChars="200"/>
        <w:rPr>
          <w:rFonts w:hint="eastAsia" w:ascii="宋体" w:hAnsi="宋体" w:eastAsia="宋体"/>
          <w:color w:val="auto"/>
          <w:sz w:val="24"/>
          <w:szCs w:val="24"/>
          <w:lang w:eastAsia="zh-CN"/>
        </w:rPr>
      </w:pPr>
      <w:r>
        <w:rPr>
          <w:rFonts w:hint="eastAsia" w:ascii="宋体" w:hAnsi="宋体" w:eastAsia="宋体"/>
          <w:b/>
          <w:color w:val="auto"/>
          <w:sz w:val="24"/>
          <w:szCs w:val="24"/>
          <w:highlight w:val="white"/>
          <w:lang w:eastAsia="zh-CN"/>
        </w:rPr>
        <w:t>注：以上技术（服务）要求为基本需求且为必须满足，</w:t>
      </w:r>
      <w:r>
        <w:rPr>
          <w:rFonts w:hint="eastAsia" w:ascii="宋体" w:hAnsi="宋体" w:eastAsia="宋体"/>
          <w:b/>
          <w:bCs/>
          <w:color w:val="auto"/>
          <w:sz w:val="24"/>
          <w:szCs w:val="24"/>
          <w:highlight w:val="white"/>
          <w:lang w:eastAsia="zh-CN"/>
        </w:rPr>
        <w:t>否则作无效</w:t>
      </w:r>
      <w:r>
        <w:rPr>
          <w:rFonts w:hint="eastAsia" w:ascii="宋体" w:hAnsi="宋体" w:eastAsia="宋体"/>
          <w:b/>
          <w:color w:val="auto"/>
          <w:sz w:val="24"/>
          <w:szCs w:val="24"/>
          <w:highlight w:val="white"/>
          <w:lang w:eastAsia="zh-CN"/>
        </w:rPr>
        <w:t>投标</w:t>
      </w:r>
      <w:r>
        <w:rPr>
          <w:rFonts w:hint="eastAsia" w:ascii="宋体" w:hAnsi="宋体" w:eastAsia="宋体"/>
          <w:b/>
          <w:bCs/>
          <w:color w:val="auto"/>
          <w:sz w:val="24"/>
          <w:szCs w:val="24"/>
          <w:highlight w:val="white"/>
          <w:lang w:eastAsia="zh-CN"/>
        </w:rPr>
        <w:t>处理。</w:t>
      </w:r>
    </w:p>
    <w:p w14:paraId="3F56B85A">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C4916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2026-05-13T08:35:03Z</dcterms:created>
  <dc:creator>Administrator</dc:creator>
  <cp:lastModifiedBy>Administrator</cp:lastModifiedBy>
  <dcterms:modified xsi:type="dcterms:W3CDTF">2026-05-13T08:35:07Z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eyJoZGlkIjoiZmViMTUwY2YzNzJkNWQ0ODA1M2QwNTQ1Y2RjNmQwZTIiLCJ1c2VySWQiOiI1NDQ4NjM5MjEifQ==</vt:lpwstr>
  </property>
  <property fmtid="{D5CDD505-2E9C-101B-9397-08002B2CF9AE}" pid="4" name="ICV">
    <vt:lpwstr>E1944FB799BA4CCF97336525F1F1A83E_12</vt:lpwstr>
  </property>
</Properties>
</file>