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C7A1D4">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
          <w:bCs/>
          <w:snapToGrid/>
          <w:color w:val="auto"/>
          <w:kern w:val="2"/>
          <w:sz w:val="28"/>
          <w:szCs w:val="28"/>
          <w:highlight w:val="none"/>
          <w:u w:val="none"/>
          <w:lang w:val="en-US" w:eastAsia="zh-CN"/>
        </w:rPr>
      </w:pPr>
      <w:bookmarkStart w:id="0" w:name="_Toc32374"/>
      <w:r>
        <w:rPr>
          <w:rFonts w:hint="eastAsia" w:ascii="仿宋" w:hAnsi="仿宋" w:eastAsia="仿宋" w:cs="仿宋"/>
          <w:b/>
          <w:bCs/>
          <w:color w:val="auto"/>
          <w:sz w:val="32"/>
          <w:szCs w:val="32"/>
          <w:highlight w:val="none"/>
          <w:u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524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z w:val="32"/>
          <w:szCs w:val="32"/>
          <w:highlight w:val="none"/>
          <w:u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End w:id="0"/>
      <w:r>
        <w:rPr>
          <w:rFonts w:hint="eastAsia" w:ascii="仿宋" w:hAnsi="仿宋" w:eastAsia="仿宋" w:cs="仿宋"/>
          <w:b/>
          <w:bCs/>
          <w:snapToGrid/>
          <w:color w:val="auto"/>
          <w:kern w:val="2"/>
          <w:sz w:val="28"/>
          <w:szCs w:val="28"/>
          <w:highlight w:val="none"/>
          <w:u w:val="none"/>
          <w:lang w:val="en-US" w:eastAsia="zh-CN"/>
        </w:rPr>
        <w:t>江西省朝旭企业管理咨询有限公司关于青原区梅林学校建设项目空调采购项目竞争性谈判采购公告</w:t>
      </w:r>
    </w:p>
    <w:p w14:paraId="2E4442FD">
      <w:pPr>
        <w:pStyle w:val="5"/>
        <w:keepNext w:val="0"/>
        <w:keepLines w:val="0"/>
        <w:pageBreakBefore w:val="0"/>
        <w:widowControl/>
        <w:tabs>
          <w:tab w:val="right" w:leader="dot" w:pos="9071"/>
        </w:tabs>
        <w:kinsoku/>
        <w:wordWrap w:val="0"/>
        <w:overflowPunct/>
        <w:topLinePunct/>
        <w:autoSpaceDE/>
        <w:autoSpaceDN/>
        <w:bidi w:val="0"/>
        <w:adjustRightInd/>
        <w:snapToGrid/>
        <w:spacing w:line="360" w:lineRule="auto"/>
        <w:ind w:left="0" w:leftChars="0"/>
        <w:jc w:val="center"/>
        <w:textAlignment w:val="auto"/>
        <w:outlineLvl w:val="0"/>
        <w:rPr>
          <w:rFonts w:hint="eastAsia" w:ascii="仿宋" w:hAnsi="仿宋" w:eastAsia="仿宋" w:cs="仿宋"/>
          <w:color w:val="auto"/>
          <w:sz w:val="30"/>
          <w:szCs w:val="30"/>
          <w:highlight w:val="none"/>
        </w:rPr>
      </w:pPr>
    </w:p>
    <w:p w14:paraId="0E859CBB">
      <w:pPr>
        <w:keepNext w:val="0"/>
        <w:keepLines w:val="0"/>
        <w:pageBreakBefore w:val="0"/>
        <w:widowControl/>
        <w:kinsoku/>
        <w:wordWrap w:val="0"/>
        <w:overflowPunct/>
        <w:topLinePunct/>
        <w:autoSpaceDE/>
        <w:autoSpaceDN w:val="0"/>
        <w:bidi w:val="0"/>
        <w:adjustRightInd w:val="0"/>
        <w:snapToGrid w:val="0"/>
        <w:spacing w:line="360" w:lineRule="auto"/>
        <w:ind w:firstLine="480" w:firstLineChars="200"/>
        <w:textAlignment w:val="baseline"/>
        <w:rPr>
          <w:rFonts w:hint="eastAsia" w:ascii="仿宋" w:hAnsi="仿宋" w:eastAsia="仿宋" w:cs="仿宋"/>
          <w:color w:val="auto"/>
          <w:spacing w:val="0"/>
          <w:position w:val="0"/>
          <w:highlight w:val="none"/>
          <w:lang w:eastAsia="zh-CN"/>
        </w:rPr>
      </w:pPr>
      <w:r>
        <w:rPr>
          <w:rFonts w:hint="eastAsia" w:ascii="仿宋" w:hAnsi="仿宋" w:eastAsia="仿宋" w:cs="仿宋"/>
          <w:color w:val="auto"/>
          <w:spacing w:val="0"/>
          <w:kern w:val="0"/>
          <w:position w:val="0"/>
          <w:sz w:val="24"/>
          <w:szCs w:val="24"/>
          <w:highlight w:val="none"/>
          <w:u w:val="single"/>
          <w:shd w:val="clear" w:color="auto" w:fill="FFFFFF"/>
          <w:lang w:val="en-US" w:eastAsia="zh-CN"/>
        </w:rPr>
        <w:t>青原区梅林学校建设项目空调采购项目</w:t>
      </w:r>
      <w:r>
        <w:rPr>
          <w:rFonts w:hint="eastAsia" w:ascii="仿宋" w:hAnsi="仿宋" w:eastAsia="仿宋" w:cs="仿宋"/>
          <w:color w:val="auto"/>
          <w:spacing w:val="0"/>
          <w:kern w:val="0"/>
          <w:position w:val="0"/>
          <w:sz w:val="24"/>
          <w:szCs w:val="24"/>
          <w:highlight w:val="none"/>
          <w:shd w:val="clear" w:color="auto" w:fill="FFFFFF"/>
        </w:rPr>
        <w:t>的</w:t>
      </w:r>
      <w:r>
        <w:rPr>
          <w:rFonts w:hint="eastAsia" w:ascii="仿宋" w:hAnsi="仿宋" w:eastAsia="仿宋" w:cs="仿宋"/>
          <w:color w:val="auto"/>
          <w:spacing w:val="0"/>
          <w:kern w:val="0"/>
          <w:position w:val="0"/>
          <w:sz w:val="24"/>
          <w:szCs w:val="24"/>
          <w:highlight w:val="none"/>
        </w:rPr>
        <w:t>潜在</w:t>
      </w:r>
      <w:r>
        <w:rPr>
          <w:rFonts w:hint="eastAsia" w:ascii="仿宋" w:hAnsi="仿宋" w:eastAsia="仿宋" w:cs="仿宋"/>
          <w:color w:val="auto"/>
          <w:spacing w:val="0"/>
          <w:kern w:val="0"/>
          <w:position w:val="0"/>
          <w:sz w:val="24"/>
          <w:szCs w:val="24"/>
          <w:highlight w:val="none"/>
          <w:lang w:eastAsia="zh-CN"/>
        </w:rPr>
        <w:t>供应商</w:t>
      </w:r>
      <w:r>
        <w:rPr>
          <w:rFonts w:hint="eastAsia" w:ascii="仿宋" w:hAnsi="仿宋" w:eastAsia="仿宋" w:cs="仿宋"/>
          <w:color w:val="auto"/>
          <w:spacing w:val="0"/>
          <w:kern w:val="0"/>
          <w:position w:val="0"/>
          <w:sz w:val="24"/>
          <w:szCs w:val="24"/>
          <w:highlight w:val="none"/>
        </w:rPr>
        <w:t>应在</w:t>
      </w:r>
      <w:r>
        <w:rPr>
          <w:rFonts w:hint="eastAsia" w:ascii="仿宋" w:hAnsi="仿宋" w:eastAsia="仿宋" w:cs="仿宋"/>
          <w:color w:val="auto"/>
          <w:spacing w:val="0"/>
          <w:kern w:val="0"/>
          <w:position w:val="0"/>
          <w:sz w:val="24"/>
          <w:szCs w:val="24"/>
          <w:highlight w:val="none"/>
          <w:u w:val="none"/>
        </w:rPr>
        <w:t>江西省公共资源交易</w:t>
      </w:r>
      <w:r>
        <w:rPr>
          <w:rFonts w:hint="eastAsia" w:ascii="仿宋" w:hAnsi="仿宋" w:eastAsia="仿宋" w:cs="仿宋"/>
          <w:color w:val="auto"/>
          <w:spacing w:val="0"/>
          <w:kern w:val="0"/>
          <w:position w:val="0"/>
          <w:sz w:val="24"/>
          <w:szCs w:val="24"/>
          <w:highlight w:val="none"/>
          <w:u w:val="none"/>
          <w:lang w:val="en-US" w:eastAsia="zh-CN"/>
        </w:rPr>
        <w:t>平台确认并</w:t>
      </w:r>
      <w:r>
        <w:rPr>
          <w:rFonts w:hint="eastAsia" w:ascii="仿宋" w:hAnsi="仿宋" w:eastAsia="仿宋" w:cs="仿宋"/>
          <w:color w:val="auto"/>
          <w:spacing w:val="0"/>
          <w:kern w:val="0"/>
          <w:position w:val="0"/>
          <w:sz w:val="24"/>
          <w:szCs w:val="24"/>
          <w:highlight w:val="none"/>
        </w:rPr>
        <w:t>获取</w:t>
      </w:r>
      <w:r>
        <w:rPr>
          <w:rFonts w:hint="eastAsia" w:ascii="仿宋" w:hAnsi="仿宋" w:eastAsia="仿宋" w:cs="仿宋"/>
          <w:color w:val="auto"/>
          <w:spacing w:val="0"/>
          <w:kern w:val="0"/>
          <w:position w:val="0"/>
          <w:sz w:val="24"/>
          <w:szCs w:val="24"/>
          <w:highlight w:val="none"/>
          <w:lang w:eastAsia="zh-CN"/>
        </w:rPr>
        <w:t>谈判文件</w:t>
      </w:r>
      <w:r>
        <w:rPr>
          <w:rFonts w:hint="eastAsia" w:ascii="仿宋" w:hAnsi="仿宋" w:eastAsia="仿宋" w:cs="仿宋"/>
          <w:color w:val="auto"/>
          <w:spacing w:val="0"/>
          <w:kern w:val="0"/>
          <w:position w:val="0"/>
          <w:sz w:val="24"/>
          <w:szCs w:val="24"/>
          <w:highlight w:val="none"/>
        </w:rPr>
        <w:t>，并于</w:t>
      </w:r>
      <w:r>
        <w:rPr>
          <w:rFonts w:hint="eastAsia" w:ascii="仿宋" w:hAnsi="仿宋" w:eastAsia="仿宋" w:cs="仿宋"/>
          <w:color w:val="auto"/>
          <w:spacing w:val="0"/>
          <w:kern w:val="0"/>
          <w:position w:val="0"/>
          <w:sz w:val="24"/>
          <w:szCs w:val="24"/>
          <w:highlight w:val="none"/>
          <w:u w:val="single"/>
          <w:lang w:val="en-US" w:eastAsia="zh-CN"/>
        </w:rPr>
        <w:t>2026</w:t>
      </w:r>
      <w:r>
        <w:rPr>
          <w:rFonts w:hint="eastAsia" w:ascii="仿宋" w:hAnsi="仿宋" w:eastAsia="仿宋" w:cs="仿宋"/>
          <w:color w:val="auto"/>
          <w:spacing w:val="0"/>
          <w:kern w:val="0"/>
          <w:position w:val="0"/>
          <w:sz w:val="24"/>
          <w:szCs w:val="24"/>
          <w:highlight w:val="none"/>
        </w:rPr>
        <w:t>年</w:t>
      </w:r>
      <w:r>
        <w:rPr>
          <w:rFonts w:hint="eastAsia" w:ascii="仿宋" w:hAnsi="仿宋" w:eastAsia="仿宋" w:cs="仿宋"/>
          <w:color w:val="auto"/>
          <w:spacing w:val="0"/>
          <w:kern w:val="0"/>
          <w:position w:val="0"/>
          <w:sz w:val="24"/>
          <w:szCs w:val="24"/>
          <w:highlight w:val="none"/>
          <w:u w:val="single"/>
          <w:lang w:val="en-US" w:eastAsia="zh-CN"/>
        </w:rPr>
        <w:t>5</w:t>
      </w:r>
      <w:r>
        <w:rPr>
          <w:rFonts w:hint="eastAsia" w:ascii="仿宋" w:hAnsi="仿宋" w:eastAsia="仿宋" w:cs="仿宋"/>
          <w:color w:val="auto"/>
          <w:spacing w:val="0"/>
          <w:kern w:val="0"/>
          <w:position w:val="0"/>
          <w:sz w:val="24"/>
          <w:szCs w:val="24"/>
          <w:highlight w:val="none"/>
        </w:rPr>
        <w:t>月</w:t>
      </w:r>
      <w:r>
        <w:rPr>
          <w:rFonts w:hint="eastAsia" w:ascii="仿宋" w:hAnsi="仿宋" w:eastAsia="仿宋" w:cs="仿宋"/>
          <w:color w:val="auto"/>
          <w:spacing w:val="0"/>
          <w:kern w:val="0"/>
          <w:position w:val="0"/>
          <w:sz w:val="24"/>
          <w:szCs w:val="24"/>
          <w:highlight w:val="none"/>
          <w:u w:val="single"/>
          <w:lang w:val="en-US" w:eastAsia="zh-CN"/>
        </w:rPr>
        <w:t>22</w:t>
      </w:r>
      <w:r>
        <w:rPr>
          <w:rFonts w:hint="eastAsia" w:ascii="仿宋" w:hAnsi="仿宋" w:eastAsia="仿宋" w:cs="仿宋"/>
          <w:color w:val="auto"/>
          <w:spacing w:val="0"/>
          <w:kern w:val="0"/>
          <w:position w:val="0"/>
          <w:sz w:val="24"/>
          <w:szCs w:val="24"/>
          <w:highlight w:val="none"/>
        </w:rPr>
        <w:t>日</w:t>
      </w:r>
      <w:r>
        <w:rPr>
          <w:rFonts w:hint="eastAsia" w:ascii="仿宋" w:hAnsi="仿宋" w:eastAsia="仿宋" w:cs="仿宋"/>
          <w:color w:val="auto"/>
          <w:spacing w:val="0"/>
          <w:kern w:val="0"/>
          <w:position w:val="0"/>
          <w:sz w:val="24"/>
          <w:szCs w:val="24"/>
          <w:highlight w:val="none"/>
          <w:u w:val="single"/>
          <w:lang w:val="en-US" w:eastAsia="zh-CN"/>
        </w:rPr>
        <w:t>9</w:t>
      </w:r>
      <w:r>
        <w:rPr>
          <w:rFonts w:hint="eastAsia" w:ascii="仿宋" w:hAnsi="仿宋" w:eastAsia="仿宋" w:cs="仿宋"/>
          <w:color w:val="auto"/>
          <w:spacing w:val="0"/>
          <w:kern w:val="0"/>
          <w:position w:val="0"/>
          <w:sz w:val="24"/>
          <w:szCs w:val="24"/>
          <w:highlight w:val="none"/>
        </w:rPr>
        <w:t>点</w:t>
      </w:r>
      <w:r>
        <w:rPr>
          <w:rFonts w:hint="eastAsia" w:ascii="仿宋" w:hAnsi="仿宋" w:eastAsia="仿宋" w:cs="仿宋"/>
          <w:color w:val="auto"/>
          <w:spacing w:val="0"/>
          <w:kern w:val="0"/>
          <w:position w:val="0"/>
          <w:sz w:val="24"/>
          <w:szCs w:val="24"/>
          <w:highlight w:val="none"/>
          <w:u w:val="single"/>
          <w:lang w:val="en-US" w:eastAsia="zh-CN"/>
        </w:rPr>
        <w:t>00</w:t>
      </w:r>
      <w:r>
        <w:rPr>
          <w:rFonts w:hint="eastAsia" w:ascii="仿宋" w:hAnsi="仿宋" w:eastAsia="仿宋" w:cs="仿宋"/>
          <w:color w:val="auto"/>
          <w:spacing w:val="0"/>
          <w:kern w:val="0"/>
          <w:position w:val="0"/>
          <w:sz w:val="24"/>
          <w:szCs w:val="24"/>
          <w:highlight w:val="none"/>
        </w:rPr>
        <w:t>分（北京时间）前</w:t>
      </w:r>
      <w:r>
        <w:rPr>
          <w:rFonts w:hint="eastAsia" w:ascii="仿宋" w:hAnsi="仿宋" w:eastAsia="仿宋" w:cs="仿宋"/>
          <w:color w:val="auto"/>
          <w:spacing w:val="0"/>
          <w:kern w:val="0"/>
          <w:position w:val="0"/>
          <w:sz w:val="24"/>
          <w:szCs w:val="24"/>
          <w:highlight w:val="none"/>
          <w:lang w:eastAsia="zh-CN"/>
        </w:rPr>
        <w:t>提交响应文件</w:t>
      </w:r>
      <w:r>
        <w:rPr>
          <w:rFonts w:hint="eastAsia" w:ascii="仿宋" w:hAnsi="仿宋" w:eastAsia="仿宋" w:cs="仿宋"/>
          <w:color w:val="auto"/>
          <w:spacing w:val="0"/>
          <w:kern w:val="0"/>
          <w:position w:val="0"/>
          <w:sz w:val="24"/>
          <w:szCs w:val="24"/>
          <w:highlight w:val="none"/>
        </w:rPr>
        <w:t>。</w:t>
      </w:r>
    </w:p>
    <w:p w14:paraId="2FA435D7">
      <w:pPr>
        <w:keepNext w:val="0"/>
        <w:keepLines w:val="0"/>
        <w:pageBreakBefore w:val="0"/>
        <w:widowControl/>
        <w:kinsoku/>
        <w:wordWrap w:val="0"/>
        <w:overflowPunct/>
        <w:topLinePunct/>
        <w:autoSpaceDE/>
        <w:autoSpaceDN w:val="0"/>
        <w:bidi w:val="0"/>
        <w:adjustRightInd w:val="0"/>
        <w:snapToGrid w:val="0"/>
        <w:spacing w:line="360" w:lineRule="auto"/>
        <w:ind w:left="107"/>
        <w:textAlignment w:val="baseline"/>
        <w:outlineLvl w:val="9"/>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1" w:name="_Toc8055"/>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bookmarkStart w:id="8" w:name="_GoBack"/>
      <w:bookmarkEnd w:id="8"/>
    </w:p>
    <w:p w14:paraId="59345CFF">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项目编号：</w:t>
      </w:r>
      <w:r>
        <w:rPr>
          <w:rFonts w:hint="eastAsia" w:ascii="仿宋" w:hAnsi="仿宋" w:eastAsia="仿宋" w:cs="仿宋"/>
          <w:bCs/>
          <w:snapToGrid/>
          <w:color w:val="auto"/>
          <w:kern w:val="2"/>
          <w:sz w:val="24"/>
          <w:szCs w:val="24"/>
          <w:highlight w:val="none"/>
          <w:u w:val="single"/>
          <w:lang w:val="en-US" w:eastAsia="zh-CN"/>
        </w:rPr>
        <w:t>JXSZXZFCG2026Y02</w:t>
      </w:r>
    </w:p>
    <w:p w14:paraId="23C5E860">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项目名称：</w:t>
      </w:r>
      <w:r>
        <w:rPr>
          <w:rFonts w:hint="eastAsia" w:ascii="仿宋" w:hAnsi="仿宋" w:eastAsia="仿宋" w:cs="仿宋"/>
          <w:bCs/>
          <w:snapToGrid/>
          <w:color w:val="auto"/>
          <w:kern w:val="2"/>
          <w:sz w:val="24"/>
          <w:szCs w:val="24"/>
          <w:highlight w:val="none"/>
          <w:u w:val="single"/>
          <w:lang w:val="en-US" w:eastAsia="zh-CN"/>
        </w:rPr>
        <w:t>青原区梅林学校建设项目空调采购项目</w:t>
      </w:r>
    </w:p>
    <w:p w14:paraId="23B65E3F">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w:t>
      </w:r>
      <w:r>
        <w:rPr>
          <w:rFonts w:hint="eastAsia" w:ascii="仿宋" w:hAnsi="仿宋" w:eastAsia="仿宋" w:cs="仿宋"/>
          <w:bCs/>
          <w:snapToGrid/>
          <w:color w:val="auto"/>
          <w:kern w:val="2"/>
          <w:sz w:val="24"/>
          <w:szCs w:val="24"/>
          <w:highlight w:val="none"/>
          <w:u w:val="single"/>
          <w:lang w:val="en-US" w:eastAsia="zh-CN"/>
        </w:rPr>
        <w:t>竞争性谈判</w:t>
      </w:r>
    </w:p>
    <w:p w14:paraId="11A84E73">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预算金额（人民币）：</w:t>
      </w:r>
      <w:r>
        <w:rPr>
          <w:rFonts w:hint="eastAsia" w:ascii="仿宋" w:hAnsi="仿宋" w:eastAsia="仿宋" w:cs="仿宋"/>
          <w:bCs/>
          <w:snapToGrid/>
          <w:color w:val="auto"/>
          <w:kern w:val="2"/>
          <w:sz w:val="24"/>
          <w:szCs w:val="24"/>
          <w:highlight w:val="none"/>
          <w:u w:val="single"/>
          <w:lang w:val="en-US" w:eastAsia="zh-CN"/>
        </w:rPr>
        <w:t>1538261.10</w:t>
      </w:r>
      <w:r>
        <w:rPr>
          <w:rFonts w:hint="eastAsia" w:ascii="仿宋" w:hAnsi="仿宋" w:eastAsia="仿宋" w:cs="仿宋"/>
          <w:bCs/>
          <w:snapToGrid/>
          <w:color w:val="auto"/>
          <w:kern w:val="2"/>
          <w:sz w:val="24"/>
          <w:szCs w:val="24"/>
          <w:highlight w:val="none"/>
          <w:lang w:val="en-US" w:eastAsia="zh-CN"/>
        </w:rPr>
        <w:t>元</w:t>
      </w:r>
    </w:p>
    <w:p w14:paraId="3DB71577">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最高限价（人民币）：</w:t>
      </w:r>
      <w:r>
        <w:rPr>
          <w:rFonts w:hint="eastAsia" w:ascii="仿宋" w:hAnsi="仿宋" w:eastAsia="仿宋" w:cs="仿宋"/>
          <w:bCs/>
          <w:snapToGrid/>
          <w:color w:val="auto"/>
          <w:kern w:val="2"/>
          <w:sz w:val="24"/>
          <w:szCs w:val="24"/>
          <w:highlight w:val="none"/>
          <w:u w:val="single"/>
          <w:lang w:val="en-US" w:eastAsia="zh-CN"/>
        </w:rPr>
        <w:t>1538261.10</w:t>
      </w:r>
      <w:r>
        <w:rPr>
          <w:rFonts w:hint="eastAsia" w:ascii="仿宋" w:hAnsi="仿宋" w:eastAsia="仿宋" w:cs="仿宋"/>
          <w:bCs/>
          <w:snapToGrid/>
          <w:color w:val="auto"/>
          <w:kern w:val="2"/>
          <w:sz w:val="24"/>
          <w:szCs w:val="24"/>
          <w:highlight w:val="none"/>
          <w:lang w:val="en-US" w:eastAsia="zh-CN"/>
        </w:rPr>
        <w:t>元</w:t>
      </w:r>
    </w:p>
    <w:p w14:paraId="0EA872CA">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u w:val="none"/>
          <w:lang w:val="en-US" w:eastAsia="zh-CN"/>
        </w:rPr>
        <w:t>采购需求：</w:t>
      </w:r>
    </w:p>
    <w:tbl>
      <w:tblPr>
        <w:tblStyle w:val="6"/>
        <w:tblW w:w="94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60"/>
        <w:gridCol w:w="2809"/>
        <w:gridCol w:w="816"/>
        <w:gridCol w:w="839"/>
        <w:gridCol w:w="2358"/>
      </w:tblGrid>
      <w:tr w14:paraId="7FA8D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660" w:type="dxa"/>
            <w:vAlign w:val="center"/>
          </w:tcPr>
          <w:p w14:paraId="7830765B">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809" w:type="dxa"/>
            <w:vAlign w:val="center"/>
          </w:tcPr>
          <w:p w14:paraId="7FD698A0">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816" w:type="dxa"/>
            <w:vAlign w:val="center"/>
          </w:tcPr>
          <w:p w14:paraId="1EFFDB0B">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839" w:type="dxa"/>
            <w:vAlign w:val="center"/>
          </w:tcPr>
          <w:p w14:paraId="24B5E4E1">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2358" w:type="dxa"/>
            <w:vAlign w:val="center"/>
          </w:tcPr>
          <w:p w14:paraId="5A8F9D45">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47489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660" w:type="dxa"/>
            <w:vAlign w:val="center"/>
          </w:tcPr>
          <w:p w14:paraId="52239DA3">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吉青[2026]F10100113</w:t>
            </w:r>
          </w:p>
        </w:tc>
        <w:tc>
          <w:tcPr>
            <w:tcW w:w="2809" w:type="dxa"/>
            <w:vAlign w:val="center"/>
          </w:tcPr>
          <w:p w14:paraId="75CCB836">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青原区梅林学校建设项目空调采购项目</w:t>
            </w:r>
          </w:p>
        </w:tc>
        <w:tc>
          <w:tcPr>
            <w:tcW w:w="816" w:type="dxa"/>
            <w:vAlign w:val="center"/>
          </w:tcPr>
          <w:p w14:paraId="72A963AE">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839" w:type="dxa"/>
            <w:vAlign w:val="center"/>
          </w:tcPr>
          <w:p w14:paraId="07E536BE">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2358" w:type="dxa"/>
            <w:vAlign w:val="center"/>
          </w:tcPr>
          <w:p w14:paraId="3C7C4676">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最低评标价法</w:t>
            </w:r>
          </w:p>
        </w:tc>
      </w:tr>
    </w:tbl>
    <w:p w14:paraId="0F5AA45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合同履行期限(交货期):合同签订完成后15天内，成交供应商将食堂的单体式四面出风天井机室外设备基础砌筑、管线开槽、支吊架等安装完成，签订合同30天内，内外机组交于采购人指定地点并完室内外机组定位安装定位、整体系统的调试、投入使用并通过验收。1#2#教学楼、实验楼、综合楼图书馆、1#2#大门、地下室分体式空调在具备安装条件后20天内交于采购人指定地点并完成安装、调试、投入使用并通过验收，成交供应商承担转运、安装、调试、验收等费用。</w:t>
      </w:r>
    </w:p>
    <w:p w14:paraId="3EC12DAC">
      <w:pPr>
        <w:keepNext w:val="0"/>
        <w:keepLines w:val="0"/>
        <w:pageBreakBefore w:val="0"/>
        <w:widowControl/>
        <w:kinsoku/>
        <w:wordWrap w:val="0"/>
        <w:overflowPunct/>
        <w:topLinePunct/>
        <w:autoSpaceDE/>
        <w:autoSpaceDN w:val="0"/>
        <w:bidi w:val="0"/>
        <w:adjustRightInd w:val="0"/>
        <w:snapToGrid w:val="0"/>
        <w:spacing w:afterAutospacing="0" w:line="360" w:lineRule="auto"/>
        <w:textAlignment w:val="baseline"/>
        <w:outlineLvl w:val="9"/>
        <w:rPr>
          <w:rFonts w:hint="eastAsia" w:ascii="仿宋" w:hAnsi="仿宋" w:eastAsia="仿宋" w:cs="仿宋"/>
          <w:color w:val="auto"/>
          <w:spacing w:val="0"/>
          <w:position w:val="0"/>
          <w:sz w:val="24"/>
          <w:szCs w:val="24"/>
          <w:highlight w:val="none"/>
          <w:u w:val="single"/>
          <w:lang w:val="en-US" w:eastAsia="zh-CN"/>
        </w:rPr>
      </w:pPr>
      <w:r>
        <w:rPr>
          <w:rFonts w:hint="eastAsia" w:ascii="仿宋" w:hAnsi="仿宋" w:eastAsia="仿宋" w:cs="仿宋"/>
          <w:color w:val="auto"/>
          <w:spacing w:val="0"/>
          <w:position w:val="0"/>
          <w:sz w:val="24"/>
          <w:szCs w:val="24"/>
          <w:highlight w:val="none"/>
          <w:lang w:eastAsia="zh-CN"/>
        </w:rPr>
        <w:t>本项目</w:t>
      </w:r>
      <w:r>
        <w:rPr>
          <w:rFonts w:hint="eastAsia" w:ascii="仿宋" w:hAnsi="仿宋" w:eastAsia="仿宋" w:cs="仿宋"/>
          <w:color w:val="auto"/>
          <w:spacing w:val="0"/>
          <w:position w:val="0"/>
          <w:sz w:val="24"/>
          <w:szCs w:val="24"/>
          <w:highlight w:val="none"/>
          <w:lang w:val="en-US" w:eastAsia="zh-CN"/>
        </w:rPr>
        <w:t>是否</w:t>
      </w:r>
      <w:r>
        <w:rPr>
          <w:rFonts w:hint="eastAsia" w:ascii="仿宋" w:hAnsi="仿宋" w:eastAsia="仿宋" w:cs="仿宋"/>
          <w:color w:val="auto"/>
          <w:spacing w:val="0"/>
          <w:position w:val="0"/>
          <w:sz w:val="24"/>
          <w:szCs w:val="24"/>
          <w:highlight w:val="none"/>
          <w:lang w:eastAsia="zh-CN"/>
        </w:rPr>
        <w:t>接受联合体</w:t>
      </w:r>
      <w:r>
        <w:rPr>
          <w:rFonts w:hint="eastAsia" w:ascii="仿宋" w:hAnsi="仿宋" w:eastAsia="仿宋" w:cs="仿宋"/>
          <w:color w:val="auto"/>
          <w:spacing w:val="0"/>
          <w:position w:val="0"/>
          <w:sz w:val="24"/>
          <w:szCs w:val="24"/>
          <w:highlight w:val="none"/>
          <w:lang w:val="en-US" w:eastAsia="zh-CN"/>
        </w:rPr>
        <w:t>谈判</w:t>
      </w:r>
      <w:r>
        <w:rPr>
          <w:rFonts w:hint="eastAsia" w:ascii="仿宋" w:hAnsi="仿宋" w:eastAsia="仿宋" w:cs="仿宋"/>
          <w:color w:val="auto"/>
          <w:spacing w:val="0"/>
          <w:position w:val="0"/>
          <w:sz w:val="24"/>
          <w:szCs w:val="24"/>
          <w:highlight w:val="none"/>
          <w:lang w:eastAsia="zh-CN"/>
        </w:rPr>
        <w:t>：</w:t>
      </w:r>
      <w:r>
        <w:rPr>
          <w:rFonts w:hint="eastAsia" w:ascii="仿宋" w:hAnsi="仿宋" w:eastAsia="仿宋" w:cs="仿宋"/>
          <w:color w:val="auto"/>
          <w:spacing w:val="0"/>
          <w:position w:val="0"/>
          <w:sz w:val="24"/>
          <w:szCs w:val="24"/>
          <w:highlight w:val="none"/>
          <w:lang w:val="en-US" w:eastAsia="zh-CN"/>
        </w:rPr>
        <w:t>否</w:t>
      </w:r>
    </w:p>
    <w:p w14:paraId="5BE03432">
      <w:pPr>
        <w:keepNext w:val="0"/>
        <w:keepLines w:val="0"/>
        <w:pageBreakBefore w:val="0"/>
        <w:widowControl/>
        <w:kinsoku/>
        <w:wordWrap w:val="0"/>
        <w:overflowPunct/>
        <w:topLinePunct/>
        <w:autoSpaceDE/>
        <w:autoSpaceDN w:val="0"/>
        <w:bidi w:val="0"/>
        <w:adjustRightInd w:val="0"/>
        <w:snapToGrid w:val="0"/>
        <w:spacing w:beforeAutospacing="0" w:afterAutospacing="0" w:line="360" w:lineRule="auto"/>
        <w:textAlignment w:val="baseline"/>
        <w:outlineLvl w:val="9"/>
        <w:rPr>
          <w:rFonts w:hint="eastAsia" w:ascii="仿宋" w:hAnsi="仿宋" w:eastAsia="仿宋" w:cs="仿宋"/>
          <w:color w:val="auto"/>
          <w:spacing w:val="0"/>
          <w:position w:val="0"/>
          <w:sz w:val="24"/>
          <w:szCs w:val="24"/>
          <w:highlight w:val="none"/>
          <w:lang w:eastAsia="zh-CN"/>
        </w:rPr>
      </w:pPr>
      <w:bookmarkStart w:id="2" w:name="_Toc15517"/>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2"/>
    </w:p>
    <w:p w14:paraId="2C1E8822">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0A73759C">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78A480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00336133">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34140DD1">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1D761242">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305FAAEA">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响应供应商在政府采购项目资格审查环节提供了满足相应条件的书面承诺书(详见江西省政府采购供应商资格信用承诺函）后，可不再提供以上证明材料。</w:t>
      </w:r>
    </w:p>
    <w:p w14:paraId="1D01D61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响应供应商，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响应供应商被“信用中国”网站列入失信被执行人或重大税收违法失信主体名单、或被“中国政府采购网”网站列入政府采购严重违法失信行为记录名单（处罚期限尚未届满的）的，不得参加本项目的政府采购活动。</w:t>
      </w:r>
    </w:p>
    <w:p w14:paraId="7E4E74DA">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B37E1F0">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中小企业政策：本项目不专门面向中小企业采购。</w:t>
      </w:r>
    </w:p>
    <w:p w14:paraId="203B5988">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如本项目采购的产品属于政府强制采购节能产品的，投标文件中必须提供《参与实施政府采购节能产品认证机构名录》中的对应产品认证机构出具的节能产品认证证书原件扫描件或提供国家市场监督管理总局的节能产品查询结果截图；</w:t>
      </w:r>
    </w:p>
    <w:p w14:paraId="42D4026C">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
          <w:bCs w:val="0"/>
          <w:snapToGrid/>
          <w:color w:val="auto"/>
          <w:kern w:val="2"/>
          <w:sz w:val="24"/>
          <w:szCs w:val="24"/>
          <w:highlight w:val="none"/>
          <w:lang w:val="en-US" w:eastAsia="zh-CN"/>
        </w:rPr>
        <w:t>/</w:t>
      </w:r>
    </w:p>
    <w:p w14:paraId="516705F5">
      <w:pPr>
        <w:keepNext w:val="0"/>
        <w:keepLines w:val="0"/>
        <w:pageBreakBefore w:val="0"/>
        <w:widowControl/>
        <w:kinsoku/>
        <w:wordWrap w:val="0"/>
        <w:overflowPunct/>
        <w:topLinePunct/>
        <w:autoSpaceDE/>
        <w:autoSpaceDN w:val="0"/>
        <w:bidi w:val="0"/>
        <w:adjustRightInd w:val="0"/>
        <w:snapToGrid w:val="0"/>
        <w:spacing w:line="360" w:lineRule="auto"/>
        <w:ind w:left="1"/>
        <w:jc w:val="both"/>
        <w:textAlignment w:val="baseline"/>
        <w:outlineLvl w:val="9"/>
        <w:rPr>
          <w:rFonts w:hint="eastAsia" w:ascii="仿宋" w:hAnsi="仿宋" w:eastAsia="仿宋" w:cs="仿宋"/>
          <w:color w:val="auto"/>
          <w:spacing w:val="0"/>
          <w:position w:val="0"/>
          <w:sz w:val="24"/>
          <w:szCs w:val="24"/>
          <w:highlight w:val="none"/>
          <w:lang w:eastAsia="zh-CN"/>
        </w:rPr>
      </w:pPr>
      <w:bookmarkStart w:id="3" w:name="_Toc16771"/>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3"/>
    </w:p>
    <w:p w14:paraId="22C26642">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4" w:name="_Toc18860"/>
      <w:r>
        <w:rPr>
          <w:rFonts w:hint="eastAsia" w:ascii="仿宋" w:hAnsi="仿宋" w:eastAsia="仿宋" w:cs="仿宋"/>
          <w:bCs/>
          <w:snapToGrid/>
          <w:color w:val="auto"/>
          <w:kern w:val="2"/>
          <w:sz w:val="24"/>
          <w:szCs w:val="24"/>
          <w:highlight w:val="none"/>
          <w:lang w:val="en-US" w:eastAsia="zh-CN"/>
        </w:rPr>
        <w:t>时间：</w:t>
      </w:r>
      <w:r>
        <w:rPr>
          <w:rFonts w:hint="eastAsia" w:ascii="仿宋" w:hAnsi="仿宋" w:eastAsia="仿宋" w:cs="仿宋"/>
          <w:bCs/>
          <w:snapToGrid/>
          <w:color w:val="auto"/>
          <w:kern w:val="2"/>
          <w:sz w:val="24"/>
          <w:szCs w:val="24"/>
          <w:highlight w:val="none"/>
          <w:u w:val="single"/>
          <w:lang w:val="en-US" w:eastAsia="zh-CN"/>
        </w:rPr>
        <w:t>2026</w:t>
      </w:r>
      <w:r>
        <w:rPr>
          <w:rFonts w:hint="eastAsia" w:ascii="仿宋" w:hAnsi="仿宋" w:eastAsia="仿宋" w:cs="仿宋"/>
          <w:bCs/>
          <w:snapToGrid/>
          <w:color w:val="auto"/>
          <w:kern w:val="2"/>
          <w:sz w:val="24"/>
          <w:szCs w:val="24"/>
          <w:highlight w:val="none"/>
          <w:lang w:val="en-US" w:eastAsia="zh-CN"/>
        </w:rPr>
        <w:t>年</w:t>
      </w:r>
      <w:r>
        <w:rPr>
          <w:rFonts w:hint="eastAsia" w:ascii="仿宋" w:hAnsi="仿宋" w:eastAsia="仿宋" w:cs="仿宋"/>
          <w:bCs/>
          <w:snapToGrid/>
          <w:color w:val="auto"/>
          <w:kern w:val="2"/>
          <w:sz w:val="24"/>
          <w:szCs w:val="24"/>
          <w:highlight w:val="none"/>
          <w:u w:val="single"/>
          <w:lang w:val="en-US" w:eastAsia="zh-CN"/>
        </w:rPr>
        <w:t>5</w:t>
      </w:r>
      <w:r>
        <w:rPr>
          <w:rFonts w:hint="eastAsia" w:ascii="仿宋" w:hAnsi="仿宋" w:eastAsia="仿宋" w:cs="仿宋"/>
          <w:bCs/>
          <w:snapToGrid/>
          <w:color w:val="auto"/>
          <w:kern w:val="2"/>
          <w:sz w:val="24"/>
          <w:szCs w:val="24"/>
          <w:highlight w:val="none"/>
          <w:lang w:val="en-US" w:eastAsia="zh-CN"/>
        </w:rPr>
        <w:t>月</w:t>
      </w:r>
      <w:r>
        <w:rPr>
          <w:rFonts w:hint="eastAsia" w:ascii="仿宋" w:hAnsi="仿宋" w:eastAsia="仿宋" w:cs="仿宋"/>
          <w:bCs/>
          <w:snapToGrid/>
          <w:color w:val="auto"/>
          <w:kern w:val="2"/>
          <w:sz w:val="24"/>
          <w:szCs w:val="24"/>
          <w:highlight w:val="none"/>
          <w:u w:val="single"/>
          <w:lang w:val="en-US" w:eastAsia="zh-CN"/>
        </w:rPr>
        <w:t>15</w:t>
      </w:r>
      <w:r>
        <w:rPr>
          <w:rFonts w:hint="eastAsia" w:ascii="仿宋" w:hAnsi="仿宋" w:eastAsia="仿宋" w:cs="仿宋"/>
          <w:bCs/>
          <w:snapToGrid/>
          <w:color w:val="auto"/>
          <w:kern w:val="2"/>
          <w:sz w:val="24"/>
          <w:szCs w:val="24"/>
          <w:highlight w:val="none"/>
          <w:lang w:val="en-US" w:eastAsia="zh-CN"/>
        </w:rPr>
        <w:t>日</w:t>
      </w:r>
      <w:r>
        <w:rPr>
          <w:rFonts w:hint="eastAsia" w:ascii="仿宋" w:hAnsi="仿宋" w:eastAsia="仿宋" w:cs="仿宋"/>
          <w:bCs/>
          <w:snapToGrid/>
          <w:color w:val="auto"/>
          <w:kern w:val="2"/>
          <w:sz w:val="24"/>
          <w:szCs w:val="24"/>
          <w:highlight w:val="none"/>
          <w:u w:val="single"/>
          <w:lang w:val="en-US" w:eastAsia="zh-CN"/>
        </w:rPr>
        <w:t>0:00</w:t>
      </w:r>
      <w:r>
        <w:rPr>
          <w:rFonts w:hint="eastAsia" w:ascii="仿宋" w:hAnsi="仿宋" w:eastAsia="仿宋" w:cs="仿宋"/>
          <w:bCs/>
          <w:snapToGrid/>
          <w:color w:val="auto"/>
          <w:kern w:val="2"/>
          <w:sz w:val="24"/>
          <w:szCs w:val="24"/>
          <w:highlight w:val="none"/>
          <w:lang w:val="en-US" w:eastAsia="zh-CN"/>
        </w:rPr>
        <w:t>至</w:t>
      </w:r>
      <w:r>
        <w:rPr>
          <w:rFonts w:hint="eastAsia" w:ascii="仿宋" w:hAnsi="仿宋" w:eastAsia="仿宋" w:cs="仿宋"/>
          <w:bCs/>
          <w:snapToGrid/>
          <w:color w:val="auto"/>
          <w:kern w:val="2"/>
          <w:sz w:val="24"/>
          <w:szCs w:val="24"/>
          <w:highlight w:val="none"/>
          <w:u w:val="single"/>
          <w:lang w:val="en-US" w:eastAsia="zh-CN"/>
        </w:rPr>
        <w:t>2026</w:t>
      </w:r>
      <w:r>
        <w:rPr>
          <w:rFonts w:hint="eastAsia" w:ascii="仿宋" w:hAnsi="仿宋" w:eastAsia="仿宋" w:cs="仿宋"/>
          <w:bCs/>
          <w:snapToGrid/>
          <w:color w:val="auto"/>
          <w:kern w:val="2"/>
          <w:sz w:val="24"/>
          <w:szCs w:val="24"/>
          <w:highlight w:val="none"/>
          <w:lang w:val="en-US" w:eastAsia="zh-CN"/>
        </w:rPr>
        <w:t>年</w:t>
      </w:r>
      <w:r>
        <w:rPr>
          <w:rFonts w:hint="eastAsia" w:ascii="仿宋" w:hAnsi="仿宋" w:eastAsia="仿宋" w:cs="仿宋"/>
          <w:bCs/>
          <w:snapToGrid/>
          <w:color w:val="auto"/>
          <w:kern w:val="2"/>
          <w:sz w:val="24"/>
          <w:szCs w:val="24"/>
          <w:highlight w:val="none"/>
          <w:u w:val="single"/>
          <w:lang w:val="en-US" w:eastAsia="zh-CN"/>
        </w:rPr>
        <w:t>5</w:t>
      </w:r>
      <w:r>
        <w:rPr>
          <w:rFonts w:hint="eastAsia" w:ascii="仿宋" w:hAnsi="仿宋" w:eastAsia="仿宋" w:cs="仿宋"/>
          <w:bCs/>
          <w:snapToGrid/>
          <w:color w:val="auto"/>
          <w:kern w:val="2"/>
          <w:sz w:val="24"/>
          <w:szCs w:val="24"/>
          <w:highlight w:val="none"/>
          <w:lang w:val="en-US" w:eastAsia="zh-CN"/>
        </w:rPr>
        <w:t>月</w:t>
      </w:r>
      <w:r>
        <w:rPr>
          <w:rFonts w:hint="eastAsia" w:ascii="仿宋" w:hAnsi="仿宋" w:eastAsia="仿宋" w:cs="仿宋"/>
          <w:bCs/>
          <w:snapToGrid/>
          <w:color w:val="auto"/>
          <w:kern w:val="2"/>
          <w:sz w:val="24"/>
          <w:szCs w:val="24"/>
          <w:highlight w:val="none"/>
          <w:u w:val="single"/>
          <w:lang w:val="en-US" w:eastAsia="zh-CN"/>
        </w:rPr>
        <w:t>21</w:t>
      </w:r>
      <w:r>
        <w:rPr>
          <w:rFonts w:hint="eastAsia" w:ascii="仿宋" w:hAnsi="仿宋" w:eastAsia="仿宋" w:cs="仿宋"/>
          <w:bCs/>
          <w:snapToGrid/>
          <w:color w:val="auto"/>
          <w:kern w:val="2"/>
          <w:sz w:val="24"/>
          <w:szCs w:val="24"/>
          <w:highlight w:val="none"/>
          <w:lang w:val="en-US" w:eastAsia="zh-CN"/>
        </w:rPr>
        <w:t>日</w:t>
      </w:r>
      <w:r>
        <w:rPr>
          <w:rFonts w:hint="eastAsia" w:ascii="仿宋" w:hAnsi="仿宋" w:eastAsia="仿宋" w:cs="仿宋"/>
          <w:bCs/>
          <w:snapToGrid/>
          <w:color w:val="auto"/>
          <w:kern w:val="2"/>
          <w:sz w:val="24"/>
          <w:szCs w:val="24"/>
          <w:highlight w:val="none"/>
          <w:u w:val="single"/>
          <w:lang w:val="en-US" w:eastAsia="zh-CN"/>
        </w:rPr>
        <w:t>0:00</w:t>
      </w:r>
      <w:r>
        <w:rPr>
          <w:rFonts w:hint="eastAsia" w:ascii="仿宋" w:hAnsi="仿宋" w:eastAsia="仿宋" w:cs="仿宋"/>
          <w:bCs/>
          <w:snapToGrid/>
          <w:color w:val="auto"/>
          <w:kern w:val="2"/>
          <w:sz w:val="24"/>
          <w:szCs w:val="24"/>
          <w:highlight w:val="none"/>
          <w:lang w:val="en-US" w:eastAsia="zh-CN"/>
        </w:rPr>
        <w:t>（北京时间，法定节假日除外）</w:t>
      </w:r>
    </w:p>
    <w:p w14:paraId="29685CD5">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地点：江西省公共资源交易平台（网址：https://www.jxsggzy.cn）</w:t>
      </w:r>
    </w:p>
    <w:p w14:paraId="02C6C014">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方式：网上确认和下载招标文件。（详见其他补充事宜）</w:t>
      </w:r>
    </w:p>
    <w:p w14:paraId="313FBD6D">
      <w:pPr>
        <w:keepNext w:val="0"/>
        <w:keepLines w:val="0"/>
        <w:pageBreakBefore w:val="0"/>
        <w:widowControl/>
        <w:kinsoku/>
        <w:wordWrap w:val="0"/>
        <w:overflowPunct/>
        <w:topLinePunct/>
        <w:autoSpaceDE/>
        <w:bidi w:val="0"/>
        <w:spacing w:line="360" w:lineRule="auto"/>
        <w:jc w:val="both"/>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文件截止时间、谈判时间和地点</w:t>
      </w:r>
      <w:bookmarkEnd w:id="4"/>
    </w:p>
    <w:p w14:paraId="34A95A0F">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5" w:name="_Toc12340"/>
      <w:r>
        <w:rPr>
          <w:rFonts w:hint="eastAsia" w:ascii="仿宋" w:hAnsi="仿宋" w:eastAsia="仿宋" w:cs="仿宋"/>
          <w:color w:val="auto"/>
          <w:spacing w:val="0"/>
          <w:kern w:val="0"/>
          <w:position w:val="0"/>
          <w:sz w:val="24"/>
          <w:szCs w:val="24"/>
          <w:highlight w:val="none"/>
          <w:u w:val="single"/>
          <w:lang w:val="en-US" w:eastAsia="zh-CN"/>
        </w:rPr>
        <w:t>2026</w:t>
      </w:r>
      <w:r>
        <w:rPr>
          <w:rFonts w:hint="eastAsia" w:ascii="仿宋" w:hAnsi="仿宋" w:eastAsia="仿宋" w:cs="仿宋"/>
          <w:color w:val="auto"/>
          <w:spacing w:val="0"/>
          <w:kern w:val="0"/>
          <w:position w:val="0"/>
          <w:sz w:val="24"/>
          <w:szCs w:val="24"/>
          <w:highlight w:val="none"/>
        </w:rPr>
        <w:t>年</w:t>
      </w:r>
      <w:r>
        <w:rPr>
          <w:rFonts w:hint="eastAsia" w:ascii="仿宋" w:hAnsi="仿宋" w:eastAsia="仿宋" w:cs="仿宋"/>
          <w:color w:val="auto"/>
          <w:spacing w:val="0"/>
          <w:kern w:val="0"/>
          <w:position w:val="0"/>
          <w:sz w:val="24"/>
          <w:szCs w:val="24"/>
          <w:highlight w:val="none"/>
          <w:u w:val="single"/>
          <w:lang w:val="en-US" w:eastAsia="zh-CN"/>
        </w:rPr>
        <w:t>5</w:t>
      </w:r>
      <w:r>
        <w:rPr>
          <w:rFonts w:hint="eastAsia" w:ascii="仿宋" w:hAnsi="仿宋" w:eastAsia="仿宋" w:cs="仿宋"/>
          <w:color w:val="auto"/>
          <w:spacing w:val="0"/>
          <w:kern w:val="0"/>
          <w:position w:val="0"/>
          <w:sz w:val="24"/>
          <w:szCs w:val="24"/>
          <w:highlight w:val="none"/>
        </w:rPr>
        <w:t>月</w:t>
      </w:r>
      <w:r>
        <w:rPr>
          <w:rFonts w:hint="eastAsia" w:ascii="仿宋" w:hAnsi="仿宋" w:eastAsia="仿宋" w:cs="仿宋"/>
          <w:color w:val="auto"/>
          <w:spacing w:val="0"/>
          <w:kern w:val="0"/>
          <w:position w:val="0"/>
          <w:sz w:val="24"/>
          <w:szCs w:val="24"/>
          <w:highlight w:val="none"/>
          <w:u w:val="single"/>
          <w:lang w:val="en-US" w:eastAsia="zh-CN"/>
        </w:rPr>
        <w:t>22</w:t>
      </w:r>
      <w:r>
        <w:rPr>
          <w:rFonts w:hint="eastAsia" w:ascii="仿宋" w:hAnsi="仿宋" w:eastAsia="仿宋" w:cs="仿宋"/>
          <w:color w:val="auto"/>
          <w:spacing w:val="0"/>
          <w:kern w:val="0"/>
          <w:position w:val="0"/>
          <w:sz w:val="24"/>
          <w:szCs w:val="24"/>
          <w:highlight w:val="none"/>
        </w:rPr>
        <w:t>日</w:t>
      </w:r>
      <w:r>
        <w:rPr>
          <w:rFonts w:hint="eastAsia" w:ascii="仿宋" w:hAnsi="仿宋" w:eastAsia="仿宋" w:cs="仿宋"/>
          <w:color w:val="auto"/>
          <w:spacing w:val="0"/>
          <w:kern w:val="0"/>
          <w:position w:val="0"/>
          <w:sz w:val="24"/>
          <w:szCs w:val="24"/>
          <w:highlight w:val="none"/>
          <w:u w:val="single"/>
          <w:lang w:val="en-US" w:eastAsia="zh-CN"/>
        </w:rPr>
        <w:t>9</w:t>
      </w:r>
      <w:r>
        <w:rPr>
          <w:rFonts w:hint="eastAsia" w:ascii="仿宋" w:hAnsi="仿宋" w:eastAsia="仿宋" w:cs="仿宋"/>
          <w:color w:val="auto"/>
          <w:spacing w:val="0"/>
          <w:kern w:val="0"/>
          <w:position w:val="0"/>
          <w:sz w:val="24"/>
          <w:szCs w:val="24"/>
          <w:highlight w:val="none"/>
        </w:rPr>
        <w:t>点</w:t>
      </w:r>
      <w:r>
        <w:rPr>
          <w:rFonts w:hint="eastAsia" w:ascii="仿宋" w:hAnsi="仿宋" w:eastAsia="仿宋" w:cs="仿宋"/>
          <w:color w:val="auto"/>
          <w:spacing w:val="0"/>
          <w:kern w:val="0"/>
          <w:position w:val="0"/>
          <w:sz w:val="24"/>
          <w:szCs w:val="24"/>
          <w:highlight w:val="none"/>
          <w:u w:val="single"/>
          <w:lang w:val="en-US" w:eastAsia="zh-CN"/>
        </w:rPr>
        <w:t>00</w:t>
      </w:r>
      <w:r>
        <w:rPr>
          <w:rFonts w:hint="eastAsia" w:ascii="仿宋" w:hAnsi="仿宋" w:eastAsia="仿宋" w:cs="仿宋"/>
          <w:color w:val="auto"/>
          <w:spacing w:val="0"/>
          <w:kern w:val="0"/>
          <w:position w:val="0"/>
          <w:sz w:val="24"/>
          <w:szCs w:val="24"/>
          <w:highlight w:val="none"/>
        </w:rPr>
        <w:t>分</w:t>
      </w:r>
      <w:r>
        <w:rPr>
          <w:rFonts w:hint="eastAsia" w:ascii="仿宋" w:hAnsi="仿宋" w:eastAsia="仿宋" w:cs="仿宋"/>
          <w:bCs/>
          <w:snapToGrid/>
          <w:color w:val="auto"/>
          <w:kern w:val="2"/>
          <w:sz w:val="24"/>
          <w:szCs w:val="24"/>
          <w:highlight w:val="none"/>
          <w:lang w:val="en-US" w:eastAsia="zh-CN"/>
        </w:rPr>
        <w:t>（北京时间）</w:t>
      </w:r>
    </w:p>
    <w:p w14:paraId="6EEE3C6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w:t>
      </w:r>
      <w:r>
        <w:rPr>
          <w:rFonts w:hint="eastAsia" w:ascii="仿宋" w:hAnsi="仿宋" w:eastAsia="仿宋" w:cs="仿宋"/>
          <w:color w:val="auto"/>
          <w:spacing w:val="0"/>
          <w:position w:val="0"/>
          <w:sz w:val="24"/>
          <w:szCs w:val="24"/>
          <w:highlight w:val="none"/>
          <w:u w:val="none"/>
          <w:lang w:val="en-US" w:eastAsia="zh-CN"/>
        </w:rPr>
        <w:t>江西省公共资源交易网-不见面开标大厅</w:t>
      </w:r>
    </w:p>
    <w:p w14:paraId="29BC0901">
      <w:pPr>
        <w:keepNext w:val="0"/>
        <w:keepLines w:val="0"/>
        <w:pageBreakBefore w:val="0"/>
        <w:widowControl/>
        <w:numPr>
          <w:ilvl w:val="0"/>
          <w:numId w:val="1"/>
        </w:numPr>
        <w:kinsoku/>
        <w:wordWrap w:val="0"/>
        <w:overflowPunct/>
        <w:topLinePunct/>
        <w:autoSpaceDE/>
        <w:bidi w:val="0"/>
        <w:spacing w:line="360" w:lineRule="auto"/>
        <w:ind w:left="4"/>
        <w:jc w:val="both"/>
        <w:outlineLvl w:val="9"/>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5"/>
    </w:p>
    <w:p w14:paraId="5ADDAB50">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pacing w:val="0"/>
          <w:position w:val="0"/>
          <w:sz w:val="24"/>
          <w:szCs w:val="24"/>
          <w:highlight w:val="none"/>
          <w:lang w:eastAsia="zh-CN"/>
        </w:rPr>
      </w:pPr>
      <w:r>
        <w:rPr>
          <w:rFonts w:hint="eastAsia" w:ascii="仿宋" w:hAnsi="仿宋" w:eastAsia="仿宋" w:cs="仿宋"/>
          <w:bCs/>
          <w:snapToGrid/>
          <w:color w:val="auto"/>
          <w:kern w:val="2"/>
          <w:sz w:val="24"/>
          <w:szCs w:val="24"/>
          <w:highlight w:val="none"/>
          <w:lang w:val="en-US" w:eastAsia="zh-CN"/>
        </w:rPr>
        <w:t>自本公告发布之日起5个工作日。</w:t>
      </w:r>
    </w:p>
    <w:p w14:paraId="623B0EAB">
      <w:pPr>
        <w:keepNext w:val="0"/>
        <w:keepLines w:val="0"/>
        <w:pageBreakBefore w:val="0"/>
        <w:widowControl/>
        <w:kinsoku/>
        <w:wordWrap w:val="0"/>
        <w:overflowPunct/>
        <w:topLinePunct/>
        <w:autoSpaceDE/>
        <w:autoSpaceDN w:val="0"/>
        <w:bidi w:val="0"/>
        <w:adjustRightInd w:val="0"/>
        <w:snapToGrid w:val="0"/>
        <w:spacing w:line="360" w:lineRule="auto"/>
        <w:jc w:val="both"/>
        <w:textAlignment w:val="baseline"/>
        <w:outlineLvl w:val="9"/>
        <w:rPr>
          <w:rFonts w:hint="eastAsia" w:ascii="仿宋" w:hAnsi="仿宋" w:eastAsia="仿宋" w:cs="仿宋"/>
          <w:color w:val="auto"/>
          <w:spacing w:val="0"/>
          <w:position w:val="0"/>
          <w:sz w:val="24"/>
          <w:szCs w:val="24"/>
          <w:highlight w:val="none"/>
          <w:lang w:eastAsia="zh-CN"/>
        </w:rPr>
      </w:pPr>
      <w:bookmarkStart w:id="6" w:name="_Toc18045"/>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6"/>
    </w:p>
    <w:p w14:paraId="6E326634">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1.潜在响应供应商必须在江西省公共资源交易平台（网址：https://www.jxsggzy.cn） 注册并办理江西省 CA 数字证书和电子签章。具体要求详见“江西省公共资源交易平台-服务指南-投标单位”（网址：https://www.jxsggzy.cn）。潜在响应供应商未使用本单位 CA 数字证书在江西省公共资源交易平台下载招标文件的，视为未获取招标文件，不得参加本项目的投标活动；</w:t>
      </w:r>
    </w:p>
    <w:p w14:paraId="11CF41C8">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响应供应商无需到达开标现场，响应供应商应在投标截止时间前1小时内进入江西省公共资源交易平台-不见面开标大厅（具体操作详见《江西省公共资源交易中心不见面开标系统响应供应商操作手册（政府采购）》（网址：https://www.jxsggzy.cn）。注意事项详见招标文件第二章；响应供应商应仔细阅读有关不见面开标的内容，如有疑问请联系新点工作人员，联系电话：0512-58188507；</w:t>
      </w:r>
    </w:p>
    <w:p w14:paraId="59B8E4FC">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7" w:name="_Toc4399"/>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4FAE60C3">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2490F90D">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0615FDD7">
      <w:pPr>
        <w:keepNext w:val="0"/>
        <w:keepLines w:val="0"/>
        <w:pageBreakBefore w:val="0"/>
        <w:widowControl/>
        <w:kinsoku/>
        <w:wordWrap w:val="0"/>
        <w:overflowPunct/>
        <w:topLinePunct/>
        <w:autoSpaceDE/>
        <w:bidi w:val="0"/>
        <w:spacing w:line="360" w:lineRule="auto"/>
        <w:jc w:val="both"/>
        <w:outlineLvl w:val="9"/>
        <w:rPr>
          <w:rFonts w:hint="eastAsia" w:ascii="仿宋" w:hAnsi="仿宋" w:eastAsia="仿宋" w:cs="仿宋"/>
          <w:color w:val="auto"/>
          <w:spacing w:val="0"/>
          <w:position w:val="0"/>
          <w:sz w:val="24"/>
          <w:szCs w:val="24"/>
          <w:highlight w:val="none"/>
          <w:lang w:val="en-US" w:eastAsia="zh-CN"/>
        </w:rPr>
      </w:pP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仿宋" w:hAnsi="仿宋" w:eastAsia="仿宋" w:cs="仿宋"/>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仿宋" w:hAnsi="仿宋" w:eastAsia="仿宋" w:cs="仿宋"/>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7"/>
    </w:p>
    <w:p w14:paraId="616CB7A2">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1.采购人信息</w:t>
      </w:r>
    </w:p>
    <w:p w14:paraId="6C935C51">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i w:val="0"/>
          <w:iCs w:val="0"/>
          <w:snapToGrid/>
          <w:color w:val="auto"/>
          <w:kern w:val="2"/>
          <w:sz w:val="24"/>
          <w:szCs w:val="24"/>
          <w:highlight w:val="none"/>
          <w:lang w:val="en-US" w:eastAsia="zh-CN"/>
        </w:rPr>
      </w:pPr>
      <w:r>
        <w:rPr>
          <w:rFonts w:hint="eastAsia" w:ascii="仿宋" w:hAnsi="仿宋" w:eastAsia="仿宋" w:cs="仿宋"/>
          <w:bCs/>
          <w:i w:val="0"/>
          <w:iCs w:val="0"/>
          <w:snapToGrid/>
          <w:color w:val="auto"/>
          <w:kern w:val="2"/>
          <w:sz w:val="24"/>
          <w:szCs w:val="24"/>
          <w:highlight w:val="none"/>
          <w:lang w:val="en-US" w:eastAsia="zh-CN"/>
        </w:rPr>
        <w:t>名 称：吉安市青原区教育体育局</w:t>
      </w:r>
    </w:p>
    <w:p w14:paraId="35B1A2C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i w:val="0"/>
          <w:iCs w:val="0"/>
          <w:snapToGrid/>
          <w:color w:val="auto"/>
          <w:kern w:val="2"/>
          <w:sz w:val="24"/>
          <w:szCs w:val="24"/>
          <w:highlight w:val="none"/>
          <w:lang w:val="en-US" w:eastAsia="zh-CN"/>
        </w:rPr>
      </w:pPr>
      <w:r>
        <w:rPr>
          <w:rFonts w:hint="eastAsia" w:ascii="仿宋" w:hAnsi="仿宋" w:eastAsia="仿宋" w:cs="仿宋"/>
          <w:bCs/>
          <w:i w:val="0"/>
          <w:iCs w:val="0"/>
          <w:snapToGrid/>
          <w:color w:val="auto"/>
          <w:kern w:val="2"/>
          <w:sz w:val="24"/>
          <w:szCs w:val="24"/>
          <w:highlight w:val="none"/>
          <w:lang w:val="en-US" w:eastAsia="zh-CN"/>
        </w:rPr>
        <w:t>地 址：吉安市青原区教育体育局</w:t>
      </w:r>
    </w:p>
    <w:p w14:paraId="54FDE4DA">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联系人及联系方式：胡女士   18296645496</w:t>
      </w:r>
    </w:p>
    <w:p w14:paraId="2D73DA49">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2.采购代理机构信息</w:t>
      </w:r>
    </w:p>
    <w:p w14:paraId="5E79E960">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称：江西省朝旭企业管理咨询有限公司</w:t>
      </w:r>
    </w:p>
    <w:p w14:paraId="0854E4BB">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址：吉安市吉州区井冈山大道201号三楼</w:t>
      </w:r>
    </w:p>
    <w:p w14:paraId="04EB8BF5">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项目联系人：杨女士</w:t>
      </w:r>
    </w:p>
    <w:p w14:paraId="0A71F325">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  话：0796-8831066</w:t>
      </w:r>
    </w:p>
    <w:p w14:paraId="4BAB12D4">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pPr>
      <w:r>
        <w:rPr>
          <w:rFonts w:hint="eastAsia" w:ascii="仿宋" w:hAnsi="仿宋" w:eastAsia="仿宋" w:cs="仿宋"/>
          <w:bCs/>
          <w:snapToGrid/>
          <w:color w:val="auto"/>
          <w:kern w:val="2"/>
          <w:sz w:val="24"/>
          <w:szCs w:val="24"/>
          <w:highlight w:val="none"/>
          <w:lang w:val="en-US" w:eastAsia="zh-CN"/>
        </w:rPr>
        <w:t>电子函件：</w:t>
      </w:r>
      <w:r>
        <w:rPr>
          <w:rFonts w:hint="eastAsia" w:ascii="仿宋" w:hAnsi="仿宋" w:eastAsia="仿宋" w:cs="仿宋"/>
          <w:bCs/>
          <w:snapToGrid/>
          <w:color w:val="auto"/>
          <w:kern w:val="2"/>
          <w:sz w:val="24"/>
          <w:szCs w:val="24"/>
          <w:highlight w:val="none"/>
          <w:lang w:val="en-US" w:eastAsia="zh-CN"/>
        </w:rPr>
        <w:fldChar w:fldCharType="begin"/>
      </w:r>
      <w:r>
        <w:rPr>
          <w:rFonts w:hint="eastAsia" w:ascii="仿宋" w:hAnsi="仿宋" w:eastAsia="仿宋" w:cs="仿宋"/>
          <w:bCs/>
          <w:snapToGrid/>
          <w:color w:val="auto"/>
          <w:kern w:val="2"/>
          <w:sz w:val="24"/>
          <w:szCs w:val="24"/>
          <w:highlight w:val="none"/>
          <w:lang w:val="en-US" w:eastAsia="zh-CN"/>
        </w:rPr>
        <w:instrText xml:space="preserve"> HYPERLINK "mailto:jxzxqy2019@163.com" </w:instrText>
      </w:r>
      <w:r>
        <w:rPr>
          <w:rFonts w:hint="eastAsia" w:ascii="仿宋" w:hAnsi="仿宋" w:eastAsia="仿宋" w:cs="仿宋"/>
          <w:bCs/>
          <w:snapToGrid/>
          <w:color w:val="auto"/>
          <w:kern w:val="2"/>
          <w:sz w:val="24"/>
          <w:szCs w:val="24"/>
          <w:highlight w:val="none"/>
          <w:lang w:val="en-US" w:eastAsia="zh-CN"/>
        </w:rPr>
        <w:fldChar w:fldCharType="separate"/>
      </w:r>
      <w:r>
        <w:rPr>
          <w:rFonts w:hint="eastAsia" w:ascii="仿宋" w:hAnsi="仿宋" w:eastAsia="仿宋" w:cs="仿宋"/>
          <w:bCs/>
          <w:snapToGrid/>
          <w:color w:val="auto"/>
          <w:kern w:val="2"/>
          <w:sz w:val="24"/>
          <w:szCs w:val="24"/>
          <w:highlight w:val="none"/>
          <w:lang w:val="en-US" w:eastAsia="zh-CN"/>
        </w:rPr>
        <w:t>jxzxqy2019@163.com</w:t>
      </w:r>
      <w:r>
        <w:rPr>
          <w:rFonts w:hint="eastAsia" w:ascii="仿宋" w:hAnsi="仿宋" w:eastAsia="仿宋" w:cs="仿宋"/>
          <w:bCs/>
          <w:snapToGrid/>
          <w:color w:val="auto"/>
          <w:kern w:val="2"/>
          <w:sz w:val="24"/>
          <w:szCs w:val="24"/>
          <w:highlight w:val="none"/>
          <w:lang w:val="en-US" w:eastAsia="zh-CN"/>
        </w:rPr>
        <w:fldChar w:fldCharType="end"/>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8CC200">
    <w:pPr>
      <w:pStyle w:val="2"/>
      <w:rPr>
        <w:rFonts w:hint="eastAsia" w:eastAsia="宋体"/>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4B4562">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68</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144B4562">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68</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5F0FB6"/>
    <w:rsid w:val="315F0F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WPSOffice手动目录 1"/>
    <w:qFormat/>
    <w:uiPriority w:val="0"/>
    <w:pPr>
      <w:ind w:leftChars="0"/>
    </w:pPr>
    <w:rPr>
      <w:rFonts w:ascii="Times New Roman" w:hAnsi="Times New Roman" w:eastAsia="宋体" w:cs="Times New Roman"/>
      <w:sz w:val="20"/>
      <w:szCs w:val="20"/>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2026-05-13T08:47:00Z</dcterms:created>
  <dc:creator>Administrator</dc:creator>
  <cp:lastModifiedBy>Administrator</cp:lastModifiedBy>
  <dcterms:modified xsi:type="dcterms:W3CDTF">2026-05-13T08:47:58Z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13C289D924B54DA780B7D54D4BC8079B_11</vt:lpwstr>
  </property>
  <property fmtid="{D5CDD505-2E9C-101B-9397-08002B2CF9AE}" pid="4" name="KSOTemplateDocerSaveRecord">
    <vt:lpwstr>eyJoZGlkIjoiNjBhN2EyNjhjMDVmYmIzNWE3NTJmZjQwNTg3ZDk0ZDEiLCJ1c2VySWQiOiI4MTU1MDMxNzMifQ==</vt:lpwstr>
  </property>
</Properties>
</file>