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D29830">
      <w:pPr>
        <w:widowControl w:val="0"/>
        <w:spacing w:before="47" w:line="219" w:lineRule="auto"/>
        <w:jc w:val="center"/>
        <w:outlineLvl w:val="1"/>
        <w:rPr>
          <w:rFonts w:ascii="宋体" w:hAnsi="宋体" w:eastAsia="宋体" w:cs="宋体"/>
          <w:color w:val="auto"/>
          <w:sz w:val="24"/>
          <w:szCs w:val="24"/>
        </w:rPr>
      </w:pPr>
      <w:r>
        <w:rPr>
          <w:rFonts w:ascii="宋体" w:hAnsi="宋体" w:eastAsia="宋体" w:cs="宋体"/>
          <w:color w:val="auto"/>
          <w:sz w:val="24"/>
          <w:szCs w:val="24"/>
        </w:rPr>
        <w:t>二、采购需求</w:t>
      </w:r>
    </w:p>
    <w:p w14:paraId="1729DEE5">
      <w:pPr>
        <w:widowControl w:val="0"/>
        <w:spacing w:line="257" w:lineRule="auto"/>
        <w:rPr>
          <w:color w:val="auto"/>
        </w:rPr>
      </w:pPr>
    </w:p>
    <w:p w14:paraId="08D2678F">
      <w:pPr>
        <w:widowControl w:val="0"/>
        <w:spacing w:before="78" w:line="219" w:lineRule="auto"/>
        <w:rPr>
          <w:rFonts w:ascii="宋体" w:hAnsi="宋体" w:eastAsia="宋体" w:cs="宋体"/>
          <w:color w:val="auto"/>
          <w:sz w:val="24"/>
          <w:szCs w:val="24"/>
        </w:rPr>
      </w:pPr>
      <w:r>
        <w:rPr>
          <w:rFonts w:ascii="宋体" w:hAnsi="宋体" w:eastAsia="宋体" w:cs="宋体"/>
          <w:color w:val="auto"/>
          <w:sz w:val="24"/>
          <w:szCs w:val="24"/>
        </w:rPr>
        <w:t>（一） 技术需求</w:t>
      </w:r>
    </w:p>
    <w:p w14:paraId="6611B053">
      <w:pPr>
        <w:widowControl w:val="0"/>
        <w:kinsoku/>
        <w:autoSpaceDE/>
        <w:autoSpaceDN/>
        <w:adjustRightInd/>
        <w:snapToGrid/>
        <w:spacing w:line="360" w:lineRule="auto"/>
        <w:jc w:val="both"/>
        <w:textAlignment w:val="auto"/>
        <w:outlineLvl w:val="2"/>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1、采购清单</w:t>
      </w:r>
    </w:p>
    <w:tbl>
      <w:tblPr>
        <w:tblStyle w:val="3"/>
        <w:tblW w:w="966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2"/>
        <w:gridCol w:w="825"/>
        <w:gridCol w:w="625"/>
        <w:gridCol w:w="862"/>
        <w:gridCol w:w="877"/>
        <w:gridCol w:w="825"/>
        <w:gridCol w:w="1375"/>
        <w:gridCol w:w="2600"/>
        <w:gridCol w:w="450"/>
        <w:gridCol w:w="475"/>
      </w:tblGrid>
      <w:tr w14:paraId="65A09D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jc w:val="center"/>
        </w:trPr>
        <w:tc>
          <w:tcPr>
            <w:tcW w:w="752" w:type="dxa"/>
            <w:noWrap w:val="0"/>
            <w:vAlign w:val="center"/>
          </w:tcPr>
          <w:p w14:paraId="1F09E388">
            <w:pPr>
              <w:widowControl w:val="0"/>
              <w:kinsoku/>
              <w:autoSpaceDE/>
              <w:autoSpaceDN/>
              <w:adjustRightInd/>
              <w:snapToGrid/>
              <w:spacing w:before="177" w:line="220" w:lineRule="auto"/>
              <w:jc w:val="center"/>
              <w:textAlignment w:val="auto"/>
              <w:rPr>
                <w:rFonts w:ascii="宋体" w:hAnsi="宋体" w:eastAsia="宋体" w:cs="宋体"/>
                <w:snapToGrid/>
                <w:color w:val="auto"/>
                <w:sz w:val="24"/>
                <w:szCs w:val="24"/>
                <w:lang w:eastAsia="zh-CN"/>
              </w:rPr>
            </w:pPr>
            <w:r>
              <w:rPr>
                <w:rFonts w:hint="eastAsia" w:ascii="宋体" w:hAnsi="宋体" w:eastAsia="宋体" w:cs="宋体"/>
                <w:snapToGrid/>
                <w:color w:val="auto"/>
                <w:spacing w:val="-3"/>
                <w:sz w:val="24"/>
                <w:szCs w:val="24"/>
                <w:lang w:eastAsia="zh-CN"/>
              </w:rPr>
              <w:t>楼号</w:t>
            </w:r>
          </w:p>
        </w:tc>
        <w:tc>
          <w:tcPr>
            <w:tcW w:w="825" w:type="dxa"/>
            <w:noWrap w:val="0"/>
            <w:vAlign w:val="center"/>
          </w:tcPr>
          <w:p w14:paraId="536DADC2">
            <w:pPr>
              <w:widowControl w:val="0"/>
              <w:kinsoku/>
              <w:autoSpaceDE/>
              <w:autoSpaceDN/>
              <w:adjustRightInd/>
              <w:snapToGrid/>
              <w:spacing w:before="176" w:line="222" w:lineRule="auto"/>
              <w:jc w:val="center"/>
              <w:textAlignment w:val="auto"/>
              <w:rPr>
                <w:rFonts w:ascii="宋体" w:hAnsi="宋体" w:eastAsia="宋体" w:cs="宋体"/>
                <w:snapToGrid/>
                <w:color w:val="auto"/>
                <w:sz w:val="24"/>
                <w:szCs w:val="24"/>
                <w:lang w:eastAsia="zh-CN"/>
              </w:rPr>
            </w:pPr>
            <w:r>
              <w:rPr>
                <w:rFonts w:hint="eastAsia" w:ascii="宋体" w:hAnsi="宋体" w:eastAsia="宋体" w:cs="宋体"/>
                <w:snapToGrid/>
                <w:color w:val="auto"/>
                <w:spacing w:val="-6"/>
                <w:sz w:val="24"/>
                <w:szCs w:val="24"/>
                <w:lang w:eastAsia="zh-CN"/>
              </w:rPr>
              <w:t>梯种</w:t>
            </w:r>
          </w:p>
        </w:tc>
        <w:tc>
          <w:tcPr>
            <w:tcW w:w="625" w:type="dxa"/>
            <w:noWrap w:val="0"/>
            <w:vAlign w:val="center"/>
          </w:tcPr>
          <w:p w14:paraId="546B7D46">
            <w:pPr>
              <w:widowControl w:val="0"/>
              <w:kinsoku/>
              <w:autoSpaceDE/>
              <w:autoSpaceDN/>
              <w:adjustRightInd/>
              <w:snapToGrid/>
              <w:spacing w:before="176" w:line="221" w:lineRule="auto"/>
              <w:jc w:val="center"/>
              <w:textAlignment w:val="auto"/>
              <w:rPr>
                <w:rFonts w:ascii="宋体" w:hAnsi="宋体" w:eastAsia="宋体" w:cs="宋体"/>
                <w:snapToGrid/>
                <w:color w:val="auto"/>
                <w:sz w:val="24"/>
                <w:szCs w:val="24"/>
                <w:lang w:eastAsia="zh-CN"/>
              </w:rPr>
            </w:pPr>
            <w:r>
              <w:rPr>
                <w:rFonts w:hint="eastAsia" w:ascii="宋体" w:hAnsi="宋体" w:eastAsia="宋体" w:cs="宋体"/>
                <w:snapToGrid/>
                <w:color w:val="auto"/>
                <w:spacing w:val="-2"/>
                <w:sz w:val="24"/>
                <w:szCs w:val="24"/>
                <w:lang w:eastAsia="zh-CN"/>
              </w:rPr>
              <w:t>梯号</w:t>
            </w:r>
          </w:p>
        </w:tc>
        <w:tc>
          <w:tcPr>
            <w:tcW w:w="862" w:type="dxa"/>
            <w:noWrap w:val="0"/>
            <w:vAlign w:val="center"/>
          </w:tcPr>
          <w:p w14:paraId="3E2A3327">
            <w:pPr>
              <w:widowControl w:val="0"/>
              <w:kinsoku/>
              <w:autoSpaceDE/>
              <w:autoSpaceDN/>
              <w:adjustRightInd/>
              <w:snapToGrid/>
              <w:spacing w:before="176" w:line="221" w:lineRule="auto"/>
              <w:jc w:val="center"/>
              <w:textAlignment w:val="auto"/>
              <w:rPr>
                <w:rFonts w:ascii="宋体" w:hAnsi="宋体" w:eastAsia="宋体" w:cs="宋体"/>
                <w:snapToGrid/>
                <w:color w:val="auto"/>
                <w:sz w:val="24"/>
                <w:szCs w:val="24"/>
                <w:lang w:eastAsia="zh-CN"/>
              </w:rPr>
            </w:pPr>
            <w:r>
              <w:rPr>
                <w:rFonts w:hint="eastAsia" w:ascii="宋体" w:hAnsi="宋体" w:eastAsia="宋体" w:cs="宋体"/>
                <w:snapToGrid/>
                <w:color w:val="auto"/>
                <w:spacing w:val="-2"/>
                <w:sz w:val="24"/>
                <w:szCs w:val="24"/>
                <w:lang w:eastAsia="zh-CN"/>
              </w:rPr>
              <w:t>载重KG</w:t>
            </w:r>
          </w:p>
        </w:tc>
        <w:tc>
          <w:tcPr>
            <w:tcW w:w="877" w:type="dxa"/>
            <w:noWrap w:val="0"/>
            <w:vAlign w:val="center"/>
          </w:tcPr>
          <w:p w14:paraId="1BA966FF">
            <w:pPr>
              <w:widowControl w:val="0"/>
              <w:kinsoku/>
              <w:autoSpaceDE/>
              <w:autoSpaceDN/>
              <w:adjustRightInd/>
              <w:snapToGrid/>
              <w:spacing w:before="34"/>
              <w:jc w:val="center"/>
              <w:textAlignment w:val="auto"/>
              <w:rPr>
                <w:rFonts w:ascii="宋体" w:hAnsi="宋体" w:eastAsia="宋体" w:cs="宋体"/>
                <w:snapToGrid/>
                <w:color w:val="auto"/>
                <w:sz w:val="24"/>
                <w:szCs w:val="24"/>
                <w:lang w:eastAsia="zh-CN"/>
              </w:rPr>
            </w:pPr>
            <w:r>
              <w:rPr>
                <w:rFonts w:hint="eastAsia" w:ascii="宋体" w:hAnsi="宋体" w:eastAsia="宋体" w:cs="宋体"/>
                <w:snapToGrid/>
                <w:color w:val="auto"/>
                <w:spacing w:val="-3"/>
                <w:sz w:val="24"/>
                <w:szCs w:val="24"/>
                <w:lang w:eastAsia="zh-CN"/>
              </w:rPr>
              <w:t>梯速</w:t>
            </w:r>
            <w:r>
              <w:rPr>
                <w:rFonts w:hint="eastAsia" w:ascii="宋体" w:hAnsi="宋体" w:eastAsia="宋体" w:cs="宋体"/>
                <w:snapToGrid/>
                <w:color w:val="auto"/>
                <w:sz w:val="24"/>
                <w:szCs w:val="24"/>
                <w:lang w:eastAsia="zh-CN"/>
              </w:rPr>
              <w:t>m/s</w:t>
            </w:r>
          </w:p>
        </w:tc>
        <w:tc>
          <w:tcPr>
            <w:tcW w:w="825" w:type="dxa"/>
            <w:noWrap w:val="0"/>
            <w:vAlign w:val="center"/>
          </w:tcPr>
          <w:p w14:paraId="0A93636F">
            <w:pPr>
              <w:widowControl w:val="0"/>
              <w:kinsoku/>
              <w:autoSpaceDE/>
              <w:autoSpaceDN/>
              <w:adjustRightInd/>
              <w:snapToGrid/>
              <w:spacing w:before="177" w:line="220" w:lineRule="auto"/>
              <w:jc w:val="center"/>
              <w:textAlignment w:val="auto"/>
              <w:rPr>
                <w:rFonts w:ascii="宋体" w:hAnsi="宋体" w:eastAsia="宋体" w:cs="宋体"/>
                <w:snapToGrid/>
                <w:color w:val="auto"/>
                <w:sz w:val="24"/>
                <w:szCs w:val="24"/>
                <w:lang w:eastAsia="zh-CN"/>
              </w:rPr>
            </w:pPr>
            <w:r>
              <w:rPr>
                <w:rFonts w:hint="eastAsia" w:ascii="宋体" w:hAnsi="宋体" w:eastAsia="宋体" w:cs="宋体"/>
                <w:snapToGrid/>
                <w:color w:val="auto"/>
                <w:spacing w:val="-3"/>
                <w:sz w:val="24"/>
                <w:szCs w:val="24"/>
                <w:lang w:eastAsia="zh-CN"/>
              </w:rPr>
              <w:t>层站门</w:t>
            </w:r>
          </w:p>
        </w:tc>
        <w:tc>
          <w:tcPr>
            <w:tcW w:w="1375" w:type="dxa"/>
            <w:noWrap w:val="0"/>
            <w:vAlign w:val="center"/>
          </w:tcPr>
          <w:p w14:paraId="7F9B4AD8">
            <w:pPr>
              <w:widowControl w:val="0"/>
              <w:kinsoku/>
              <w:autoSpaceDE/>
              <w:autoSpaceDN/>
              <w:adjustRightInd/>
              <w:snapToGrid/>
              <w:spacing w:before="177" w:line="219" w:lineRule="auto"/>
              <w:jc w:val="center"/>
              <w:textAlignment w:val="auto"/>
              <w:rPr>
                <w:rFonts w:ascii="宋体" w:hAnsi="宋体" w:eastAsia="宋体" w:cs="宋体"/>
                <w:snapToGrid/>
                <w:color w:val="auto"/>
                <w:spacing w:val="-3"/>
                <w:sz w:val="24"/>
                <w:szCs w:val="24"/>
                <w:lang w:eastAsia="zh-CN"/>
              </w:rPr>
            </w:pPr>
            <w:r>
              <w:rPr>
                <w:rFonts w:hint="eastAsia" w:ascii="宋体" w:hAnsi="宋体" w:eastAsia="宋体" w:cs="宋体"/>
                <w:snapToGrid/>
                <w:color w:val="auto"/>
                <w:spacing w:val="-3"/>
                <w:sz w:val="24"/>
                <w:szCs w:val="24"/>
                <w:lang w:eastAsia="zh-CN"/>
              </w:rPr>
              <w:t>井道尺寸（mm）</w:t>
            </w:r>
          </w:p>
        </w:tc>
        <w:tc>
          <w:tcPr>
            <w:tcW w:w="2600" w:type="dxa"/>
            <w:noWrap w:val="0"/>
            <w:vAlign w:val="center"/>
          </w:tcPr>
          <w:p w14:paraId="7623C40F">
            <w:pPr>
              <w:widowControl w:val="0"/>
              <w:kinsoku/>
              <w:autoSpaceDE/>
              <w:autoSpaceDN/>
              <w:adjustRightInd/>
              <w:snapToGrid/>
              <w:spacing w:before="177" w:line="219" w:lineRule="auto"/>
              <w:ind w:left="480"/>
              <w:jc w:val="center"/>
              <w:textAlignment w:val="auto"/>
              <w:rPr>
                <w:rFonts w:ascii="宋体" w:hAnsi="宋体" w:eastAsia="宋体" w:cs="宋体"/>
                <w:snapToGrid/>
                <w:color w:val="auto"/>
                <w:spacing w:val="-3"/>
                <w:sz w:val="24"/>
                <w:szCs w:val="24"/>
                <w:lang w:eastAsia="zh-CN"/>
              </w:rPr>
            </w:pPr>
            <w:r>
              <w:rPr>
                <w:rFonts w:hint="eastAsia" w:ascii="宋体" w:hAnsi="宋体" w:eastAsia="宋体" w:cs="宋体"/>
                <w:snapToGrid/>
                <w:color w:val="auto"/>
                <w:spacing w:val="-3"/>
                <w:sz w:val="24"/>
                <w:szCs w:val="24"/>
                <w:lang w:eastAsia="zh-CN"/>
              </w:rPr>
              <w:t>层高</w:t>
            </w:r>
          </w:p>
        </w:tc>
        <w:tc>
          <w:tcPr>
            <w:tcW w:w="450" w:type="dxa"/>
            <w:noWrap w:val="0"/>
            <w:vAlign w:val="center"/>
          </w:tcPr>
          <w:p w14:paraId="6E84AEDB">
            <w:pPr>
              <w:widowControl w:val="0"/>
              <w:kinsoku/>
              <w:autoSpaceDE/>
              <w:autoSpaceDN/>
              <w:adjustRightInd/>
              <w:snapToGrid/>
              <w:spacing w:before="177" w:line="219" w:lineRule="auto"/>
              <w:jc w:val="center"/>
              <w:textAlignment w:val="auto"/>
              <w:rPr>
                <w:rFonts w:ascii="宋体" w:hAnsi="宋体" w:eastAsia="宋体" w:cs="宋体"/>
                <w:snapToGrid/>
                <w:color w:val="auto"/>
                <w:sz w:val="24"/>
                <w:szCs w:val="24"/>
                <w:lang w:eastAsia="zh-CN"/>
              </w:rPr>
            </w:pPr>
            <w:r>
              <w:rPr>
                <w:rFonts w:hint="eastAsia" w:ascii="宋体" w:hAnsi="宋体" w:eastAsia="宋体" w:cs="宋体"/>
                <w:snapToGrid/>
                <w:color w:val="auto"/>
                <w:spacing w:val="-3"/>
                <w:sz w:val="24"/>
                <w:szCs w:val="24"/>
                <w:lang w:eastAsia="zh-CN"/>
              </w:rPr>
              <w:t>机房</w:t>
            </w:r>
          </w:p>
        </w:tc>
        <w:tc>
          <w:tcPr>
            <w:tcW w:w="475" w:type="dxa"/>
            <w:noWrap w:val="0"/>
            <w:vAlign w:val="center"/>
          </w:tcPr>
          <w:p w14:paraId="2629205D">
            <w:pPr>
              <w:widowControl w:val="0"/>
              <w:kinsoku/>
              <w:autoSpaceDE/>
              <w:autoSpaceDN/>
              <w:adjustRightInd/>
              <w:snapToGrid/>
              <w:spacing w:before="177" w:line="220" w:lineRule="auto"/>
              <w:jc w:val="center"/>
              <w:textAlignment w:val="auto"/>
              <w:rPr>
                <w:rFonts w:ascii="宋体" w:hAnsi="宋体" w:eastAsia="宋体" w:cs="宋体"/>
                <w:snapToGrid/>
                <w:color w:val="auto"/>
                <w:sz w:val="24"/>
                <w:szCs w:val="24"/>
                <w:lang w:eastAsia="zh-CN"/>
              </w:rPr>
            </w:pPr>
            <w:r>
              <w:rPr>
                <w:rFonts w:hint="eastAsia" w:ascii="宋体" w:hAnsi="宋体" w:eastAsia="宋体" w:cs="宋体"/>
                <w:snapToGrid/>
                <w:color w:val="auto"/>
                <w:spacing w:val="-13"/>
                <w:sz w:val="24"/>
                <w:szCs w:val="24"/>
                <w:lang w:eastAsia="zh-CN"/>
              </w:rPr>
              <w:t>台数</w:t>
            </w:r>
          </w:p>
        </w:tc>
      </w:tr>
      <w:tr w14:paraId="2EF92F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jc w:val="center"/>
        </w:trPr>
        <w:tc>
          <w:tcPr>
            <w:tcW w:w="752" w:type="dxa"/>
            <w:noWrap w:val="0"/>
            <w:vAlign w:val="center"/>
          </w:tcPr>
          <w:p w14:paraId="0DADE3AD">
            <w:pPr>
              <w:kinsoku/>
              <w:autoSpaceDE/>
              <w:autoSpaceDN/>
              <w:adjustRightInd/>
              <w:snapToGrid/>
              <w:jc w:val="both"/>
              <w:textAlignment w:val="center"/>
              <w:rPr>
                <w:rFonts w:ascii="宋体" w:hAnsi="宋体" w:eastAsia="宋体" w:cs="宋体"/>
                <w:snapToGrid/>
                <w:color w:val="auto"/>
                <w:spacing w:val="-3"/>
                <w:sz w:val="24"/>
                <w:szCs w:val="24"/>
                <w:lang w:eastAsia="zh-CN"/>
              </w:rPr>
            </w:pPr>
            <w:r>
              <w:rPr>
                <w:rFonts w:hint="eastAsia" w:ascii="宋体" w:hAnsi="宋体" w:eastAsia="宋体" w:cs="宋体"/>
                <w:snapToGrid/>
                <w:color w:val="auto"/>
                <w:sz w:val="24"/>
                <w:szCs w:val="24"/>
                <w:lang w:eastAsia="zh-CN" w:bidi="ar"/>
              </w:rPr>
              <w:t>门诊大楼</w:t>
            </w:r>
          </w:p>
        </w:tc>
        <w:tc>
          <w:tcPr>
            <w:tcW w:w="825" w:type="dxa"/>
            <w:noWrap w:val="0"/>
            <w:vAlign w:val="center"/>
          </w:tcPr>
          <w:p w14:paraId="02C272A1">
            <w:pPr>
              <w:kinsoku/>
              <w:autoSpaceDE/>
              <w:autoSpaceDN/>
              <w:adjustRightInd/>
              <w:snapToGrid/>
              <w:jc w:val="center"/>
              <w:textAlignment w:val="center"/>
              <w:rPr>
                <w:rFonts w:ascii="宋体" w:hAnsi="宋体" w:eastAsia="宋体" w:cs="宋体"/>
                <w:snapToGrid/>
                <w:color w:val="auto"/>
                <w:spacing w:val="-6"/>
                <w:sz w:val="24"/>
                <w:szCs w:val="24"/>
                <w:lang w:eastAsia="zh-CN"/>
              </w:rPr>
            </w:pPr>
            <w:r>
              <w:rPr>
                <w:rFonts w:hint="eastAsia" w:ascii="宋体" w:hAnsi="宋体" w:eastAsia="宋体" w:cs="宋体"/>
                <w:snapToGrid/>
                <w:color w:val="auto"/>
                <w:sz w:val="24"/>
                <w:szCs w:val="24"/>
                <w:lang w:eastAsia="zh-CN"/>
              </w:rPr>
              <w:t>乘客电梯</w:t>
            </w:r>
          </w:p>
        </w:tc>
        <w:tc>
          <w:tcPr>
            <w:tcW w:w="625" w:type="dxa"/>
            <w:noWrap w:val="0"/>
            <w:vAlign w:val="center"/>
          </w:tcPr>
          <w:p w14:paraId="5E855BC8">
            <w:pPr>
              <w:kinsoku/>
              <w:autoSpaceDE/>
              <w:autoSpaceDN/>
              <w:adjustRightInd/>
              <w:snapToGrid/>
              <w:jc w:val="center"/>
              <w:textAlignment w:val="center"/>
              <w:rPr>
                <w:rFonts w:ascii="宋体" w:hAnsi="宋体" w:eastAsia="宋体" w:cs="宋体"/>
                <w:snapToGrid/>
                <w:color w:val="auto"/>
                <w:spacing w:val="-2"/>
                <w:sz w:val="24"/>
                <w:szCs w:val="24"/>
                <w:lang w:eastAsia="zh-CN"/>
              </w:rPr>
            </w:pPr>
            <w:r>
              <w:rPr>
                <w:rFonts w:hint="eastAsia" w:ascii="宋体" w:hAnsi="宋体" w:eastAsia="宋体" w:cs="宋体"/>
                <w:snapToGrid/>
                <w:color w:val="auto"/>
                <w:sz w:val="24"/>
                <w:szCs w:val="24"/>
                <w:lang w:eastAsia="zh-CN" w:bidi="ar"/>
              </w:rPr>
              <w:t>1#</w:t>
            </w:r>
          </w:p>
        </w:tc>
        <w:tc>
          <w:tcPr>
            <w:tcW w:w="862" w:type="dxa"/>
            <w:noWrap w:val="0"/>
            <w:vAlign w:val="center"/>
          </w:tcPr>
          <w:p w14:paraId="3BE8236D">
            <w:pPr>
              <w:kinsoku/>
              <w:autoSpaceDE/>
              <w:autoSpaceDN/>
              <w:adjustRightInd/>
              <w:snapToGrid/>
              <w:jc w:val="center"/>
              <w:textAlignment w:val="center"/>
              <w:rPr>
                <w:rFonts w:ascii="宋体" w:hAnsi="宋体" w:eastAsia="宋体" w:cs="宋体"/>
                <w:snapToGrid/>
                <w:color w:val="auto"/>
                <w:spacing w:val="-2"/>
                <w:sz w:val="24"/>
                <w:szCs w:val="24"/>
                <w:lang w:eastAsia="zh-CN"/>
              </w:rPr>
            </w:pPr>
            <w:r>
              <w:rPr>
                <w:rFonts w:hint="eastAsia" w:ascii="宋体" w:hAnsi="宋体" w:eastAsia="宋体" w:cs="宋体"/>
                <w:snapToGrid/>
                <w:color w:val="auto"/>
                <w:sz w:val="24"/>
                <w:szCs w:val="24"/>
                <w:lang w:eastAsia="zh-CN"/>
              </w:rPr>
              <w:t>1600</w:t>
            </w:r>
          </w:p>
        </w:tc>
        <w:tc>
          <w:tcPr>
            <w:tcW w:w="877" w:type="dxa"/>
            <w:noWrap w:val="0"/>
            <w:vAlign w:val="center"/>
          </w:tcPr>
          <w:p w14:paraId="49C16ABE">
            <w:pPr>
              <w:kinsoku/>
              <w:autoSpaceDE/>
              <w:autoSpaceDN/>
              <w:adjustRightInd/>
              <w:snapToGrid/>
              <w:jc w:val="center"/>
              <w:textAlignment w:val="center"/>
              <w:rPr>
                <w:rFonts w:ascii="宋体" w:hAnsi="宋体" w:eastAsia="宋体" w:cs="宋体"/>
                <w:snapToGrid/>
                <w:color w:val="auto"/>
                <w:sz w:val="24"/>
                <w:szCs w:val="24"/>
                <w:lang w:eastAsia="zh-CN"/>
              </w:rPr>
            </w:pPr>
            <w:r>
              <w:rPr>
                <w:rFonts w:hint="eastAsia" w:ascii="宋体" w:hAnsi="宋体" w:eastAsia="宋体" w:cs="宋体"/>
                <w:snapToGrid/>
                <w:color w:val="auto"/>
                <w:sz w:val="24"/>
                <w:szCs w:val="24"/>
                <w:lang w:eastAsia="zh-CN"/>
              </w:rPr>
              <w:t>1.0</w:t>
            </w:r>
          </w:p>
        </w:tc>
        <w:tc>
          <w:tcPr>
            <w:tcW w:w="825" w:type="dxa"/>
            <w:noWrap w:val="0"/>
            <w:vAlign w:val="center"/>
          </w:tcPr>
          <w:p w14:paraId="221E49E4">
            <w:pPr>
              <w:kinsoku/>
              <w:autoSpaceDE/>
              <w:autoSpaceDN/>
              <w:adjustRightInd/>
              <w:snapToGrid/>
              <w:jc w:val="center"/>
              <w:textAlignment w:val="center"/>
              <w:rPr>
                <w:rFonts w:ascii="宋体" w:hAnsi="宋体" w:eastAsia="宋体" w:cs="宋体"/>
                <w:snapToGrid/>
                <w:color w:val="auto"/>
                <w:spacing w:val="-3"/>
                <w:sz w:val="24"/>
                <w:szCs w:val="24"/>
                <w:lang w:eastAsia="zh-CN"/>
              </w:rPr>
            </w:pPr>
            <w:r>
              <w:rPr>
                <w:rFonts w:hint="eastAsia" w:ascii="宋体" w:hAnsi="宋体" w:eastAsia="宋体" w:cs="宋体"/>
                <w:snapToGrid/>
                <w:color w:val="auto"/>
                <w:sz w:val="24"/>
                <w:szCs w:val="24"/>
                <w:lang w:eastAsia="zh-CN"/>
              </w:rPr>
              <w:t>5/5/5</w:t>
            </w:r>
          </w:p>
        </w:tc>
        <w:tc>
          <w:tcPr>
            <w:tcW w:w="1375" w:type="dxa"/>
            <w:noWrap w:val="0"/>
            <w:vAlign w:val="center"/>
          </w:tcPr>
          <w:p w14:paraId="3413D1DF">
            <w:pPr>
              <w:kinsoku/>
              <w:autoSpaceDE/>
              <w:autoSpaceDN/>
              <w:adjustRightInd/>
              <w:snapToGrid/>
              <w:jc w:val="both"/>
              <w:textAlignment w:val="center"/>
              <w:rPr>
                <w:rFonts w:ascii="宋体" w:hAnsi="宋体" w:eastAsia="宋体" w:cs="宋体"/>
                <w:snapToGrid/>
                <w:color w:val="auto"/>
                <w:spacing w:val="-3"/>
                <w:sz w:val="24"/>
                <w:szCs w:val="24"/>
                <w:lang w:eastAsia="zh-CN"/>
              </w:rPr>
            </w:pPr>
            <w:r>
              <w:rPr>
                <w:rFonts w:hint="eastAsia" w:ascii="宋体" w:hAnsi="宋体" w:eastAsia="宋体" w:cs="宋体"/>
                <w:snapToGrid/>
                <w:color w:val="auto"/>
                <w:sz w:val="24"/>
                <w:szCs w:val="24"/>
                <w:lang w:eastAsia="zh-CN"/>
              </w:rPr>
              <w:t>实际勘测为准</w:t>
            </w:r>
          </w:p>
        </w:tc>
        <w:tc>
          <w:tcPr>
            <w:tcW w:w="2600" w:type="dxa"/>
            <w:noWrap w:val="0"/>
            <w:vAlign w:val="center"/>
          </w:tcPr>
          <w:p w14:paraId="76A8B969">
            <w:pPr>
              <w:kinsoku/>
              <w:autoSpaceDE/>
              <w:autoSpaceDN/>
              <w:adjustRightInd/>
              <w:snapToGrid/>
              <w:textAlignment w:val="center"/>
              <w:rPr>
                <w:rFonts w:ascii="宋体" w:hAnsi="宋体" w:eastAsia="宋体" w:cs="宋体"/>
                <w:snapToGrid/>
                <w:color w:val="auto"/>
                <w:sz w:val="24"/>
                <w:szCs w:val="24"/>
                <w:lang w:eastAsia="zh-CN"/>
              </w:rPr>
            </w:pPr>
            <w:r>
              <w:rPr>
                <w:rFonts w:hint="eastAsia" w:ascii="宋体" w:hAnsi="宋体" w:eastAsia="宋体" w:cs="宋体"/>
                <w:snapToGrid/>
                <w:color w:val="auto"/>
                <w:sz w:val="24"/>
                <w:szCs w:val="24"/>
                <w:lang w:eastAsia="zh-CN"/>
              </w:rPr>
              <w:t>1F-4F 3900mm 5F4500mm</w:t>
            </w:r>
          </w:p>
          <w:p w14:paraId="3EC038DC">
            <w:pPr>
              <w:kinsoku/>
              <w:autoSpaceDE/>
              <w:autoSpaceDN/>
              <w:adjustRightInd/>
              <w:snapToGrid/>
              <w:textAlignment w:val="center"/>
              <w:rPr>
                <w:rFonts w:ascii="宋体" w:hAnsi="宋体" w:eastAsia="宋体" w:cs="宋体"/>
                <w:snapToGrid/>
                <w:color w:val="auto"/>
                <w:spacing w:val="-3"/>
                <w:sz w:val="24"/>
                <w:szCs w:val="24"/>
                <w:lang w:eastAsia="zh-CN"/>
              </w:rPr>
            </w:pPr>
            <w:r>
              <w:rPr>
                <w:rFonts w:hint="eastAsia" w:ascii="宋体" w:hAnsi="宋体" w:eastAsia="宋体" w:cs="宋体"/>
                <w:snapToGrid/>
                <w:color w:val="auto"/>
                <w:sz w:val="24"/>
                <w:szCs w:val="24"/>
                <w:lang w:eastAsia="zh-CN"/>
              </w:rPr>
              <w:t>基坑深度：</w:t>
            </w:r>
            <w:r>
              <w:rPr>
                <w:rFonts w:hint="eastAsia" w:ascii="宋体" w:hAnsi="宋体" w:eastAsia="宋体" w:cs="宋体"/>
                <w:snapToGrid/>
                <w:color w:val="auto"/>
                <w:sz w:val="24"/>
                <w:szCs w:val="24"/>
                <w:lang w:eastAsia="zh-CN" w:bidi="ar"/>
              </w:rPr>
              <w:t>1550mm</w:t>
            </w:r>
          </w:p>
        </w:tc>
        <w:tc>
          <w:tcPr>
            <w:tcW w:w="450" w:type="dxa"/>
            <w:noWrap w:val="0"/>
            <w:vAlign w:val="center"/>
          </w:tcPr>
          <w:p w14:paraId="297328DF">
            <w:pPr>
              <w:kinsoku/>
              <w:autoSpaceDE/>
              <w:autoSpaceDN/>
              <w:adjustRightInd/>
              <w:snapToGrid/>
              <w:jc w:val="both"/>
              <w:textAlignment w:val="center"/>
              <w:rPr>
                <w:rFonts w:ascii="宋体" w:hAnsi="宋体" w:eastAsia="宋体" w:cs="宋体"/>
                <w:snapToGrid/>
                <w:color w:val="auto"/>
                <w:spacing w:val="-3"/>
                <w:sz w:val="24"/>
                <w:szCs w:val="24"/>
                <w:lang w:eastAsia="zh-CN"/>
              </w:rPr>
            </w:pPr>
            <w:r>
              <w:rPr>
                <w:rFonts w:hint="eastAsia" w:ascii="宋体" w:hAnsi="宋体" w:eastAsia="宋体" w:cs="宋体"/>
                <w:snapToGrid/>
                <w:color w:val="auto"/>
                <w:sz w:val="24"/>
                <w:szCs w:val="24"/>
                <w:lang w:eastAsia="zh-CN"/>
              </w:rPr>
              <w:t>有</w:t>
            </w:r>
          </w:p>
        </w:tc>
        <w:tc>
          <w:tcPr>
            <w:tcW w:w="475" w:type="dxa"/>
            <w:noWrap w:val="0"/>
            <w:vAlign w:val="center"/>
          </w:tcPr>
          <w:p w14:paraId="3A41F720">
            <w:pPr>
              <w:kinsoku/>
              <w:autoSpaceDE/>
              <w:autoSpaceDN/>
              <w:adjustRightInd/>
              <w:snapToGrid/>
              <w:jc w:val="center"/>
              <w:textAlignment w:val="center"/>
              <w:rPr>
                <w:rFonts w:ascii="宋体" w:hAnsi="宋体" w:eastAsia="宋体" w:cs="宋体"/>
                <w:snapToGrid/>
                <w:color w:val="auto"/>
                <w:spacing w:val="-13"/>
                <w:sz w:val="24"/>
                <w:szCs w:val="24"/>
                <w:lang w:eastAsia="zh-CN"/>
              </w:rPr>
            </w:pPr>
            <w:r>
              <w:rPr>
                <w:rFonts w:hint="eastAsia" w:ascii="宋体" w:hAnsi="宋体" w:eastAsia="宋体" w:cs="宋体"/>
                <w:snapToGrid/>
                <w:color w:val="auto"/>
                <w:sz w:val="24"/>
                <w:szCs w:val="24"/>
                <w:lang w:eastAsia="zh-CN"/>
              </w:rPr>
              <w:t>1</w:t>
            </w:r>
          </w:p>
        </w:tc>
      </w:tr>
      <w:tr w14:paraId="62EF9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jc w:val="center"/>
        </w:trPr>
        <w:tc>
          <w:tcPr>
            <w:tcW w:w="752" w:type="dxa"/>
            <w:noWrap w:val="0"/>
            <w:vAlign w:val="center"/>
          </w:tcPr>
          <w:p w14:paraId="4CFBBE1A">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住院部</w:t>
            </w:r>
          </w:p>
        </w:tc>
        <w:tc>
          <w:tcPr>
            <w:tcW w:w="825" w:type="dxa"/>
            <w:noWrap w:val="0"/>
            <w:vAlign w:val="center"/>
          </w:tcPr>
          <w:p w14:paraId="3C69126D">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乘客电梯</w:t>
            </w:r>
          </w:p>
        </w:tc>
        <w:tc>
          <w:tcPr>
            <w:tcW w:w="625" w:type="dxa"/>
            <w:noWrap w:val="0"/>
            <w:vAlign w:val="center"/>
          </w:tcPr>
          <w:p w14:paraId="586029DD">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2#</w:t>
            </w:r>
          </w:p>
        </w:tc>
        <w:tc>
          <w:tcPr>
            <w:tcW w:w="862" w:type="dxa"/>
            <w:noWrap w:val="0"/>
            <w:vAlign w:val="center"/>
          </w:tcPr>
          <w:p w14:paraId="2DA0082F">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rPr>
              <w:t>1600</w:t>
            </w:r>
          </w:p>
        </w:tc>
        <w:tc>
          <w:tcPr>
            <w:tcW w:w="877" w:type="dxa"/>
            <w:noWrap w:val="0"/>
            <w:vAlign w:val="center"/>
          </w:tcPr>
          <w:p w14:paraId="0EC9FD28">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rPr>
              <w:t>1.0</w:t>
            </w:r>
          </w:p>
        </w:tc>
        <w:tc>
          <w:tcPr>
            <w:tcW w:w="825" w:type="dxa"/>
            <w:noWrap w:val="0"/>
            <w:vAlign w:val="center"/>
          </w:tcPr>
          <w:p w14:paraId="2E172D28">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4/4/4</w:t>
            </w:r>
          </w:p>
        </w:tc>
        <w:tc>
          <w:tcPr>
            <w:tcW w:w="1375" w:type="dxa"/>
            <w:noWrap w:val="0"/>
            <w:vAlign w:val="center"/>
          </w:tcPr>
          <w:p w14:paraId="3085E9BA">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rPr>
              <w:t>实际勘测为准</w:t>
            </w:r>
          </w:p>
        </w:tc>
        <w:tc>
          <w:tcPr>
            <w:tcW w:w="2600" w:type="dxa"/>
            <w:noWrap w:val="0"/>
            <w:vAlign w:val="center"/>
          </w:tcPr>
          <w:p w14:paraId="27B04136">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1F3300mm\2-3F3900mm 4F4300mm</w:t>
            </w:r>
          </w:p>
          <w:p w14:paraId="0DEC6813">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 xml:space="preserve">基坑深度：1400mm </w:t>
            </w:r>
          </w:p>
        </w:tc>
        <w:tc>
          <w:tcPr>
            <w:tcW w:w="450" w:type="dxa"/>
            <w:noWrap w:val="0"/>
            <w:vAlign w:val="center"/>
          </w:tcPr>
          <w:p w14:paraId="3124D65E">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无</w:t>
            </w:r>
          </w:p>
        </w:tc>
        <w:tc>
          <w:tcPr>
            <w:tcW w:w="475" w:type="dxa"/>
            <w:noWrap w:val="0"/>
            <w:vAlign w:val="center"/>
          </w:tcPr>
          <w:p w14:paraId="131A9707">
            <w:pPr>
              <w:kinsoku/>
              <w:autoSpaceDE/>
              <w:autoSpaceDN/>
              <w:adjustRightInd/>
              <w:snapToGrid/>
              <w:jc w:val="center"/>
              <w:textAlignment w:val="center"/>
              <w:rPr>
                <w:rFonts w:ascii="宋体" w:hAnsi="宋体" w:eastAsia="宋体" w:cs="宋体"/>
                <w:snapToGrid/>
                <w:color w:val="auto"/>
                <w:spacing w:val="-13"/>
                <w:sz w:val="24"/>
                <w:szCs w:val="24"/>
                <w:lang w:eastAsia="zh-CN"/>
              </w:rPr>
            </w:pPr>
            <w:r>
              <w:rPr>
                <w:rFonts w:hint="eastAsia" w:ascii="宋体" w:hAnsi="宋体" w:eastAsia="宋体" w:cs="宋体"/>
                <w:snapToGrid/>
                <w:color w:val="auto"/>
                <w:sz w:val="24"/>
                <w:szCs w:val="24"/>
                <w:lang w:eastAsia="zh-CN"/>
              </w:rPr>
              <w:t>1</w:t>
            </w:r>
          </w:p>
        </w:tc>
      </w:tr>
      <w:tr w14:paraId="6A5691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9" w:hRule="atLeast"/>
          <w:jc w:val="center"/>
        </w:trPr>
        <w:tc>
          <w:tcPr>
            <w:tcW w:w="752" w:type="dxa"/>
            <w:noWrap w:val="0"/>
            <w:vAlign w:val="center"/>
          </w:tcPr>
          <w:p w14:paraId="24691CCB">
            <w:pPr>
              <w:widowControl w:val="0"/>
              <w:kinsoku/>
              <w:autoSpaceDE/>
              <w:autoSpaceDN/>
              <w:adjustRightInd/>
              <w:snapToGrid/>
              <w:spacing w:line="300" w:lineRule="exact"/>
              <w:ind w:left="480"/>
              <w:jc w:val="center"/>
              <w:textAlignment w:val="auto"/>
              <w:rPr>
                <w:rFonts w:ascii="宋体" w:hAnsi="宋体" w:eastAsia="宋体" w:cs="宋体"/>
                <w:snapToGrid/>
                <w:color w:val="auto"/>
                <w:sz w:val="24"/>
                <w:szCs w:val="24"/>
                <w:lang w:eastAsia="zh-CN"/>
              </w:rPr>
            </w:pPr>
          </w:p>
        </w:tc>
        <w:tc>
          <w:tcPr>
            <w:tcW w:w="825" w:type="dxa"/>
            <w:noWrap w:val="0"/>
            <w:vAlign w:val="center"/>
          </w:tcPr>
          <w:p w14:paraId="3725C7BC">
            <w:pPr>
              <w:widowControl w:val="0"/>
              <w:kinsoku/>
              <w:autoSpaceDE/>
              <w:autoSpaceDN/>
              <w:adjustRightInd/>
              <w:snapToGrid/>
              <w:spacing w:line="300" w:lineRule="exact"/>
              <w:ind w:left="480"/>
              <w:jc w:val="center"/>
              <w:textAlignment w:val="auto"/>
              <w:rPr>
                <w:rFonts w:ascii="宋体" w:hAnsi="宋体" w:eastAsia="宋体" w:cs="宋体"/>
                <w:snapToGrid/>
                <w:color w:val="auto"/>
                <w:sz w:val="24"/>
                <w:szCs w:val="24"/>
                <w:lang w:eastAsia="zh-CN"/>
              </w:rPr>
            </w:pPr>
          </w:p>
        </w:tc>
        <w:tc>
          <w:tcPr>
            <w:tcW w:w="7614" w:type="dxa"/>
            <w:gridSpan w:val="7"/>
            <w:noWrap w:val="0"/>
            <w:vAlign w:val="center"/>
          </w:tcPr>
          <w:p w14:paraId="3CB691D1">
            <w:pPr>
              <w:widowControl w:val="0"/>
              <w:kinsoku/>
              <w:autoSpaceDE/>
              <w:autoSpaceDN/>
              <w:adjustRightInd/>
              <w:snapToGrid/>
              <w:spacing w:line="300" w:lineRule="exact"/>
              <w:ind w:left="480"/>
              <w:jc w:val="center"/>
              <w:textAlignment w:val="auto"/>
              <w:rPr>
                <w:rFonts w:ascii="宋体" w:hAnsi="宋体" w:eastAsia="宋体" w:cs="宋体"/>
                <w:snapToGrid/>
                <w:color w:val="auto"/>
                <w:sz w:val="24"/>
                <w:szCs w:val="24"/>
                <w:lang w:eastAsia="zh-CN"/>
              </w:rPr>
            </w:pPr>
            <w:r>
              <w:rPr>
                <w:rFonts w:hint="eastAsia" w:ascii="宋体" w:hAnsi="宋体" w:eastAsia="宋体" w:cs="宋体"/>
                <w:snapToGrid/>
                <w:color w:val="auto"/>
                <w:sz w:val="24"/>
                <w:szCs w:val="24"/>
                <w:lang w:eastAsia="zh-CN"/>
              </w:rPr>
              <w:t>合计</w:t>
            </w:r>
          </w:p>
        </w:tc>
        <w:tc>
          <w:tcPr>
            <w:tcW w:w="475" w:type="dxa"/>
            <w:noWrap w:val="0"/>
            <w:vAlign w:val="center"/>
          </w:tcPr>
          <w:p w14:paraId="055FC4CB">
            <w:pPr>
              <w:kinsoku/>
              <w:autoSpaceDE/>
              <w:autoSpaceDN/>
              <w:adjustRightInd/>
              <w:snapToGrid/>
              <w:jc w:val="center"/>
              <w:textAlignment w:val="center"/>
              <w:rPr>
                <w:rFonts w:ascii="宋体" w:hAnsi="宋体" w:eastAsia="宋体" w:cs="宋体"/>
                <w:snapToGrid/>
                <w:color w:val="auto"/>
                <w:sz w:val="24"/>
                <w:szCs w:val="24"/>
                <w:lang w:eastAsia="zh-CN"/>
              </w:rPr>
            </w:pPr>
            <w:r>
              <w:rPr>
                <w:rFonts w:hint="eastAsia" w:ascii="宋体" w:hAnsi="宋体" w:eastAsia="宋体" w:cs="宋体"/>
                <w:snapToGrid/>
                <w:color w:val="auto"/>
                <w:sz w:val="24"/>
                <w:szCs w:val="24"/>
                <w:lang w:eastAsia="zh-CN" w:bidi="ar"/>
              </w:rPr>
              <w:t>2</w:t>
            </w:r>
          </w:p>
        </w:tc>
      </w:tr>
    </w:tbl>
    <w:p w14:paraId="353362D7">
      <w:pPr>
        <w:widowControl w:val="0"/>
        <w:kinsoku/>
        <w:autoSpaceDE/>
        <w:autoSpaceDN/>
        <w:adjustRightInd/>
        <w:snapToGrid/>
        <w:spacing w:line="360" w:lineRule="auto"/>
        <w:jc w:val="both"/>
        <w:textAlignment w:val="auto"/>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注：（1）上表中井道尺寸并非电梯实际轿厢尺寸，如投标人须了解最准确的轿厢尺寸及提升高度、地坑深度、顶层高度等与项目相关的现场真实参数，可自行前往项目现场踏勘。</w:t>
      </w:r>
    </w:p>
    <w:p w14:paraId="46FB4E92">
      <w:pPr>
        <w:widowControl w:val="0"/>
        <w:kinsoku/>
        <w:autoSpaceDE/>
        <w:autoSpaceDN/>
        <w:adjustRightInd/>
        <w:snapToGrid/>
        <w:spacing w:line="360" w:lineRule="auto"/>
        <w:jc w:val="both"/>
        <w:textAlignment w:val="auto"/>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2）投标人所投产品不得低于上述额定载重量、额定速度（以现场实际参数为准，最大限度地满足上表中的轿厢尺寸）。电梯主参数及轿厢、井道、机房的型式与尺寸需满足国家技术规范有关要求，且轿厢面积按最大设计。</w:t>
      </w:r>
    </w:p>
    <w:p w14:paraId="4BBFE67B">
      <w:pPr>
        <w:widowControl w:val="0"/>
        <w:kinsoku/>
        <w:autoSpaceDE/>
        <w:autoSpaceDN/>
        <w:adjustRightInd/>
        <w:snapToGrid/>
        <w:spacing w:line="360" w:lineRule="auto"/>
        <w:jc w:val="both"/>
        <w:textAlignment w:val="auto"/>
        <w:outlineLvl w:val="2"/>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2、设备功能一览表</w:t>
      </w:r>
    </w:p>
    <w:tbl>
      <w:tblPr>
        <w:tblStyle w:val="3"/>
        <w:tblpPr w:leftFromText="180" w:rightFromText="180" w:vertAnchor="text" w:horzAnchor="page" w:tblpX="930" w:tblpY="307"/>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082"/>
        <w:gridCol w:w="6426"/>
      </w:tblGrid>
      <w:tr w14:paraId="337FB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1129" w:type="dxa"/>
            <w:noWrap w:val="0"/>
            <w:vAlign w:val="center"/>
          </w:tcPr>
          <w:p w14:paraId="5398E5BD">
            <w:pPr>
              <w:widowControl w:val="0"/>
              <w:kinsoku/>
              <w:autoSpaceDE/>
              <w:autoSpaceDN/>
              <w:adjustRightInd/>
              <w:snapToGrid/>
              <w:spacing w:line="360" w:lineRule="auto"/>
              <w:jc w:val="center"/>
              <w:textAlignment w:val="auto"/>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序号</w:t>
            </w:r>
          </w:p>
        </w:tc>
        <w:tc>
          <w:tcPr>
            <w:tcW w:w="2082" w:type="dxa"/>
            <w:noWrap w:val="0"/>
            <w:vAlign w:val="center"/>
          </w:tcPr>
          <w:p w14:paraId="5228BA24">
            <w:pPr>
              <w:widowControl w:val="0"/>
              <w:kinsoku/>
              <w:autoSpaceDE/>
              <w:autoSpaceDN/>
              <w:adjustRightInd/>
              <w:snapToGrid/>
              <w:spacing w:line="360" w:lineRule="auto"/>
              <w:jc w:val="center"/>
              <w:textAlignment w:val="auto"/>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功能名称</w:t>
            </w:r>
          </w:p>
        </w:tc>
        <w:tc>
          <w:tcPr>
            <w:tcW w:w="6426" w:type="dxa"/>
            <w:noWrap w:val="0"/>
            <w:vAlign w:val="center"/>
          </w:tcPr>
          <w:p w14:paraId="5B0CA6AE">
            <w:pPr>
              <w:widowControl w:val="0"/>
              <w:kinsoku/>
              <w:autoSpaceDE/>
              <w:autoSpaceDN/>
              <w:adjustRightInd/>
              <w:snapToGrid/>
              <w:spacing w:line="360" w:lineRule="auto"/>
              <w:ind w:left="1047" w:hanging="567"/>
              <w:jc w:val="center"/>
              <w:textAlignment w:val="auto"/>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功能说明</w:t>
            </w:r>
          </w:p>
        </w:tc>
      </w:tr>
      <w:tr w14:paraId="4D220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7517925B">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w:t>
            </w:r>
          </w:p>
        </w:tc>
        <w:tc>
          <w:tcPr>
            <w:tcW w:w="2082" w:type="dxa"/>
            <w:noWrap w:val="0"/>
            <w:vAlign w:val="center"/>
          </w:tcPr>
          <w:p w14:paraId="58970AEE">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全集选</w:t>
            </w:r>
          </w:p>
        </w:tc>
        <w:tc>
          <w:tcPr>
            <w:tcW w:w="6426" w:type="dxa"/>
            <w:noWrap w:val="0"/>
            <w:vAlign w:val="center"/>
          </w:tcPr>
          <w:p w14:paraId="1890077A">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电梯对大楼内上、下召唤信号、轿内选层指令及各种信号进行综合分析判断后，将自动优选与电梯运行方向一致的信号进行依次应答。</w:t>
            </w:r>
          </w:p>
        </w:tc>
      </w:tr>
      <w:tr w14:paraId="6D187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34813271">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w:t>
            </w:r>
          </w:p>
        </w:tc>
        <w:tc>
          <w:tcPr>
            <w:tcW w:w="2082" w:type="dxa"/>
            <w:noWrap w:val="0"/>
            <w:vAlign w:val="center"/>
          </w:tcPr>
          <w:p w14:paraId="1BB5FDA8">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错误操作保护</w:t>
            </w:r>
          </w:p>
        </w:tc>
        <w:tc>
          <w:tcPr>
            <w:tcW w:w="6426" w:type="dxa"/>
            <w:noWrap w:val="0"/>
            <w:vAlign w:val="center"/>
          </w:tcPr>
          <w:p w14:paraId="5CF6FE4B">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当轿顶作业人员未按照标准出轿顶程序操作时，系统检测该异常，并限制电梯正常运行，以保护轿顶作业人员。</w:t>
            </w:r>
          </w:p>
        </w:tc>
      </w:tr>
      <w:tr w14:paraId="0BD65F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32A0D9B5">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w:t>
            </w:r>
          </w:p>
        </w:tc>
        <w:tc>
          <w:tcPr>
            <w:tcW w:w="2082" w:type="dxa"/>
            <w:noWrap w:val="0"/>
            <w:vAlign w:val="center"/>
          </w:tcPr>
          <w:p w14:paraId="6FAC3041">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井道进入检测</w:t>
            </w:r>
          </w:p>
        </w:tc>
        <w:tc>
          <w:tcPr>
            <w:tcW w:w="6426" w:type="dxa"/>
            <w:noWrap w:val="0"/>
            <w:vAlign w:val="center"/>
          </w:tcPr>
          <w:p w14:paraId="139237F3">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电梯在正常状态下，如厅门锁异常断开超过4s，系统检测该异常，并限制电梯正常运行，以防对进入井道人员产生伤害。</w:t>
            </w:r>
          </w:p>
        </w:tc>
      </w:tr>
      <w:tr w14:paraId="4A49D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2A999699">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w:t>
            </w:r>
          </w:p>
        </w:tc>
        <w:tc>
          <w:tcPr>
            <w:tcW w:w="2082" w:type="dxa"/>
            <w:noWrap w:val="0"/>
            <w:vAlign w:val="center"/>
          </w:tcPr>
          <w:p w14:paraId="69C4DC7E">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门锁短接检测</w:t>
            </w:r>
          </w:p>
        </w:tc>
        <w:tc>
          <w:tcPr>
            <w:tcW w:w="6426" w:type="dxa"/>
            <w:noWrap w:val="0"/>
            <w:vAlign w:val="center"/>
          </w:tcPr>
          <w:p w14:paraId="6072B0AC">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当电梯厅门门锁、厅轿门锁触点因异常原因导致短接的情况下，系统检测该异常，并限制电梯正常运行，以保护乘客安全。</w:t>
            </w:r>
          </w:p>
        </w:tc>
      </w:tr>
      <w:tr w14:paraId="35BB1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731E4A47">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5</w:t>
            </w:r>
          </w:p>
        </w:tc>
        <w:tc>
          <w:tcPr>
            <w:tcW w:w="2082" w:type="dxa"/>
            <w:noWrap w:val="0"/>
            <w:vAlign w:val="center"/>
          </w:tcPr>
          <w:p w14:paraId="063F436E">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抱闸力矩自动检测</w:t>
            </w:r>
          </w:p>
        </w:tc>
        <w:tc>
          <w:tcPr>
            <w:tcW w:w="6426" w:type="dxa"/>
            <w:noWrap w:val="0"/>
            <w:vAlign w:val="center"/>
          </w:tcPr>
          <w:p w14:paraId="04C5D6CC">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通过参数设置，可以对抱闸力矩进行自动检测，以确认抱闸制动力矩正常。该测试可手动操作，亦可以定时触发</w:t>
            </w:r>
          </w:p>
        </w:tc>
      </w:tr>
      <w:tr w14:paraId="37140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75AEEF86">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6</w:t>
            </w:r>
          </w:p>
        </w:tc>
        <w:tc>
          <w:tcPr>
            <w:tcW w:w="2082" w:type="dxa"/>
            <w:noWrap w:val="0"/>
            <w:vAlign w:val="center"/>
          </w:tcPr>
          <w:p w14:paraId="5252FD50">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停梯开关</w:t>
            </w:r>
          </w:p>
        </w:tc>
        <w:tc>
          <w:tcPr>
            <w:tcW w:w="6426" w:type="dxa"/>
            <w:noWrap w:val="0"/>
            <w:vAlign w:val="center"/>
          </w:tcPr>
          <w:p w14:paraId="4F028A15">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即驻停开关，当设置在指定楼层的钥匙开关动作后，电梯将在应答完所有指令后返回指定层楼，同时将启用节能模式，切断轿内照明并点亮厅外停梯开关指示灯。停梯开关有两个开关方向，一旦开关被切换会出现：</w:t>
            </w:r>
          </w:p>
        </w:tc>
      </w:tr>
      <w:tr w14:paraId="1325B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1029A0CF">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7</w:t>
            </w:r>
          </w:p>
        </w:tc>
        <w:tc>
          <w:tcPr>
            <w:tcW w:w="2082" w:type="dxa"/>
            <w:noWrap w:val="0"/>
            <w:vAlign w:val="center"/>
          </w:tcPr>
          <w:p w14:paraId="2105DD7A">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厅外指示选择</w:t>
            </w:r>
          </w:p>
        </w:tc>
        <w:tc>
          <w:tcPr>
            <w:tcW w:w="6426" w:type="dxa"/>
            <w:noWrap w:val="0"/>
            <w:vAlign w:val="center"/>
          </w:tcPr>
          <w:p w14:paraId="3A981D27">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通过参数设置，可以在某种模式下，实现是否需要厅外楼层显示。</w:t>
            </w:r>
          </w:p>
        </w:tc>
      </w:tr>
      <w:tr w14:paraId="74612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60D85E90">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8</w:t>
            </w:r>
          </w:p>
        </w:tc>
        <w:tc>
          <w:tcPr>
            <w:tcW w:w="2082" w:type="dxa"/>
            <w:noWrap w:val="0"/>
            <w:vAlign w:val="center"/>
          </w:tcPr>
          <w:p w14:paraId="29B4A6F1">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关门模式选择</w:t>
            </w:r>
          </w:p>
        </w:tc>
        <w:tc>
          <w:tcPr>
            <w:tcW w:w="6426" w:type="dxa"/>
            <w:noWrap w:val="0"/>
            <w:vAlign w:val="center"/>
          </w:tcPr>
          <w:p w14:paraId="163BD4D9">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通过参数设置，可以选择不同的关门按钮响应模式。</w:t>
            </w:r>
          </w:p>
        </w:tc>
      </w:tr>
      <w:tr w14:paraId="7DFC7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34269236">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9</w:t>
            </w:r>
          </w:p>
        </w:tc>
        <w:tc>
          <w:tcPr>
            <w:tcW w:w="2082" w:type="dxa"/>
            <w:noWrap w:val="0"/>
            <w:vAlign w:val="center"/>
          </w:tcPr>
          <w:p w14:paraId="178535A8">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厅外指令取消功能</w:t>
            </w:r>
          </w:p>
        </w:tc>
        <w:tc>
          <w:tcPr>
            <w:tcW w:w="6426" w:type="dxa"/>
            <w:noWrap w:val="0"/>
            <w:vAlign w:val="center"/>
          </w:tcPr>
          <w:p w14:paraId="792FB4FE">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通过参数设置，可以实现厅外错误召唤指令的取消。</w:t>
            </w:r>
          </w:p>
        </w:tc>
      </w:tr>
      <w:tr w14:paraId="214E9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03DA9EA9">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10</w:t>
            </w:r>
          </w:p>
        </w:tc>
        <w:tc>
          <w:tcPr>
            <w:tcW w:w="2082" w:type="dxa"/>
            <w:noWrap w:val="0"/>
            <w:vAlign w:val="center"/>
          </w:tcPr>
          <w:p w14:paraId="12851D3C">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门机慢速关门功能</w:t>
            </w:r>
          </w:p>
        </w:tc>
        <w:tc>
          <w:tcPr>
            <w:tcW w:w="6426" w:type="dxa"/>
            <w:noWrap w:val="0"/>
            <w:vAlign w:val="center"/>
          </w:tcPr>
          <w:p w14:paraId="22649278">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通过参数设置，可以实现电梯在有指令需要响应的情况下，如光幕持续动作，慢速关门功能。</w:t>
            </w:r>
          </w:p>
        </w:tc>
      </w:tr>
      <w:tr w14:paraId="596FD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56BC3F4D">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11</w:t>
            </w:r>
          </w:p>
        </w:tc>
        <w:tc>
          <w:tcPr>
            <w:tcW w:w="2082" w:type="dxa"/>
            <w:noWrap w:val="0"/>
            <w:vAlign w:val="center"/>
          </w:tcPr>
          <w:p w14:paraId="60444BD7">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封楼层功能</w:t>
            </w:r>
          </w:p>
        </w:tc>
        <w:tc>
          <w:tcPr>
            <w:tcW w:w="6426" w:type="dxa"/>
            <w:noWrap w:val="0"/>
            <w:vAlign w:val="center"/>
          </w:tcPr>
          <w:p w14:paraId="4CEF550C">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通过参数设置，可以实现预设楼层厅外召唤/轿内登记指令无效的功能。该功能可以定时生效，并且可以选择单独取消厅外召唤指令，单独取消轿内登记指令或者同时取消厅外/轿内指令</w:t>
            </w:r>
          </w:p>
        </w:tc>
      </w:tr>
      <w:tr w14:paraId="48136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4869186F">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12</w:t>
            </w:r>
          </w:p>
        </w:tc>
        <w:tc>
          <w:tcPr>
            <w:tcW w:w="2082" w:type="dxa"/>
            <w:noWrap w:val="0"/>
            <w:vAlign w:val="center"/>
          </w:tcPr>
          <w:p w14:paraId="654981CD">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指定楼层等待</w:t>
            </w:r>
          </w:p>
        </w:tc>
        <w:tc>
          <w:tcPr>
            <w:tcW w:w="6426" w:type="dxa"/>
            <w:noWrap w:val="0"/>
            <w:vAlign w:val="center"/>
          </w:tcPr>
          <w:p w14:paraId="2B128164">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为指定楼层等人流量大的楼层分配较长的开门时间，以满足额外的客流量。</w:t>
            </w:r>
          </w:p>
        </w:tc>
      </w:tr>
      <w:tr w14:paraId="225D3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6979CEE0">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13</w:t>
            </w:r>
          </w:p>
        </w:tc>
        <w:tc>
          <w:tcPr>
            <w:tcW w:w="2082" w:type="dxa"/>
            <w:noWrap w:val="0"/>
            <w:vAlign w:val="center"/>
          </w:tcPr>
          <w:p w14:paraId="2EACE5E9">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关门等待取消</w:t>
            </w:r>
          </w:p>
        </w:tc>
        <w:tc>
          <w:tcPr>
            <w:tcW w:w="6426" w:type="dxa"/>
            <w:noWrap w:val="0"/>
            <w:vAlign w:val="center"/>
          </w:tcPr>
          <w:p w14:paraId="3D333070">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自动状态下，在门保持全开状态并且处于开门延时阶段时，按关门按钮可立即执行提前关门。</w:t>
            </w:r>
          </w:p>
        </w:tc>
      </w:tr>
      <w:tr w14:paraId="1629C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3E9FCF66">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14</w:t>
            </w:r>
          </w:p>
        </w:tc>
        <w:tc>
          <w:tcPr>
            <w:tcW w:w="2082" w:type="dxa"/>
            <w:noWrap w:val="0"/>
            <w:vAlign w:val="center"/>
          </w:tcPr>
          <w:p w14:paraId="0A392408">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反向指令自动消除</w:t>
            </w:r>
          </w:p>
        </w:tc>
        <w:tc>
          <w:tcPr>
            <w:tcW w:w="6426" w:type="dxa"/>
            <w:noWrap w:val="0"/>
            <w:vAlign w:val="center"/>
          </w:tcPr>
          <w:p w14:paraId="5BD9F953">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在向上或向下运行时，对于与当前运行方向相反的指令可自动消除。</w:t>
            </w:r>
          </w:p>
        </w:tc>
      </w:tr>
      <w:tr w14:paraId="12425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34E96406">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15</w:t>
            </w:r>
          </w:p>
        </w:tc>
        <w:tc>
          <w:tcPr>
            <w:tcW w:w="2082" w:type="dxa"/>
            <w:noWrap w:val="0"/>
            <w:vAlign w:val="center"/>
          </w:tcPr>
          <w:p w14:paraId="5D55D40F">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轿厢关门延迟保护</w:t>
            </w:r>
          </w:p>
        </w:tc>
        <w:tc>
          <w:tcPr>
            <w:tcW w:w="6426" w:type="dxa"/>
            <w:noWrap w:val="0"/>
            <w:vAlign w:val="center"/>
          </w:tcPr>
          <w:p w14:paraId="1842AC68">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当电梯开门时间由于外呼按钮被按住或其他因素而超过预定时间时，电梯会强迫关门来应答其他信号。当电梯强迫关门重复几次仍未关紧，电梯将停止运转并开门，内外呼信号会自动取消。当电梯监测到门已正常关闭时，电梯恢复正常操作。</w:t>
            </w:r>
          </w:p>
        </w:tc>
      </w:tr>
      <w:tr w14:paraId="4A8EF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2A349F25">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16</w:t>
            </w:r>
          </w:p>
        </w:tc>
        <w:tc>
          <w:tcPr>
            <w:tcW w:w="2082" w:type="dxa"/>
            <w:noWrap w:val="0"/>
            <w:vAlign w:val="center"/>
          </w:tcPr>
          <w:p w14:paraId="36BE7272">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轿厢开门保护</w:t>
            </w:r>
          </w:p>
        </w:tc>
        <w:tc>
          <w:tcPr>
            <w:tcW w:w="6426" w:type="dxa"/>
            <w:noWrap w:val="0"/>
            <w:vAlign w:val="center"/>
          </w:tcPr>
          <w:p w14:paraId="1F72101E">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当电梯由于机械卡阻等原因导致不能开门到位超过预定时间（默认为20秒）时在反复尝试了3次开门动作后，轿厢门会关闭，将在下一层停止并开门未被响应的命令会被清除</w:t>
            </w:r>
          </w:p>
        </w:tc>
      </w:tr>
      <w:tr w14:paraId="34D3A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5C3299EF">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17</w:t>
            </w:r>
          </w:p>
        </w:tc>
        <w:tc>
          <w:tcPr>
            <w:tcW w:w="2082" w:type="dxa"/>
            <w:noWrap w:val="0"/>
            <w:vAlign w:val="center"/>
          </w:tcPr>
          <w:p w14:paraId="1F9A8627">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轿厢关门保护</w:t>
            </w:r>
          </w:p>
        </w:tc>
        <w:tc>
          <w:tcPr>
            <w:tcW w:w="6426" w:type="dxa"/>
            <w:noWrap w:val="0"/>
            <w:vAlign w:val="center"/>
          </w:tcPr>
          <w:p w14:paraId="68E09429">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当电梯由于机械卡阻等原因导致不能关门到位超过预定时间（默认为20秒）时，电梯重复三次关门后，未侦测到门关闭信号，电梯会自动进入保护状态，当电梯监测到门已正常关闭时，电梯将恢复正常操作。电梯会出现下列动作；</w:t>
            </w:r>
          </w:p>
        </w:tc>
      </w:tr>
      <w:tr w14:paraId="1D4A3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21BD9E6C">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18</w:t>
            </w:r>
          </w:p>
        </w:tc>
        <w:tc>
          <w:tcPr>
            <w:tcW w:w="2082" w:type="dxa"/>
            <w:noWrap w:val="0"/>
            <w:vAlign w:val="center"/>
          </w:tcPr>
          <w:p w14:paraId="34599FD2">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满载直驶</w:t>
            </w:r>
          </w:p>
        </w:tc>
        <w:tc>
          <w:tcPr>
            <w:tcW w:w="6426" w:type="dxa"/>
            <w:noWrap w:val="0"/>
            <w:vAlign w:val="center"/>
          </w:tcPr>
          <w:p w14:paraId="2AB9126E">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当轿厢内载荷达到满载预设值（乘客装载值被设置为80%额定的载荷）时，即进入满载直驶状态，电梯将不再应答厅外召唤而直接响应轿内指令直达指定楼层。</w:t>
            </w:r>
          </w:p>
        </w:tc>
      </w:tr>
      <w:tr w14:paraId="21603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3D194150">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19</w:t>
            </w:r>
          </w:p>
        </w:tc>
        <w:tc>
          <w:tcPr>
            <w:tcW w:w="2082" w:type="dxa"/>
            <w:noWrap w:val="0"/>
            <w:vAlign w:val="center"/>
          </w:tcPr>
          <w:p w14:paraId="4D783A62">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自动泊梯</w:t>
            </w:r>
          </w:p>
        </w:tc>
        <w:tc>
          <w:tcPr>
            <w:tcW w:w="6426" w:type="dxa"/>
            <w:noWrap w:val="0"/>
            <w:vAlign w:val="center"/>
          </w:tcPr>
          <w:p w14:paraId="0371A1A8">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群控组内电梯在大楼内所有电梯均处于空闲状态时，会自动停泊于大楼的不同层楼以提高电梯组对召唤的响应速度。</w:t>
            </w:r>
          </w:p>
        </w:tc>
      </w:tr>
      <w:tr w14:paraId="64DBF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55A643ED">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20</w:t>
            </w:r>
          </w:p>
        </w:tc>
        <w:tc>
          <w:tcPr>
            <w:tcW w:w="2082" w:type="dxa"/>
            <w:noWrap w:val="0"/>
            <w:vAlign w:val="center"/>
          </w:tcPr>
          <w:p w14:paraId="2B36ABA1">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防捣乱保护</w:t>
            </w:r>
          </w:p>
        </w:tc>
        <w:tc>
          <w:tcPr>
            <w:tcW w:w="6426" w:type="dxa"/>
            <w:noWrap w:val="0"/>
            <w:vAlign w:val="center"/>
          </w:tcPr>
          <w:p w14:paraId="6BFDB319">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为避免空梯运行电脑通过对载重量进行逻辑判断把不正常的指令作消号处理，此功能可避免恶作剧和错误的轿内指令。</w:t>
            </w:r>
          </w:p>
        </w:tc>
      </w:tr>
      <w:tr w14:paraId="10D5A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3F2AB7EB">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21</w:t>
            </w:r>
          </w:p>
        </w:tc>
        <w:tc>
          <w:tcPr>
            <w:tcW w:w="2082" w:type="dxa"/>
            <w:noWrap w:val="0"/>
            <w:vAlign w:val="center"/>
          </w:tcPr>
          <w:p w14:paraId="04BE563E">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自动返回基站</w:t>
            </w:r>
          </w:p>
        </w:tc>
        <w:tc>
          <w:tcPr>
            <w:tcW w:w="6426" w:type="dxa"/>
            <w:noWrap w:val="0"/>
            <w:vAlign w:val="center"/>
          </w:tcPr>
          <w:p w14:paraId="3D6584D5">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单台电梯时，可根据大楼实际需求设定运行基站，在预定时间内如果没有召唤或指令登记，轿厢将自动返回基站，关门待机，基站一般设在交通流量大的楼层或一楼大厅。</w:t>
            </w:r>
          </w:p>
        </w:tc>
      </w:tr>
      <w:tr w14:paraId="44435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2FA28698">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22</w:t>
            </w:r>
          </w:p>
        </w:tc>
        <w:tc>
          <w:tcPr>
            <w:tcW w:w="2082" w:type="dxa"/>
            <w:noWrap w:val="0"/>
            <w:vAlign w:val="center"/>
          </w:tcPr>
          <w:p w14:paraId="5DC42E95">
            <w:pPr>
              <w:widowControl w:val="0"/>
              <w:kinsoku/>
              <w:autoSpaceDE/>
              <w:autoSpaceDN/>
              <w:adjustRightInd/>
              <w:snapToGrid/>
              <w:spacing w:line="360" w:lineRule="auto"/>
              <w:ind w:left="48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轿顶检修</w:t>
            </w:r>
          </w:p>
        </w:tc>
        <w:tc>
          <w:tcPr>
            <w:tcW w:w="6426" w:type="dxa"/>
            <w:noWrap w:val="0"/>
            <w:vAlign w:val="center"/>
          </w:tcPr>
          <w:p w14:paraId="520BD6EB">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电梯轿顶设有检修箱，使检修维护更为安全快捷。</w:t>
            </w:r>
          </w:p>
        </w:tc>
      </w:tr>
      <w:tr w14:paraId="35191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45655FCB">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23</w:t>
            </w:r>
          </w:p>
        </w:tc>
        <w:tc>
          <w:tcPr>
            <w:tcW w:w="2082" w:type="dxa"/>
            <w:noWrap w:val="0"/>
            <w:vAlign w:val="center"/>
          </w:tcPr>
          <w:p w14:paraId="080BF205">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自动再平层功能</w:t>
            </w:r>
          </w:p>
        </w:tc>
        <w:tc>
          <w:tcPr>
            <w:tcW w:w="6426" w:type="dxa"/>
            <w:noWrap w:val="0"/>
            <w:vAlign w:val="center"/>
          </w:tcPr>
          <w:p w14:paraId="18CA5051">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当由于进出乘客等原因引起负载变化使轿厢地坎与层门地坎的误差超过一定值时，电梯将会自动执行再平层，使轿厢回到准确平层位置。</w:t>
            </w:r>
          </w:p>
        </w:tc>
      </w:tr>
      <w:tr w14:paraId="7D53B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34E95749">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24</w:t>
            </w:r>
          </w:p>
        </w:tc>
        <w:tc>
          <w:tcPr>
            <w:tcW w:w="2082" w:type="dxa"/>
            <w:noWrap w:val="0"/>
            <w:vAlign w:val="center"/>
          </w:tcPr>
          <w:p w14:paraId="69BBF12B">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机房紧急电动运行</w:t>
            </w:r>
          </w:p>
        </w:tc>
        <w:tc>
          <w:tcPr>
            <w:tcW w:w="6426" w:type="dxa"/>
            <w:noWrap w:val="0"/>
            <w:vAlign w:val="center"/>
          </w:tcPr>
          <w:p w14:paraId="4D5CD09E">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电梯机房的控制柜内设有紧急电动操作装置，可用紧急情况时的救援。</w:t>
            </w:r>
          </w:p>
        </w:tc>
      </w:tr>
      <w:tr w14:paraId="063B3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5889D889">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25</w:t>
            </w:r>
          </w:p>
        </w:tc>
        <w:tc>
          <w:tcPr>
            <w:tcW w:w="2082" w:type="dxa"/>
            <w:noWrap w:val="0"/>
            <w:vAlign w:val="center"/>
          </w:tcPr>
          <w:p w14:paraId="2DCE0D06">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轿内照明控制</w:t>
            </w:r>
          </w:p>
        </w:tc>
        <w:tc>
          <w:tcPr>
            <w:tcW w:w="6426" w:type="dxa"/>
            <w:noWrap w:val="0"/>
            <w:vAlign w:val="center"/>
          </w:tcPr>
          <w:p w14:paraId="78BB1CE0">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在没有接到任何操作指令的情况下，电梯在关门后的预定时间内，将进入节能模式，关闭轿内的照明。</w:t>
            </w:r>
          </w:p>
        </w:tc>
      </w:tr>
      <w:tr w14:paraId="46DB1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6F6E49B0">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26</w:t>
            </w:r>
          </w:p>
        </w:tc>
        <w:tc>
          <w:tcPr>
            <w:tcW w:w="2082" w:type="dxa"/>
            <w:noWrap w:val="0"/>
            <w:vAlign w:val="center"/>
          </w:tcPr>
          <w:p w14:paraId="1861E958">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超载保护</w:t>
            </w:r>
          </w:p>
        </w:tc>
        <w:tc>
          <w:tcPr>
            <w:tcW w:w="6426" w:type="dxa"/>
            <w:noWrap w:val="0"/>
            <w:vAlign w:val="center"/>
          </w:tcPr>
          <w:p w14:paraId="2FEEB886">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当轿厢的载重量超出额定允许的载重时，超载蜂鸣器会鸣响以提示超载。此时显示超载，轿厢不关门，电梯不能起动。</w:t>
            </w:r>
          </w:p>
        </w:tc>
      </w:tr>
      <w:tr w14:paraId="06D41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31E721A2">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27</w:t>
            </w:r>
          </w:p>
        </w:tc>
        <w:tc>
          <w:tcPr>
            <w:tcW w:w="2082" w:type="dxa"/>
            <w:noWrap w:val="0"/>
            <w:vAlign w:val="center"/>
          </w:tcPr>
          <w:p w14:paraId="043E219C">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开、关门按钮</w:t>
            </w:r>
          </w:p>
        </w:tc>
        <w:tc>
          <w:tcPr>
            <w:tcW w:w="6426" w:type="dxa"/>
            <w:noWrap w:val="0"/>
            <w:vAlign w:val="center"/>
          </w:tcPr>
          <w:p w14:paraId="6F69AED8">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电梯轿厢操纵面板上设有控制开关门的微动按钮，以方便乘客根据需要灵活掌握开关门的时间。</w:t>
            </w:r>
          </w:p>
        </w:tc>
      </w:tr>
      <w:tr w14:paraId="04345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717C61BB">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28</w:t>
            </w:r>
          </w:p>
        </w:tc>
        <w:tc>
          <w:tcPr>
            <w:tcW w:w="2082" w:type="dxa"/>
            <w:noWrap w:val="0"/>
            <w:vAlign w:val="center"/>
          </w:tcPr>
          <w:p w14:paraId="75EF678D">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厅、轿门分别控制</w:t>
            </w:r>
          </w:p>
        </w:tc>
        <w:tc>
          <w:tcPr>
            <w:tcW w:w="6426" w:type="dxa"/>
            <w:noWrap w:val="0"/>
            <w:vAlign w:val="center"/>
          </w:tcPr>
          <w:p w14:paraId="260F0CEC">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经过统计由厅外召唤引起的开门等待时间会比由轿内指令引起的开门等待时间要长，此功能通过独立调整电梯在响应召唤和指令时的开门保持时间，来提高整体的运行效率。</w:t>
            </w:r>
          </w:p>
        </w:tc>
      </w:tr>
      <w:tr w14:paraId="4FA09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670B4A4F">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29</w:t>
            </w:r>
          </w:p>
        </w:tc>
        <w:tc>
          <w:tcPr>
            <w:tcW w:w="2082" w:type="dxa"/>
            <w:noWrap w:val="0"/>
            <w:vAlign w:val="center"/>
          </w:tcPr>
          <w:p w14:paraId="1DE13E35">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厅外及轿内方向指示</w:t>
            </w:r>
          </w:p>
        </w:tc>
        <w:tc>
          <w:tcPr>
            <w:tcW w:w="6426" w:type="dxa"/>
            <w:noWrap w:val="0"/>
            <w:vAlign w:val="center"/>
          </w:tcPr>
          <w:p w14:paraId="7A61A34F">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为方便乘客了解电梯的运行方向，在轿内操纵面板和厅外召唤面板上有箭头状指示灯提示运行方向。</w:t>
            </w:r>
          </w:p>
        </w:tc>
      </w:tr>
      <w:tr w14:paraId="1E07D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2A2E6083">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30</w:t>
            </w:r>
          </w:p>
        </w:tc>
        <w:tc>
          <w:tcPr>
            <w:tcW w:w="2082" w:type="dxa"/>
            <w:noWrap w:val="0"/>
            <w:vAlign w:val="center"/>
          </w:tcPr>
          <w:p w14:paraId="1B429EA5">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数字式大厅/轿内显示</w:t>
            </w:r>
          </w:p>
        </w:tc>
        <w:tc>
          <w:tcPr>
            <w:tcW w:w="6426" w:type="dxa"/>
            <w:noWrap w:val="0"/>
            <w:vAlign w:val="center"/>
          </w:tcPr>
          <w:p w14:paraId="027D370B">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在轿内的操纵面板及每层楼的大厅召唤盒上随时用十六段数码显示电梯所在层站，以方便乘客了解电梯当前运行位置。</w:t>
            </w:r>
          </w:p>
        </w:tc>
      </w:tr>
      <w:tr w14:paraId="27527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7D5C6F90">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31</w:t>
            </w:r>
          </w:p>
        </w:tc>
        <w:tc>
          <w:tcPr>
            <w:tcW w:w="2082" w:type="dxa"/>
            <w:noWrap w:val="0"/>
            <w:vAlign w:val="center"/>
          </w:tcPr>
          <w:p w14:paraId="4C04895B">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内部通话装置(满足五方通话要求)</w:t>
            </w:r>
          </w:p>
        </w:tc>
        <w:tc>
          <w:tcPr>
            <w:tcW w:w="6426" w:type="dxa"/>
            <w:noWrap w:val="0"/>
            <w:vAlign w:val="center"/>
          </w:tcPr>
          <w:p w14:paraId="47CC8D67">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用于在特殊情况下通过设置在轿厢操纵面板、轿顶、轿底上的对讲装置保持与机房及监控中心的语音联系。</w:t>
            </w:r>
          </w:p>
        </w:tc>
      </w:tr>
      <w:tr w14:paraId="292EC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46CD6D7A">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32</w:t>
            </w:r>
          </w:p>
        </w:tc>
        <w:tc>
          <w:tcPr>
            <w:tcW w:w="2082" w:type="dxa"/>
            <w:noWrap w:val="0"/>
            <w:vAlign w:val="center"/>
          </w:tcPr>
          <w:p w14:paraId="4043E6DC">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警铃</w:t>
            </w:r>
          </w:p>
        </w:tc>
        <w:tc>
          <w:tcPr>
            <w:tcW w:w="6426" w:type="dxa"/>
            <w:noWrap w:val="0"/>
            <w:vAlign w:val="center"/>
          </w:tcPr>
          <w:p w14:paraId="7E9F2EF2">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供在特殊情况下乘客通过按动轿厢内报警按钮，及时通知外界。</w:t>
            </w:r>
          </w:p>
        </w:tc>
      </w:tr>
      <w:tr w14:paraId="499A7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5511425C">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33</w:t>
            </w:r>
          </w:p>
        </w:tc>
        <w:tc>
          <w:tcPr>
            <w:tcW w:w="2082" w:type="dxa"/>
            <w:noWrap w:val="0"/>
            <w:vAlign w:val="center"/>
          </w:tcPr>
          <w:p w14:paraId="597AD7E1">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驱动设备过热保护</w:t>
            </w:r>
          </w:p>
        </w:tc>
        <w:tc>
          <w:tcPr>
            <w:tcW w:w="6426" w:type="dxa"/>
            <w:noWrap w:val="0"/>
            <w:vAlign w:val="center"/>
          </w:tcPr>
          <w:p w14:paraId="54C875D4">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由于机房温度过高或运行发热，电动机温度超过预设值时，电梯将自动进入保护状态。电梯就近停靠，开门安全疏散乘客并关闭轿内照明，温度正常后，电梯恢复正常运行。</w:t>
            </w:r>
          </w:p>
        </w:tc>
      </w:tr>
      <w:tr w14:paraId="3DBB9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53BA27DF">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34</w:t>
            </w:r>
          </w:p>
        </w:tc>
        <w:tc>
          <w:tcPr>
            <w:tcW w:w="2082" w:type="dxa"/>
            <w:noWrap w:val="0"/>
            <w:vAlign w:val="center"/>
          </w:tcPr>
          <w:p w14:paraId="381145AD">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错误指令取消</w:t>
            </w:r>
          </w:p>
        </w:tc>
        <w:tc>
          <w:tcPr>
            <w:tcW w:w="6426" w:type="dxa"/>
            <w:noWrap w:val="0"/>
            <w:vAlign w:val="center"/>
          </w:tcPr>
          <w:p w14:paraId="2D39DDC2">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当指令登记后，在电梯未起动前可通过连续点按此按钮以取消已登记的指令。电梯起动后，为保证乘客的人身安全，系统不允许取消已登记信号。</w:t>
            </w:r>
          </w:p>
        </w:tc>
      </w:tr>
      <w:tr w14:paraId="38D91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40C6BB63">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35</w:t>
            </w:r>
          </w:p>
        </w:tc>
        <w:tc>
          <w:tcPr>
            <w:tcW w:w="2082" w:type="dxa"/>
            <w:noWrap w:val="0"/>
            <w:vAlign w:val="center"/>
          </w:tcPr>
          <w:p w14:paraId="44374C19">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本层厅外开门</w:t>
            </w:r>
          </w:p>
        </w:tc>
        <w:tc>
          <w:tcPr>
            <w:tcW w:w="6426" w:type="dxa"/>
            <w:noWrap w:val="0"/>
            <w:vAlign w:val="center"/>
          </w:tcPr>
          <w:p w14:paraId="77A9FBB8">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在正常关门过程中，厅外与电梯同向的召唤按钮被按下时，电梯将重新开门。</w:t>
            </w:r>
          </w:p>
        </w:tc>
      </w:tr>
      <w:tr w14:paraId="1B262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70B5BE07">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36</w:t>
            </w:r>
          </w:p>
        </w:tc>
        <w:tc>
          <w:tcPr>
            <w:tcW w:w="2082" w:type="dxa"/>
            <w:noWrap w:val="0"/>
            <w:vAlign w:val="center"/>
          </w:tcPr>
          <w:p w14:paraId="274FB050">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重新初始化运行</w:t>
            </w:r>
          </w:p>
        </w:tc>
        <w:tc>
          <w:tcPr>
            <w:tcW w:w="6426" w:type="dxa"/>
            <w:noWrap w:val="0"/>
            <w:vAlign w:val="center"/>
          </w:tcPr>
          <w:p w14:paraId="426FAFC3">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当电源因中断而恢复后，电梯位置信号未能保留或不能确定轿厢位置时，电梯将驶向端站重新定位。定位后位置显示器显示电梯所在的层楼位置，并恢复正常运行。</w:t>
            </w:r>
          </w:p>
        </w:tc>
      </w:tr>
      <w:tr w14:paraId="7E708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583E3D08">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37</w:t>
            </w:r>
          </w:p>
        </w:tc>
        <w:tc>
          <w:tcPr>
            <w:tcW w:w="2082" w:type="dxa"/>
            <w:noWrap w:val="0"/>
            <w:vAlign w:val="center"/>
          </w:tcPr>
          <w:p w14:paraId="297098BB">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安全停靠</w:t>
            </w:r>
          </w:p>
        </w:tc>
        <w:tc>
          <w:tcPr>
            <w:tcW w:w="6426" w:type="dxa"/>
            <w:noWrap w:val="0"/>
            <w:vAlign w:val="center"/>
          </w:tcPr>
          <w:p w14:paraId="36912576">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电梯因故停在门区外时，控制系统进行安全检测，若符合启动要求，则电梯就近停层开门或完成本次运行指令。</w:t>
            </w:r>
          </w:p>
        </w:tc>
      </w:tr>
      <w:tr w14:paraId="64451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52B1C59D">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38</w:t>
            </w:r>
          </w:p>
        </w:tc>
        <w:tc>
          <w:tcPr>
            <w:tcW w:w="2082" w:type="dxa"/>
            <w:noWrap w:val="0"/>
            <w:vAlign w:val="center"/>
          </w:tcPr>
          <w:p w14:paraId="06187033">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终端楼层保护</w:t>
            </w:r>
          </w:p>
        </w:tc>
        <w:tc>
          <w:tcPr>
            <w:tcW w:w="6426" w:type="dxa"/>
            <w:noWrap w:val="0"/>
            <w:vAlign w:val="center"/>
          </w:tcPr>
          <w:p w14:paraId="50F308A1">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当电梯运行到终端楼层时，运行速度没有减至预设值时，系统将强迫减速，保护电梯的安全运行。</w:t>
            </w:r>
          </w:p>
        </w:tc>
      </w:tr>
      <w:tr w14:paraId="02B3E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78C3108B">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39</w:t>
            </w:r>
          </w:p>
        </w:tc>
        <w:tc>
          <w:tcPr>
            <w:tcW w:w="2082" w:type="dxa"/>
            <w:noWrap w:val="0"/>
            <w:vAlign w:val="center"/>
          </w:tcPr>
          <w:p w14:paraId="37065F9B">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关门力矩保护</w:t>
            </w:r>
          </w:p>
        </w:tc>
        <w:tc>
          <w:tcPr>
            <w:tcW w:w="6426" w:type="dxa"/>
            <w:noWrap w:val="0"/>
            <w:vAlign w:val="center"/>
          </w:tcPr>
          <w:p w14:paraId="3878B00A">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当关门时受到反向阻力，超过预设的力矩值时，电梯将重新开门。</w:t>
            </w:r>
          </w:p>
        </w:tc>
      </w:tr>
      <w:tr w14:paraId="66B0E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07D6442B">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40</w:t>
            </w:r>
          </w:p>
        </w:tc>
        <w:tc>
          <w:tcPr>
            <w:tcW w:w="2082" w:type="dxa"/>
            <w:noWrap w:val="0"/>
            <w:vAlign w:val="center"/>
          </w:tcPr>
          <w:p w14:paraId="5DCCCE90">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启动时力矩补偿</w:t>
            </w:r>
          </w:p>
        </w:tc>
        <w:tc>
          <w:tcPr>
            <w:tcW w:w="6426" w:type="dxa"/>
            <w:noWrap w:val="0"/>
            <w:vAlign w:val="center"/>
          </w:tcPr>
          <w:p w14:paraId="2ADAA23F">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为使电梯起动时获得更好的舒适感，系统对轿厢内载荷进行计算，并通过起动时的力矩补偿给予优化。</w:t>
            </w:r>
          </w:p>
        </w:tc>
      </w:tr>
      <w:tr w14:paraId="08990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2D174DD8">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41</w:t>
            </w:r>
          </w:p>
        </w:tc>
        <w:tc>
          <w:tcPr>
            <w:tcW w:w="2082" w:type="dxa"/>
            <w:noWrap w:val="0"/>
            <w:vAlign w:val="center"/>
          </w:tcPr>
          <w:p w14:paraId="47AC5CCC">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轿厢内紧急照明</w:t>
            </w:r>
          </w:p>
        </w:tc>
        <w:tc>
          <w:tcPr>
            <w:tcW w:w="6426" w:type="dxa"/>
            <w:noWrap w:val="0"/>
            <w:vAlign w:val="center"/>
          </w:tcPr>
          <w:p w14:paraId="1DBB9DDE">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在轿内设置的紧急照明装置，停电时启用。</w:t>
            </w:r>
          </w:p>
        </w:tc>
      </w:tr>
      <w:tr w14:paraId="411F7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1129" w:type="dxa"/>
            <w:noWrap w:val="0"/>
            <w:vAlign w:val="center"/>
          </w:tcPr>
          <w:p w14:paraId="4CAB2792">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42</w:t>
            </w:r>
          </w:p>
        </w:tc>
        <w:tc>
          <w:tcPr>
            <w:tcW w:w="2082" w:type="dxa"/>
            <w:noWrap w:val="0"/>
            <w:vAlign w:val="center"/>
          </w:tcPr>
          <w:p w14:paraId="716230A5">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开、关门按钮灯</w:t>
            </w:r>
          </w:p>
        </w:tc>
        <w:tc>
          <w:tcPr>
            <w:tcW w:w="6426" w:type="dxa"/>
            <w:noWrap w:val="0"/>
            <w:vAlign w:val="center"/>
          </w:tcPr>
          <w:p w14:paraId="6DF26286">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开、关门按钮灯：</w:t>
            </w:r>
          </w:p>
        </w:tc>
      </w:tr>
      <w:tr w14:paraId="63DA8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334BF63F">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43</w:t>
            </w:r>
          </w:p>
        </w:tc>
        <w:tc>
          <w:tcPr>
            <w:tcW w:w="2082" w:type="dxa"/>
            <w:noWrap w:val="0"/>
            <w:vAlign w:val="center"/>
          </w:tcPr>
          <w:p w14:paraId="61B53A81">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光幕门保护</w:t>
            </w:r>
          </w:p>
        </w:tc>
        <w:tc>
          <w:tcPr>
            <w:tcW w:w="6426" w:type="dxa"/>
            <w:noWrap w:val="0"/>
            <w:vAlign w:val="center"/>
          </w:tcPr>
          <w:p w14:paraId="550E20FE">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专用光幕门保护系统增强了电梯的安全性，系统可在电梯门口形成密集的红外交叉光幕，对于任何进入其探测区域的人或物体都能做出敏锐的反应，为进出的乘客提供最大程度的安全保护。</w:t>
            </w:r>
          </w:p>
        </w:tc>
      </w:tr>
      <w:tr w14:paraId="05F34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129" w:type="dxa"/>
            <w:noWrap w:val="0"/>
            <w:vAlign w:val="center"/>
          </w:tcPr>
          <w:p w14:paraId="6DB22B0F">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44</w:t>
            </w:r>
          </w:p>
        </w:tc>
        <w:tc>
          <w:tcPr>
            <w:tcW w:w="2082" w:type="dxa"/>
            <w:noWrap w:val="0"/>
            <w:vAlign w:val="center"/>
          </w:tcPr>
          <w:p w14:paraId="6AE6CBD8">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轿厢意外移动保护</w:t>
            </w:r>
          </w:p>
        </w:tc>
        <w:tc>
          <w:tcPr>
            <w:tcW w:w="6426" w:type="dxa"/>
            <w:noWrap w:val="0"/>
            <w:vAlign w:val="center"/>
          </w:tcPr>
          <w:p w14:paraId="2BC5CF54">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电梯在开门状态下，如果发生意外移动离开开门区，则该功能可以有效制停电梯，防止电梯继续移动，以保护乘客安全。</w:t>
            </w:r>
          </w:p>
        </w:tc>
      </w:tr>
      <w:tr w14:paraId="3F2B5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1129" w:type="dxa"/>
            <w:noWrap w:val="0"/>
            <w:vAlign w:val="center"/>
          </w:tcPr>
          <w:p w14:paraId="4C3FD80F">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45</w:t>
            </w:r>
          </w:p>
        </w:tc>
        <w:tc>
          <w:tcPr>
            <w:tcW w:w="2082" w:type="dxa"/>
            <w:noWrap w:val="0"/>
            <w:vAlign w:val="center"/>
          </w:tcPr>
          <w:p w14:paraId="489784F1">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无障碍功能</w:t>
            </w:r>
          </w:p>
        </w:tc>
        <w:tc>
          <w:tcPr>
            <w:tcW w:w="6426" w:type="dxa"/>
            <w:noWrap w:val="0"/>
            <w:vAlign w:val="center"/>
          </w:tcPr>
          <w:p w14:paraId="52A9A4C9">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配置副操纵箱、语音报站、后壁扶手，盲文按钮</w:t>
            </w:r>
          </w:p>
        </w:tc>
      </w:tr>
      <w:tr w14:paraId="259C7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1129" w:type="dxa"/>
            <w:noWrap w:val="0"/>
            <w:vAlign w:val="center"/>
          </w:tcPr>
          <w:p w14:paraId="1DC3729A">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46</w:t>
            </w:r>
          </w:p>
        </w:tc>
        <w:tc>
          <w:tcPr>
            <w:tcW w:w="2082" w:type="dxa"/>
            <w:noWrap w:val="0"/>
            <w:vAlign w:val="center"/>
          </w:tcPr>
          <w:p w14:paraId="1735D22F">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门禁系统</w:t>
            </w:r>
          </w:p>
        </w:tc>
        <w:tc>
          <w:tcPr>
            <w:tcW w:w="6426" w:type="dxa"/>
            <w:noWrap w:val="0"/>
            <w:vAlign w:val="center"/>
          </w:tcPr>
          <w:p w14:paraId="4CA78BC8">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为安全管理，住院楼室外电梯应增设电梯刷卡门禁系统,中标人提供门禁卡170张。</w:t>
            </w:r>
          </w:p>
        </w:tc>
      </w:tr>
      <w:tr w14:paraId="602AB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1129" w:type="dxa"/>
            <w:noWrap w:val="0"/>
            <w:vAlign w:val="center"/>
          </w:tcPr>
          <w:p w14:paraId="22D77562">
            <w:pPr>
              <w:widowControl w:val="0"/>
              <w:kinsoku/>
              <w:autoSpaceDE/>
              <w:autoSpaceDN/>
              <w:adjustRightInd/>
              <w:snapToGrid/>
              <w:spacing w:line="360" w:lineRule="auto"/>
              <w:jc w:val="center"/>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47</w:t>
            </w:r>
          </w:p>
        </w:tc>
        <w:tc>
          <w:tcPr>
            <w:tcW w:w="2082" w:type="dxa"/>
            <w:noWrap w:val="0"/>
            <w:vAlign w:val="center"/>
          </w:tcPr>
          <w:p w14:paraId="0F0FEBE7">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空调通风装置</w:t>
            </w:r>
          </w:p>
        </w:tc>
        <w:tc>
          <w:tcPr>
            <w:tcW w:w="6426" w:type="dxa"/>
            <w:noWrap w:val="0"/>
            <w:vAlign w:val="center"/>
          </w:tcPr>
          <w:p w14:paraId="6F35535F">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增设电梯空调通风装置，提升乘梯体验感；电梯轿厢用空调须满足T/CEA0065—2025要求。</w:t>
            </w:r>
          </w:p>
        </w:tc>
      </w:tr>
    </w:tbl>
    <w:p w14:paraId="7976D511">
      <w:pPr>
        <w:widowControl w:val="0"/>
        <w:spacing w:after="120"/>
        <w:jc w:val="both"/>
        <w:rPr>
          <w:rFonts w:ascii="宋体" w:hAnsi="宋体" w:eastAsia="宋体" w:cs="宋体"/>
          <w:color w:val="auto"/>
          <w:sz w:val="24"/>
          <w:szCs w:val="24"/>
          <w:lang w:eastAsia="zh-CN"/>
        </w:rPr>
      </w:pPr>
    </w:p>
    <w:p w14:paraId="1436AFC2">
      <w:pPr>
        <w:widowControl w:val="0"/>
        <w:kinsoku/>
        <w:autoSpaceDE/>
        <w:autoSpaceDN/>
        <w:adjustRightInd/>
        <w:snapToGrid/>
        <w:spacing w:line="360" w:lineRule="auto"/>
        <w:jc w:val="both"/>
        <w:textAlignment w:val="auto"/>
        <w:outlineLvl w:val="2"/>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3、电梯配置要求</w:t>
      </w:r>
    </w:p>
    <w:p w14:paraId="03DA43AD">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1）控制系统：采用32位全电脑模块化网络控制；</w:t>
      </w:r>
    </w:p>
    <w:p w14:paraId="5192C33A">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2）驱动系统：交流变频、变压调速驱动；</w:t>
      </w:r>
    </w:p>
    <w:p w14:paraId="24B2DA66">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3）门机系统：采用VVVF变频调速控制；</w:t>
      </w:r>
    </w:p>
    <w:p w14:paraId="48CF1930">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4）门保护：光幕保护；</w:t>
      </w:r>
    </w:p>
    <w:p w14:paraId="6BCDD1F5">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5）曳引系统：永磁同步原厂原品牌无齿轮曳引机；</w:t>
      </w:r>
    </w:p>
    <w:p w14:paraId="107C167A">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6）动力电压/照明电压/电源频率：380V/220V/50Hz；</w:t>
      </w:r>
    </w:p>
    <w:p w14:paraId="72AE42DD">
      <w:pPr>
        <w:widowControl w:val="0"/>
        <w:kinsoku/>
        <w:autoSpaceDE/>
        <w:autoSpaceDN/>
        <w:adjustRightInd/>
        <w:snapToGrid/>
        <w:spacing w:line="360" w:lineRule="auto"/>
        <w:jc w:val="both"/>
        <w:textAlignment w:val="auto"/>
        <w:rPr>
          <w:rFonts w:ascii="宋体" w:hAnsi="宋体" w:eastAsia="宋体" w:cs="宋体"/>
          <w:b/>
          <w:bCs/>
          <w:snapToGrid/>
          <w:color w:val="auto"/>
          <w:kern w:val="2"/>
          <w:sz w:val="24"/>
          <w:szCs w:val="24"/>
          <w:lang w:eastAsia="zh-CN"/>
        </w:rPr>
      </w:pPr>
    </w:p>
    <w:p w14:paraId="5B23D6E2">
      <w:pPr>
        <w:widowControl w:val="0"/>
        <w:kinsoku/>
        <w:autoSpaceDE/>
        <w:autoSpaceDN/>
        <w:adjustRightInd/>
        <w:snapToGrid/>
        <w:spacing w:line="360" w:lineRule="auto"/>
        <w:jc w:val="both"/>
        <w:textAlignment w:val="auto"/>
        <w:outlineLvl w:val="2"/>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4、装饰要求</w:t>
      </w:r>
    </w:p>
    <w:p w14:paraId="48BAB205">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轿厢：</w:t>
      </w:r>
    </w:p>
    <w:p w14:paraId="5F27F45A">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 轿厢顶：普通装饰，LED高效节能照明,风扇换气送风，提供式样供选择。</w:t>
      </w:r>
    </w:p>
    <w:p w14:paraId="277D20F5">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 轿厢壁：采用304发纹不锈钢，均采用一体式压铸式，不采用复合成形。</w:t>
      </w:r>
    </w:p>
    <w:p w14:paraId="1910A466">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 轿厢门：层层304发纹不锈钢板。</w:t>
      </w:r>
    </w:p>
    <w:p w14:paraId="0E857363">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 轿厢地面：耐磨PVC地面。</w:t>
      </w:r>
    </w:p>
    <w:p w14:paraId="2E957B79">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5) 轿厢内操作盘。</w:t>
      </w:r>
    </w:p>
    <w:p w14:paraId="57A37DC3">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6) 发纹不锈钢面板，不小于4英寸楼层显示器。</w:t>
      </w:r>
    </w:p>
    <w:p w14:paraId="41B91422">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7) 上升与下降方向指示。</w:t>
      </w:r>
    </w:p>
    <w:p w14:paraId="19B92CE7">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8) 隐蔽式对讲机。</w:t>
      </w:r>
    </w:p>
    <w:p w14:paraId="48397DD0">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9) 标示：标示厂牌、用途、限乘人数、限载重量。</w:t>
      </w:r>
    </w:p>
    <w:p w14:paraId="7CF8EB21">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10) 一个以钥匙操作的开关箱内有停止开关、照明开关、风扇开关。</w:t>
      </w:r>
    </w:p>
    <w:p w14:paraId="66150830">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11) 按钮：微触式，具有停靠层数相同的楼层按钮。</w:t>
      </w:r>
    </w:p>
    <w:p w14:paraId="4D8A42E2">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12) 面板材质：发纹不锈钢厅门及门套。</w:t>
      </w:r>
    </w:p>
    <w:p w14:paraId="46F9ADA0">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13) 厅门：层层304发纹不锈钢。</w:t>
      </w:r>
    </w:p>
    <w:p w14:paraId="4308234B">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14) 门套：小门套、材质：层层304发纹不锈钢。</w:t>
      </w:r>
    </w:p>
    <w:p w14:paraId="0FBA7DE0">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15) 厅门呼梯：超薄外挂式外召唤、LED显示。</w:t>
      </w:r>
    </w:p>
    <w:p w14:paraId="6B80DE67">
      <w:pPr>
        <w:widowControl w:val="0"/>
        <w:kinsoku/>
        <w:autoSpaceDE/>
        <w:autoSpaceDN/>
        <w:adjustRightInd/>
        <w:snapToGrid/>
        <w:spacing w:line="360" w:lineRule="auto"/>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16) 地坎：硬质铝。</w:t>
      </w:r>
    </w:p>
    <w:p w14:paraId="69E2AB36">
      <w:pPr>
        <w:widowControl w:val="0"/>
        <w:kinsoku/>
        <w:autoSpaceDE/>
        <w:autoSpaceDN/>
        <w:adjustRightInd/>
        <w:snapToGrid/>
        <w:spacing w:line="360" w:lineRule="auto"/>
        <w:jc w:val="both"/>
        <w:textAlignment w:val="auto"/>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17) 轿厢高度：不小于2400mm。</w:t>
      </w:r>
    </w:p>
    <w:p w14:paraId="4D8DBBDC">
      <w:pPr>
        <w:widowControl w:val="0"/>
        <w:kinsoku/>
        <w:autoSpaceDE/>
        <w:autoSpaceDN/>
        <w:adjustRightInd/>
        <w:snapToGrid/>
        <w:spacing w:line="360" w:lineRule="auto"/>
        <w:jc w:val="both"/>
        <w:textAlignment w:val="auto"/>
        <w:rPr>
          <w:rFonts w:ascii="宋体" w:hAnsi="宋体" w:eastAsia="宋体" w:cs="宋体"/>
          <w:color w:val="auto"/>
          <w:sz w:val="24"/>
          <w:szCs w:val="24"/>
          <w:lang w:eastAsia="zh-CN"/>
        </w:rPr>
      </w:pPr>
      <w:r>
        <w:rPr>
          <w:rFonts w:hint="eastAsia" w:ascii="宋体" w:hAnsi="宋体" w:eastAsia="宋体" w:cs="宋体"/>
          <w:bCs/>
          <w:color w:val="auto"/>
          <w:sz w:val="24"/>
          <w:szCs w:val="24"/>
          <w:lang w:eastAsia="zh-CN"/>
        </w:rPr>
        <w:t>18) 装饰用304不锈钢板厚度不小于1.2mm。</w:t>
      </w:r>
    </w:p>
    <w:p w14:paraId="041AAC4F">
      <w:pPr>
        <w:widowControl w:val="0"/>
        <w:kinsoku/>
        <w:autoSpaceDE/>
        <w:autoSpaceDN/>
        <w:adjustRightInd/>
        <w:snapToGrid/>
        <w:spacing w:line="360" w:lineRule="auto"/>
        <w:jc w:val="both"/>
        <w:textAlignment w:val="auto"/>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住院部钢结构：</w:t>
      </w:r>
    </w:p>
    <w:p w14:paraId="573AF879">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钢结构必须满足《钢结构通用规范》GB 55006-2021要求，钢结构焊接材料应具有焊接材料厂出具的产品质量证明书或检验报告，全部焊缝应进行外观检查并满足焊缝质量抽样检验结果判定标准要求，钢结构工程验收须提供防火、防腐等重点部位工程相关验收报告，同时须加设防雷设施。</w:t>
      </w:r>
    </w:p>
    <w:tbl>
      <w:tblPr>
        <w:tblStyle w:val="3"/>
        <w:tblW w:w="0" w:type="auto"/>
        <w:jc w:val="center"/>
        <w:tblLayout w:type="fixed"/>
        <w:tblCellMar>
          <w:top w:w="15" w:type="dxa"/>
          <w:left w:w="15" w:type="dxa"/>
          <w:bottom w:w="15" w:type="dxa"/>
          <w:right w:w="15" w:type="dxa"/>
        </w:tblCellMar>
      </w:tblPr>
      <w:tblGrid>
        <w:gridCol w:w="710"/>
        <w:gridCol w:w="3685"/>
        <w:gridCol w:w="709"/>
        <w:gridCol w:w="1801"/>
        <w:gridCol w:w="1034"/>
      </w:tblGrid>
      <w:tr w14:paraId="0BEA93F0">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right w:val="single" w:color="000000" w:sz="4" w:space="0"/>
            </w:tcBorders>
            <w:noWrap w:val="0"/>
            <w:vAlign w:val="center"/>
          </w:tcPr>
          <w:p w14:paraId="7EA7D36D">
            <w:pPr>
              <w:kinsoku/>
              <w:autoSpaceDE/>
              <w:autoSpaceDN/>
              <w:adjustRightInd/>
              <w:snapToGrid/>
              <w:jc w:val="both"/>
              <w:textAlignment w:val="center"/>
              <w:rPr>
                <w:rFonts w:ascii="宋体" w:hAnsi="宋体" w:eastAsia="宋体" w:cs="宋体"/>
                <w:snapToGrid/>
                <w:color w:val="auto"/>
                <w:kern w:val="2"/>
                <w:sz w:val="24"/>
                <w:szCs w:val="24"/>
                <w:lang w:eastAsia="zh-CN"/>
              </w:rPr>
            </w:pPr>
            <w:r>
              <w:rPr>
                <w:rFonts w:hint="eastAsia" w:ascii="宋体" w:hAnsi="宋体" w:eastAsia="宋体" w:cs="宋体"/>
                <w:snapToGrid/>
                <w:color w:val="auto"/>
                <w:sz w:val="24"/>
                <w:szCs w:val="24"/>
                <w:lang w:eastAsia="zh-CN" w:bidi="ar"/>
              </w:rPr>
              <w:t>编号</w:t>
            </w:r>
          </w:p>
        </w:tc>
        <w:tc>
          <w:tcPr>
            <w:tcW w:w="3685" w:type="dxa"/>
            <w:tcBorders>
              <w:top w:val="single" w:color="000000" w:sz="4" w:space="0"/>
              <w:left w:val="single" w:color="000000" w:sz="4" w:space="0"/>
              <w:bottom w:val="single" w:color="000000" w:sz="4" w:space="0"/>
              <w:right w:val="single" w:color="000000" w:sz="4" w:space="0"/>
            </w:tcBorders>
            <w:noWrap w:val="0"/>
            <w:vAlign w:val="center"/>
          </w:tcPr>
          <w:p w14:paraId="4797CC1F">
            <w:pPr>
              <w:kinsoku/>
              <w:autoSpaceDE/>
              <w:autoSpaceDN/>
              <w:adjustRightInd/>
              <w:snapToGrid/>
              <w:ind w:left="480"/>
              <w:jc w:val="center"/>
              <w:textAlignment w:val="center"/>
              <w:rPr>
                <w:rFonts w:ascii="宋体" w:hAnsi="宋体" w:eastAsia="宋体" w:cs="宋体"/>
                <w:snapToGrid/>
                <w:color w:val="auto"/>
                <w:kern w:val="2"/>
                <w:sz w:val="24"/>
                <w:szCs w:val="24"/>
                <w:lang w:eastAsia="zh-CN"/>
              </w:rPr>
            </w:pPr>
            <w:r>
              <w:rPr>
                <w:rFonts w:hint="eastAsia" w:ascii="宋体" w:hAnsi="宋体" w:eastAsia="宋体" w:cs="宋体"/>
                <w:snapToGrid/>
                <w:color w:val="auto"/>
                <w:sz w:val="24"/>
                <w:szCs w:val="24"/>
                <w:lang w:eastAsia="zh-CN" w:bidi="ar"/>
              </w:rPr>
              <w:t>工料名称及规格</w:t>
            </w:r>
          </w:p>
        </w:tc>
        <w:tc>
          <w:tcPr>
            <w:tcW w:w="709" w:type="dxa"/>
            <w:tcBorders>
              <w:top w:val="single" w:color="000000" w:sz="4" w:space="0"/>
              <w:left w:val="single" w:color="000000" w:sz="4" w:space="0"/>
              <w:right w:val="single" w:color="000000" w:sz="4" w:space="0"/>
            </w:tcBorders>
            <w:noWrap w:val="0"/>
            <w:vAlign w:val="center"/>
          </w:tcPr>
          <w:p w14:paraId="555996B7">
            <w:pPr>
              <w:kinsoku/>
              <w:autoSpaceDE/>
              <w:autoSpaceDN/>
              <w:adjustRightInd/>
              <w:snapToGrid/>
              <w:jc w:val="both"/>
              <w:textAlignment w:val="center"/>
              <w:rPr>
                <w:rFonts w:ascii="宋体" w:hAnsi="宋体" w:eastAsia="宋体" w:cs="宋体"/>
                <w:snapToGrid/>
                <w:color w:val="auto"/>
                <w:kern w:val="2"/>
                <w:sz w:val="24"/>
                <w:szCs w:val="24"/>
                <w:lang w:eastAsia="zh-CN"/>
              </w:rPr>
            </w:pPr>
            <w:r>
              <w:rPr>
                <w:rFonts w:hint="eastAsia" w:ascii="宋体" w:hAnsi="宋体" w:eastAsia="宋体" w:cs="宋体"/>
                <w:snapToGrid/>
                <w:color w:val="auto"/>
                <w:sz w:val="24"/>
                <w:szCs w:val="24"/>
                <w:lang w:eastAsia="zh-CN" w:bidi="ar"/>
              </w:rPr>
              <w:t>单位</w:t>
            </w:r>
          </w:p>
        </w:tc>
        <w:tc>
          <w:tcPr>
            <w:tcW w:w="1801" w:type="dxa"/>
            <w:tcBorders>
              <w:top w:val="single" w:color="000000" w:sz="4" w:space="0"/>
              <w:left w:val="single" w:color="000000" w:sz="4" w:space="0"/>
            </w:tcBorders>
            <w:noWrap w:val="0"/>
            <w:vAlign w:val="center"/>
          </w:tcPr>
          <w:p w14:paraId="2D57AC93">
            <w:pPr>
              <w:kinsoku/>
              <w:autoSpaceDE/>
              <w:autoSpaceDN/>
              <w:adjustRightInd/>
              <w:snapToGrid/>
              <w:ind w:left="480"/>
              <w:jc w:val="both"/>
              <w:textAlignment w:val="center"/>
              <w:rPr>
                <w:rFonts w:ascii="宋体" w:hAnsi="宋体" w:eastAsia="宋体" w:cs="宋体"/>
                <w:snapToGrid/>
                <w:color w:val="auto"/>
                <w:kern w:val="2"/>
                <w:sz w:val="24"/>
                <w:szCs w:val="24"/>
                <w:lang w:eastAsia="zh-CN"/>
              </w:rPr>
            </w:pPr>
            <w:r>
              <w:rPr>
                <w:rFonts w:hint="eastAsia" w:ascii="宋体" w:hAnsi="宋体" w:eastAsia="宋体" w:cs="宋体"/>
                <w:snapToGrid/>
                <w:color w:val="auto"/>
                <w:sz w:val="24"/>
                <w:szCs w:val="24"/>
                <w:lang w:eastAsia="zh-CN" w:bidi="ar"/>
              </w:rPr>
              <w:t>型号</w:t>
            </w:r>
          </w:p>
        </w:tc>
        <w:tc>
          <w:tcPr>
            <w:tcW w:w="1034" w:type="dxa"/>
            <w:tcBorders>
              <w:top w:val="single" w:color="000000" w:sz="4" w:space="0"/>
              <w:left w:val="single" w:color="000000" w:sz="4" w:space="0"/>
              <w:bottom w:val="single" w:color="000000" w:sz="4" w:space="0"/>
              <w:right w:val="single" w:color="000000" w:sz="4" w:space="0"/>
            </w:tcBorders>
            <w:noWrap w:val="0"/>
            <w:vAlign w:val="center"/>
          </w:tcPr>
          <w:p w14:paraId="34D8146E">
            <w:pPr>
              <w:kinsoku/>
              <w:autoSpaceDE/>
              <w:autoSpaceDN/>
              <w:adjustRightInd/>
              <w:snapToGrid/>
              <w:ind w:left="480"/>
              <w:jc w:val="center"/>
              <w:textAlignment w:val="center"/>
              <w:rPr>
                <w:rFonts w:ascii="宋体" w:hAnsi="宋体" w:eastAsia="宋体" w:cs="宋体"/>
                <w:snapToGrid/>
                <w:color w:val="auto"/>
                <w:kern w:val="2"/>
                <w:sz w:val="24"/>
                <w:szCs w:val="24"/>
                <w:lang w:eastAsia="zh-CN"/>
              </w:rPr>
            </w:pPr>
            <w:r>
              <w:rPr>
                <w:rFonts w:hint="eastAsia" w:ascii="宋体" w:hAnsi="宋体" w:eastAsia="宋体" w:cs="宋体"/>
                <w:snapToGrid/>
                <w:color w:val="auto"/>
                <w:sz w:val="24"/>
                <w:szCs w:val="24"/>
                <w:lang w:eastAsia="zh-CN" w:bidi="ar"/>
              </w:rPr>
              <w:t>备注</w:t>
            </w:r>
          </w:p>
        </w:tc>
      </w:tr>
      <w:tr w14:paraId="67B360CF">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78EC9644">
            <w:pPr>
              <w:kinsoku/>
              <w:autoSpaceDE/>
              <w:autoSpaceDN/>
              <w:adjustRightInd/>
              <w:snapToGrid/>
              <w:jc w:val="both"/>
              <w:textAlignment w:val="center"/>
              <w:rPr>
                <w:rFonts w:ascii="宋体" w:hAnsi="宋体" w:eastAsia="宋体" w:cs="宋体"/>
                <w:snapToGrid/>
                <w:color w:val="auto"/>
                <w:kern w:val="2"/>
                <w:sz w:val="24"/>
                <w:szCs w:val="24"/>
                <w:lang w:eastAsia="zh-CN"/>
              </w:rPr>
            </w:pPr>
            <w:r>
              <w:rPr>
                <w:rFonts w:hint="eastAsia" w:ascii="宋体" w:hAnsi="宋体" w:eastAsia="宋体" w:cs="宋体"/>
                <w:b/>
                <w:snapToGrid/>
                <w:color w:val="auto"/>
                <w:sz w:val="24"/>
                <w:szCs w:val="24"/>
                <w:lang w:eastAsia="zh-CN" w:bidi="ar"/>
              </w:rPr>
              <w:t>一</w:t>
            </w:r>
            <w:r>
              <w:rPr>
                <w:rFonts w:hint="eastAsia" w:ascii="宋体" w:hAnsi="宋体" w:eastAsia="宋体" w:cs="宋体"/>
                <w:snapToGrid/>
                <w:color w:val="auto"/>
                <w:sz w:val="24"/>
                <w:szCs w:val="24"/>
                <w:lang w:eastAsia="zh-CN" w:bidi="ar"/>
              </w:rPr>
              <w:t>、</w:t>
            </w:r>
          </w:p>
        </w:tc>
        <w:tc>
          <w:tcPr>
            <w:tcW w:w="3685" w:type="dxa"/>
            <w:tcBorders>
              <w:bottom w:val="single" w:color="000000" w:sz="4" w:space="0"/>
              <w:right w:val="single" w:color="000000" w:sz="4" w:space="0"/>
            </w:tcBorders>
            <w:noWrap w:val="0"/>
            <w:vAlign w:val="center"/>
          </w:tcPr>
          <w:p w14:paraId="7D4A1499">
            <w:pPr>
              <w:kinsoku/>
              <w:autoSpaceDE/>
              <w:autoSpaceDN/>
              <w:adjustRightInd/>
              <w:snapToGrid/>
              <w:ind w:left="480" w:firstLine="711" w:firstLineChars="295"/>
              <w:textAlignment w:val="center"/>
              <w:rPr>
                <w:rFonts w:ascii="宋体" w:hAnsi="宋体" w:eastAsia="宋体" w:cs="宋体"/>
                <w:b/>
                <w:snapToGrid/>
                <w:color w:val="auto"/>
                <w:kern w:val="2"/>
                <w:sz w:val="24"/>
                <w:szCs w:val="24"/>
                <w:lang w:eastAsia="zh-CN"/>
              </w:rPr>
            </w:pPr>
            <w:r>
              <w:rPr>
                <w:rFonts w:hint="eastAsia" w:ascii="宋体" w:hAnsi="宋体" w:eastAsia="宋体" w:cs="宋体"/>
                <w:b/>
                <w:snapToGrid/>
                <w:color w:val="auto"/>
                <w:sz w:val="24"/>
                <w:szCs w:val="24"/>
                <w:lang w:eastAsia="zh-CN" w:bidi="ar"/>
              </w:rPr>
              <w:t xml:space="preserve">主钢柱    </w:t>
            </w:r>
          </w:p>
        </w:tc>
        <w:tc>
          <w:tcPr>
            <w:tcW w:w="709" w:type="dxa"/>
            <w:tcBorders>
              <w:top w:val="single" w:color="000000" w:sz="4" w:space="0"/>
              <w:bottom w:val="single" w:color="000000" w:sz="4" w:space="0"/>
              <w:right w:val="single" w:color="000000" w:sz="4" w:space="0"/>
            </w:tcBorders>
            <w:noWrap w:val="0"/>
            <w:vAlign w:val="center"/>
          </w:tcPr>
          <w:p w14:paraId="7C6FA836">
            <w:pPr>
              <w:widowControl w:val="0"/>
              <w:kinsoku/>
              <w:autoSpaceDE/>
              <w:autoSpaceDN/>
              <w:adjustRightInd/>
              <w:snapToGrid/>
              <w:ind w:left="480"/>
              <w:jc w:val="center"/>
              <w:textAlignment w:val="auto"/>
              <w:rPr>
                <w:rFonts w:ascii="宋体" w:hAnsi="宋体" w:eastAsia="宋体" w:cs="宋体"/>
                <w:snapToGrid/>
                <w:color w:val="auto"/>
                <w:kern w:val="2"/>
                <w:sz w:val="24"/>
                <w:szCs w:val="24"/>
                <w:lang w:eastAsia="zh-CN"/>
              </w:rPr>
            </w:pPr>
          </w:p>
        </w:tc>
        <w:tc>
          <w:tcPr>
            <w:tcW w:w="1801" w:type="dxa"/>
            <w:tcBorders>
              <w:top w:val="single" w:color="000000" w:sz="4" w:space="0"/>
              <w:bottom w:val="single" w:color="000000" w:sz="4" w:space="0"/>
              <w:right w:val="single" w:color="000000" w:sz="4" w:space="0"/>
            </w:tcBorders>
            <w:noWrap w:val="0"/>
            <w:vAlign w:val="center"/>
          </w:tcPr>
          <w:p w14:paraId="6F67F432">
            <w:pPr>
              <w:widowControl w:val="0"/>
              <w:kinsoku/>
              <w:autoSpaceDE/>
              <w:autoSpaceDN/>
              <w:adjustRightInd/>
              <w:snapToGrid/>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外部连廊长度不少于3.3米。</w:t>
            </w:r>
          </w:p>
        </w:tc>
        <w:tc>
          <w:tcPr>
            <w:tcW w:w="1034" w:type="dxa"/>
            <w:tcBorders>
              <w:bottom w:val="single" w:color="000000" w:sz="4" w:space="0"/>
              <w:right w:val="single" w:color="000000" w:sz="4" w:space="0"/>
            </w:tcBorders>
            <w:noWrap w:val="0"/>
            <w:vAlign w:val="center"/>
          </w:tcPr>
          <w:p w14:paraId="74E464AE">
            <w:pPr>
              <w:widowControl w:val="0"/>
              <w:kinsoku/>
              <w:autoSpaceDE/>
              <w:autoSpaceDN/>
              <w:adjustRightInd/>
              <w:snapToGrid/>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带连廊</w:t>
            </w:r>
          </w:p>
        </w:tc>
      </w:tr>
      <w:tr w14:paraId="3E6F7087">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18CAD411">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1、</w:t>
            </w:r>
          </w:p>
        </w:tc>
        <w:tc>
          <w:tcPr>
            <w:tcW w:w="3685" w:type="dxa"/>
            <w:tcBorders>
              <w:bottom w:val="single" w:color="000000" w:sz="4" w:space="0"/>
              <w:right w:val="single" w:color="000000" w:sz="4" w:space="0"/>
            </w:tcBorders>
            <w:noWrap w:val="0"/>
            <w:vAlign w:val="center"/>
          </w:tcPr>
          <w:p w14:paraId="29A52FA2">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井道主立柱  矩形管</w:t>
            </w:r>
          </w:p>
        </w:tc>
        <w:tc>
          <w:tcPr>
            <w:tcW w:w="709" w:type="dxa"/>
            <w:tcBorders>
              <w:bottom w:val="single" w:color="000000" w:sz="4" w:space="0"/>
              <w:right w:val="single" w:color="000000" w:sz="4" w:space="0"/>
            </w:tcBorders>
            <w:noWrap w:val="0"/>
            <w:vAlign w:val="center"/>
          </w:tcPr>
          <w:p w14:paraId="5AE1A68D">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吨</w:t>
            </w:r>
          </w:p>
        </w:tc>
        <w:tc>
          <w:tcPr>
            <w:tcW w:w="1801" w:type="dxa"/>
            <w:tcBorders>
              <w:top w:val="single" w:color="000000" w:sz="4" w:space="0"/>
              <w:left w:val="single" w:color="000000" w:sz="4" w:space="0"/>
              <w:bottom w:val="single" w:color="000000" w:sz="4" w:space="0"/>
              <w:right w:val="single" w:color="000000" w:sz="4" w:space="0"/>
            </w:tcBorders>
            <w:noWrap w:val="0"/>
            <w:vAlign w:val="center"/>
          </w:tcPr>
          <w:p w14:paraId="3CEC84C4">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200*200*8</w:t>
            </w:r>
          </w:p>
        </w:tc>
        <w:tc>
          <w:tcPr>
            <w:tcW w:w="1034" w:type="dxa"/>
            <w:tcBorders>
              <w:bottom w:val="single" w:color="000000" w:sz="4" w:space="0"/>
              <w:right w:val="single" w:color="000000" w:sz="4" w:space="0"/>
            </w:tcBorders>
            <w:noWrap w:val="0"/>
            <w:vAlign w:val="center"/>
          </w:tcPr>
          <w:p w14:paraId="259399BB">
            <w:pPr>
              <w:kinsoku/>
              <w:autoSpaceDE/>
              <w:autoSpaceDN/>
              <w:adjustRightInd/>
              <w:snapToGrid/>
              <w:ind w:left="480"/>
              <w:jc w:val="center"/>
              <w:textAlignment w:val="center"/>
              <w:rPr>
                <w:rFonts w:ascii="宋体" w:hAnsi="宋体" w:eastAsia="宋体" w:cs="宋体"/>
                <w:snapToGrid/>
                <w:color w:val="auto"/>
                <w:sz w:val="24"/>
                <w:szCs w:val="24"/>
                <w:lang w:eastAsia="zh-CN" w:bidi="ar"/>
              </w:rPr>
            </w:pPr>
          </w:p>
        </w:tc>
      </w:tr>
      <w:tr w14:paraId="1C6427BB">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02380114">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2、</w:t>
            </w:r>
          </w:p>
        </w:tc>
        <w:tc>
          <w:tcPr>
            <w:tcW w:w="3685" w:type="dxa"/>
            <w:tcBorders>
              <w:bottom w:val="single" w:color="000000" w:sz="4" w:space="0"/>
              <w:right w:val="single" w:color="000000" w:sz="4" w:space="0"/>
            </w:tcBorders>
            <w:noWrap w:val="0"/>
            <w:vAlign w:val="center"/>
          </w:tcPr>
          <w:p w14:paraId="7930472E">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电梯曳引机横梁主材 矩形管</w:t>
            </w:r>
          </w:p>
        </w:tc>
        <w:tc>
          <w:tcPr>
            <w:tcW w:w="709" w:type="dxa"/>
            <w:tcBorders>
              <w:bottom w:val="single" w:color="000000" w:sz="4" w:space="0"/>
              <w:right w:val="single" w:color="000000" w:sz="4" w:space="0"/>
            </w:tcBorders>
            <w:noWrap w:val="0"/>
            <w:vAlign w:val="center"/>
          </w:tcPr>
          <w:p w14:paraId="3796C492">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吨</w:t>
            </w:r>
          </w:p>
        </w:tc>
        <w:tc>
          <w:tcPr>
            <w:tcW w:w="1801" w:type="dxa"/>
            <w:tcBorders>
              <w:top w:val="single" w:color="000000" w:sz="4" w:space="0"/>
              <w:left w:val="single" w:color="000000" w:sz="4" w:space="0"/>
              <w:bottom w:val="single" w:color="000000" w:sz="4" w:space="0"/>
              <w:right w:val="single" w:color="000000" w:sz="4" w:space="0"/>
            </w:tcBorders>
            <w:noWrap w:val="0"/>
            <w:vAlign w:val="center"/>
          </w:tcPr>
          <w:p w14:paraId="3BB00C3C">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200*200*6</w:t>
            </w:r>
          </w:p>
        </w:tc>
        <w:tc>
          <w:tcPr>
            <w:tcW w:w="1034" w:type="dxa"/>
            <w:tcBorders>
              <w:bottom w:val="single" w:color="000000" w:sz="4" w:space="0"/>
              <w:right w:val="single" w:color="000000" w:sz="4" w:space="0"/>
            </w:tcBorders>
            <w:noWrap w:val="0"/>
            <w:vAlign w:val="center"/>
          </w:tcPr>
          <w:p w14:paraId="1FEA172E">
            <w:pPr>
              <w:kinsoku/>
              <w:autoSpaceDE/>
              <w:autoSpaceDN/>
              <w:adjustRightInd/>
              <w:snapToGrid/>
              <w:ind w:left="480"/>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 xml:space="preserve">  </w:t>
            </w:r>
          </w:p>
        </w:tc>
      </w:tr>
      <w:tr w14:paraId="6B221A50">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2AA74599">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3、</w:t>
            </w:r>
          </w:p>
        </w:tc>
        <w:tc>
          <w:tcPr>
            <w:tcW w:w="3685" w:type="dxa"/>
            <w:tcBorders>
              <w:bottom w:val="single" w:color="000000" w:sz="4" w:space="0"/>
              <w:right w:val="single" w:color="000000" w:sz="4" w:space="0"/>
            </w:tcBorders>
            <w:noWrap w:val="0"/>
            <w:vAlign w:val="center"/>
          </w:tcPr>
          <w:p w14:paraId="610B1C21">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电梯导轨支架梁 2m/档</w:t>
            </w:r>
          </w:p>
        </w:tc>
        <w:tc>
          <w:tcPr>
            <w:tcW w:w="709" w:type="dxa"/>
            <w:tcBorders>
              <w:bottom w:val="single" w:color="000000" w:sz="4" w:space="0"/>
              <w:right w:val="single" w:color="000000" w:sz="4" w:space="0"/>
            </w:tcBorders>
            <w:noWrap w:val="0"/>
            <w:vAlign w:val="center"/>
          </w:tcPr>
          <w:p w14:paraId="03367E3D">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吨</w:t>
            </w:r>
          </w:p>
        </w:tc>
        <w:tc>
          <w:tcPr>
            <w:tcW w:w="1801" w:type="dxa"/>
            <w:tcBorders>
              <w:top w:val="single" w:color="000000" w:sz="4" w:space="0"/>
              <w:left w:val="single" w:color="000000" w:sz="4" w:space="0"/>
              <w:bottom w:val="single" w:color="000000" w:sz="4" w:space="0"/>
              <w:right w:val="single" w:color="000000" w:sz="4" w:space="0"/>
            </w:tcBorders>
            <w:noWrap w:val="0"/>
            <w:vAlign w:val="center"/>
          </w:tcPr>
          <w:p w14:paraId="41F06AEF">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150*150*6</w:t>
            </w:r>
          </w:p>
        </w:tc>
        <w:tc>
          <w:tcPr>
            <w:tcW w:w="1034" w:type="dxa"/>
            <w:tcBorders>
              <w:bottom w:val="single" w:color="000000" w:sz="4" w:space="0"/>
              <w:right w:val="single" w:color="000000" w:sz="4" w:space="0"/>
            </w:tcBorders>
            <w:noWrap w:val="0"/>
            <w:vAlign w:val="center"/>
          </w:tcPr>
          <w:p w14:paraId="3997B5A5">
            <w:pPr>
              <w:kinsoku/>
              <w:autoSpaceDE/>
              <w:autoSpaceDN/>
              <w:adjustRightInd/>
              <w:snapToGrid/>
              <w:ind w:left="480"/>
              <w:jc w:val="center"/>
              <w:textAlignment w:val="center"/>
              <w:rPr>
                <w:rFonts w:ascii="宋体" w:hAnsi="宋体" w:eastAsia="宋体" w:cs="宋体"/>
                <w:snapToGrid/>
                <w:color w:val="auto"/>
                <w:sz w:val="24"/>
                <w:szCs w:val="24"/>
                <w:lang w:eastAsia="zh-CN" w:bidi="ar"/>
              </w:rPr>
            </w:pPr>
          </w:p>
        </w:tc>
      </w:tr>
      <w:tr w14:paraId="6A45A97A">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7B0F0EF2">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4、</w:t>
            </w:r>
          </w:p>
        </w:tc>
        <w:tc>
          <w:tcPr>
            <w:tcW w:w="3685" w:type="dxa"/>
            <w:tcBorders>
              <w:bottom w:val="single" w:color="000000" w:sz="4" w:space="0"/>
              <w:right w:val="single" w:color="000000" w:sz="4" w:space="0"/>
            </w:tcBorders>
            <w:noWrap w:val="0"/>
            <w:vAlign w:val="center"/>
          </w:tcPr>
          <w:p w14:paraId="755DAA37">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电梯厅门上、下坎梁、门前小立柱（2套）</w:t>
            </w:r>
          </w:p>
        </w:tc>
        <w:tc>
          <w:tcPr>
            <w:tcW w:w="709" w:type="dxa"/>
            <w:tcBorders>
              <w:bottom w:val="single" w:color="000000" w:sz="4" w:space="0"/>
              <w:right w:val="single" w:color="000000" w:sz="4" w:space="0"/>
            </w:tcBorders>
            <w:noWrap w:val="0"/>
            <w:vAlign w:val="center"/>
          </w:tcPr>
          <w:p w14:paraId="4D4C3C4C">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吨</w:t>
            </w:r>
          </w:p>
        </w:tc>
        <w:tc>
          <w:tcPr>
            <w:tcW w:w="1801" w:type="dxa"/>
            <w:tcBorders>
              <w:top w:val="single" w:color="000000" w:sz="4" w:space="0"/>
              <w:left w:val="single" w:color="000000" w:sz="4" w:space="0"/>
              <w:bottom w:val="single" w:color="000000" w:sz="4" w:space="0"/>
              <w:right w:val="single" w:color="000000" w:sz="4" w:space="0"/>
            </w:tcBorders>
            <w:noWrap w:val="0"/>
            <w:vAlign w:val="center"/>
          </w:tcPr>
          <w:p w14:paraId="69450EA1">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100*100*4</w:t>
            </w:r>
          </w:p>
        </w:tc>
        <w:tc>
          <w:tcPr>
            <w:tcW w:w="1034" w:type="dxa"/>
            <w:tcBorders>
              <w:bottom w:val="single" w:color="000000" w:sz="4" w:space="0"/>
              <w:right w:val="single" w:color="000000" w:sz="4" w:space="0"/>
            </w:tcBorders>
            <w:noWrap w:val="0"/>
            <w:vAlign w:val="center"/>
          </w:tcPr>
          <w:p w14:paraId="56BF80CE">
            <w:pPr>
              <w:kinsoku/>
              <w:autoSpaceDE/>
              <w:autoSpaceDN/>
              <w:adjustRightInd/>
              <w:snapToGrid/>
              <w:ind w:left="480"/>
              <w:jc w:val="both"/>
              <w:textAlignment w:val="center"/>
              <w:rPr>
                <w:rFonts w:ascii="宋体" w:hAnsi="宋体" w:eastAsia="宋体" w:cs="宋体"/>
                <w:snapToGrid/>
                <w:color w:val="auto"/>
                <w:sz w:val="24"/>
                <w:szCs w:val="24"/>
                <w:lang w:eastAsia="zh-CN" w:bidi="ar"/>
              </w:rPr>
            </w:pPr>
          </w:p>
        </w:tc>
      </w:tr>
      <w:tr w14:paraId="5E6B3CA6">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7ED577CD">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5、</w:t>
            </w:r>
          </w:p>
        </w:tc>
        <w:tc>
          <w:tcPr>
            <w:tcW w:w="3685" w:type="dxa"/>
            <w:tcBorders>
              <w:bottom w:val="single" w:color="000000" w:sz="4" w:space="0"/>
              <w:right w:val="single" w:color="000000" w:sz="4" w:space="0"/>
            </w:tcBorders>
            <w:noWrap w:val="0"/>
            <w:vAlign w:val="center"/>
          </w:tcPr>
          <w:p w14:paraId="29537A68">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立柱与圈梁或砼梁牛腿</w:t>
            </w:r>
          </w:p>
        </w:tc>
        <w:tc>
          <w:tcPr>
            <w:tcW w:w="709" w:type="dxa"/>
            <w:tcBorders>
              <w:bottom w:val="single" w:color="000000" w:sz="4" w:space="0"/>
              <w:right w:val="single" w:color="000000" w:sz="4" w:space="0"/>
            </w:tcBorders>
            <w:noWrap w:val="0"/>
            <w:vAlign w:val="center"/>
          </w:tcPr>
          <w:p w14:paraId="33A1AD24">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组</w:t>
            </w:r>
          </w:p>
        </w:tc>
        <w:tc>
          <w:tcPr>
            <w:tcW w:w="1801" w:type="dxa"/>
            <w:tcBorders>
              <w:top w:val="single" w:color="000000" w:sz="4" w:space="0"/>
              <w:left w:val="single" w:color="000000" w:sz="4" w:space="0"/>
              <w:bottom w:val="single" w:color="000000" w:sz="4" w:space="0"/>
              <w:right w:val="single" w:color="000000" w:sz="4" w:space="0"/>
            </w:tcBorders>
            <w:noWrap w:val="0"/>
            <w:vAlign w:val="center"/>
          </w:tcPr>
          <w:p w14:paraId="20F7B082">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300*350*14</w:t>
            </w:r>
          </w:p>
        </w:tc>
        <w:tc>
          <w:tcPr>
            <w:tcW w:w="1034" w:type="dxa"/>
            <w:tcBorders>
              <w:bottom w:val="single" w:color="000000" w:sz="4" w:space="0"/>
              <w:right w:val="single" w:color="000000" w:sz="4" w:space="0"/>
            </w:tcBorders>
            <w:noWrap w:val="0"/>
            <w:vAlign w:val="center"/>
          </w:tcPr>
          <w:p w14:paraId="0C80CF3E">
            <w:pPr>
              <w:kinsoku/>
              <w:autoSpaceDE/>
              <w:autoSpaceDN/>
              <w:adjustRightInd/>
              <w:snapToGrid/>
              <w:ind w:left="480"/>
              <w:jc w:val="both"/>
              <w:textAlignment w:val="center"/>
              <w:rPr>
                <w:rFonts w:ascii="宋体" w:hAnsi="宋体" w:eastAsia="宋体" w:cs="宋体"/>
                <w:snapToGrid/>
                <w:color w:val="auto"/>
                <w:sz w:val="24"/>
                <w:szCs w:val="24"/>
                <w:lang w:eastAsia="zh-CN" w:bidi="ar"/>
              </w:rPr>
            </w:pPr>
          </w:p>
        </w:tc>
      </w:tr>
      <w:tr w14:paraId="6D7CA2AF">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2F6509A4">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6、</w:t>
            </w:r>
          </w:p>
        </w:tc>
        <w:tc>
          <w:tcPr>
            <w:tcW w:w="3685" w:type="dxa"/>
            <w:tcBorders>
              <w:bottom w:val="single" w:color="000000" w:sz="4" w:space="0"/>
              <w:right w:val="single" w:color="000000" w:sz="4" w:space="0"/>
            </w:tcBorders>
            <w:noWrap w:val="0"/>
            <w:vAlign w:val="center"/>
          </w:tcPr>
          <w:p w14:paraId="19093198">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电梯井道主立柱柱脚预埋件</w:t>
            </w:r>
          </w:p>
        </w:tc>
        <w:tc>
          <w:tcPr>
            <w:tcW w:w="709" w:type="dxa"/>
            <w:tcBorders>
              <w:bottom w:val="single" w:color="000000" w:sz="4" w:space="0"/>
              <w:right w:val="single" w:color="000000" w:sz="4" w:space="0"/>
            </w:tcBorders>
            <w:noWrap w:val="0"/>
            <w:vAlign w:val="center"/>
          </w:tcPr>
          <w:p w14:paraId="3CBFA78A">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组</w:t>
            </w:r>
          </w:p>
        </w:tc>
        <w:tc>
          <w:tcPr>
            <w:tcW w:w="1801" w:type="dxa"/>
            <w:tcBorders>
              <w:top w:val="single" w:color="000000" w:sz="4" w:space="0"/>
              <w:left w:val="single" w:color="000000" w:sz="4" w:space="0"/>
              <w:bottom w:val="single" w:color="000000" w:sz="4" w:space="0"/>
              <w:right w:val="single" w:color="000000" w:sz="4" w:space="0"/>
            </w:tcBorders>
            <w:noWrap w:val="0"/>
            <w:vAlign w:val="center"/>
          </w:tcPr>
          <w:p w14:paraId="26072E1E">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300*350*14</w:t>
            </w:r>
          </w:p>
        </w:tc>
        <w:tc>
          <w:tcPr>
            <w:tcW w:w="1034" w:type="dxa"/>
            <w:tcBorders>
              <w:bottom w:val="single" w:color="000000" w:sz="4" w:space="0"/>
              <w:right w:val="single" w:color="000000" w:sz="4" w:space="0"/>
            </w:tcBorders>
            <w:noWrap w:val="0"/>
            <w:vAlign w:val="center"/>
          </w:tcPr>
          <w:p w14:paraId="2600D4FA">
            <w:pPr>
              <w:kinsoku/>
              <w:autoSpaceDE/>
              <w:autoSpaceDN/>
              <w:adjustRightInd/>
              <w:snapToGrid/>
              <w:ind w:left="480"/>
              <w:jc w:val="center"/>
              <w:textAlignment w:val="center"/>
              <w:rPr>
                <w:rFonts w:ascii="宋体" w:hAnsi="宋体" w:eastAsia="宋体" w:cs="宋体"/>
                <w:snapToGrid/>
                <w:color w:val="auto"/>
                <w:sz w:val="24"/>
                <w:szCs w:val="24"/>
                <w:lang w:eastAsia="zh-CN" w:bidi="ar"/>
              </w:rPr>
            </w:pPr>
          </w:p>
        </w:tc>
      </w:tr>
      <w:tr w14:paraId="002ABBA8">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0FB24878">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7、</w:t>
            </w:r>
          </w:p>
        </w:tc>
        <w:tc>
          <w:tcPr>
            <w:tcW w:w="3685" w:type="dxa"/>
            <w:tcBorders>
              <w:bottom w:val="single" w:color="000000" w:sz="4" w:space="0"/>
              <w:right w:val="single" w:color="000000" w:sz="4" w:space="0"/>
            </w:tcBorders>
            <w:noWrap w:val="0"/>
            <w:vAlign w:val="center"/>
          </w:tcPr>
          <w:p w14:paraId="2DD9C836">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电梯曳引机承重吊钩（2T)</w:t>
            </w:r>
          </w:p>
        </w:tc>
        <w:tc>
          <w:tcPr>
            <w:tcW w:w="709" w:type="dxa"/>
            <w:tcBorders>
              <w:bottom w:val="single" w:color="auto" w:sz="4" w:space="0"/>
              <w:right w:val="single" w:color="000000" w:sz="4" w:space="0"/>
            </w:tcBorders>
            <w:noWrap w:val="0"/>
            <w:vAlign w:val="center"/>
          </w:tcPr>
          <w:p w14:paraId="3D03513A">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个</w:t>
            </w:r>
          </w:p>
        </w:tc>
        <w:tc>
          <w:tcPr>
            <w:tcW w:w="1801" w:type="dxa"/>
            <w:tcBorders>
              <w:top w:val="single" w:color="000000" w:sz="4" w:space="0"/>
              <w:left w:val="single" w:color="000000" w:sz="4" w:space="0"/>
              <w:bottom w:val="single" w:color="auto" w:sz="4" w:space="0"/>
              <w:right w:val="single" w:color="000000" w:sz="4" w:space="0"/>
            </w:tcBorders>
            <w:noWrap w:val="0"/>
            <w:vAlign w:val="center"/>
          </w:tcPr>
          <w:p w14:paraId="70C9D960">
            <w:pPr>
              <w:kinsoku/>
              <w:autoSpaceDE/>
              <w:autoSpaceDN/>
              <w:adjustRightInd/>
              <w:snapToGrid/>
              <w:ind w:firstLine="240" w:firstLineChars="100"/>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限吊2吨</w:t>
            </w:r>
          </w:p>
        </w:tc>
        <w:tc>
          <w:tcPr>
            <w:tcW w:w="1034" w:type="dxa"/>
            <w:tcBorders>
              <w:bottom w:val="single" w:color="000000" w:sz="4" w:space="0"/>
              <w:right w:val="single" w:color="000000" w:sz="4" w:space="0"/>
            </w:tcBorders>
            <w:noWrap w:val="0"/>
            <w:vAlign w:val="center"/>
          </w:tcPr>
          <w:p w14:paraId="00C2C578">
            <w:pPr>
              <w:widowControl w:val="0"/>
              <w:kinsoku/>
              <w:autoSpaceDE/>
              <w:autoSpaceDN/>
              <w:adjustRightInd/>
              <w:snapToGrid/>
              <w:ind w:left="480"/>
              <w:jc w:val="center"/>
              <w:textAlignment w:val="auto"/>
              <w:rPr>
                <w:rFonts w:ascii="宋体" w:hAnsi="宋体" w:eastAsia="宋体" w:cs="宋体"/>
                <w:snapToGrid/>
                <w:color w:val="auto"/>
                <w:sz w:val="24"/>
                <w:szCs w:val="24"/>
                <w:lang w:eastAsia="zh-CN" w:bidi="ar"/>
              </w:rPr>
            </w:pPr>
          </w:p>
        </w:tc>
      </w:tr>
      <w:tr w14:paraId="4FECB48F">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0C46B675">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8、</w:t>
            </w:r>
          </w:p>
        </w:tc>
        <w:tc>
          <w:tcPr>
            <w:tcW w:w="3685" w:type="dxa"/>
            <w:tcBorders>
              <w:bottom w:val="single" w:color="000000" w:sz="4" w:space="0"/>
              <w:right w:val="single" w:color="auto" w:sz="4" w:space="0"/>
            </w:tcBorders>
            <w:noWrap w:val="0"/>
            <w:vAlign w:val="center"/>
          </w:tcPr>
          <w:p w14:paraId="193D30EE">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电梯钢结构外封金属板(采用符合</w:t>
            </w:r>
            <w:r>
              <w:rPr>
                <w:rFonts w:ascii="宋体" w:hAnsi="宋体" w:eastAsia="宋体" w:cs="宋体"/>
                <w:snapToGrid/>
                <w:color w:val="auto"/>
                <w:sz w:val="24"/>
                <w:szCs w:val="24"/>
                <w:lang w:eastAsia="zh-CN" w:bidi="ar"/>
              </w:rPr>
              <w:t>《建筑装饰用铝单板》GB/T 23443-2024</w:t>
            </w:r>
            <w:r>
              <w:rPr>
                <w:rFonts w:hint="eastAsia" w:ascii="宋体" w:hAnsi="宋体" w:eastAsia="宋体" w:cs="宋体"/>
                <w:snapToGrid/>
                <w:color w:val="auto"/>
                <w:sz w:val="24"/>
                <w:szCs w:val="24"/>
                <w:lang w:eastAsia="zh-CN" w:bidi="ar"/>
              </w:rPr>
              <w:t>要求，且厚度不小于3.0mm)</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2674C2C1">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平方</w:t>
            </w:r>
          </w:p>
        </w:tc>
        <w:tc>
          <w:tcPr>
            <w:tcW w:w="1801" w:type="dxa"/>
            <w:tcBorders>
              <w:top w:val="single" w:color="auto" w:sz="4" w:space="0"/>
              <w:left w:val="single" w:color="auto" w:sz="4" w:space="0"/>
              <w:bottom w:val="single" w:color="auto" w:sz="4" w:space="0"/>
              <w:right w:val="single" w:color="auto" w:sz="4" w:space="0"/>
            </w:tcBorders>
            <w:noWrap w:val="0"/>
            <w:vAlign w:val="center"/>
          </w:tcPr>
          <w:p w14:paraId="19A9A965">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按建筑国标要求</w:t>
            </w:r>
          </w:p>
        </w:tc>
        <w:tc>
          <w:tcPr>
            <w:tcW w:w="1034" w:type="dxa"/>
            <w:tcBorders>
              <w:left w:val="single" w:color="auto" w:sz="4" w:space="0"/>
              <w:bottom w:val="single" w:color="000000" w:sz="4" w:space="0"/>
              <w:right w:val="single" w:color="000000" w:sz="4" w:space="0"/>
            </w:tcBorders>
            <w:noWrap w:val="0"/>
            <w:vAlign w:val="center"/>
          </w:tcPr>
          <w:p w14:paraId="3B363F71">
            <w:pPr>
              <w:widowControl w:val="0"/>
              <w:kinsoku/>
              <w:autoSpaceDE/>
              <w:autoSpaceDN/>
              <w:adjustRightInd/>
              <w:snapToGrid/>
              <w:ind w:left="480"/>
              <w:jc w:val="center"/>
              <w:textAlignment w:val="auto"/>
              <w:rPr>
                <w:rFonts w:ascii="宋体" w:hAnsi="宋体" w:eastAsia="宋体" w:cs="宋体"/>
                <w:snapToGrid/>
                <w:color w:val="auto"/>
                <w:sz w:val="24"/>
                <w:szCs w:val="24"/>
                <w:lang w:eastAsia="zh-CN" w:bidi="ar"/>
              </w:rPr>
            </w:pPr>
          </w:p>
        </w:tc>
      </w:tr>
      <w:tr w14:paraId="16572898">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47E30C98">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9、</w:t>
            </w:r>
          </w:p>
        </w:tc>
        <w:tc>
          <w:tcPr>
            <w:tcW w:w="3685" w:type="dxa"/>
            <w:tcBorders>
              <w:bottom w:val="single" w:color="000000" w:sz="4" w:space="0"/>
              <w:right w:val="single" w:color="auto" w:sz="4" w:space="0"/>
            </w:tcBorders>
            <w:noWrap w:val="0"/>
            <w:vAlign w:val="center"/>
          </w:tcPr>
          <w:p w14:paraId="748C74BD">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安装配件（电焊条、螺栓，油漆等）</w:t>
            </w:r>
          </w:p>
        </w:tc>
        <w:tc>
          <w:tcPr>
            <w:tcW w:w="709" w:type="dxa"/>
            <w:tcBorders>
              <w:top w:val="single" w:color="auto" w:sz="4" w:space="0"/>
              <w:left w:val="single" w:color="auto" w:sz="4" w:space="0"/>
              <w:bottom w:val="single" w:color="auto" w:sz="4" w:space="0"/>
              <w:right w:val="single" w:color="auto" w:sz="4" w:space="0"/>
            </w:tcBorders>
            <w:noWrap w:val="0"/>
            <w:vAlign w:val="center"/>
          </w:tcPr>
          <w:p w14:paraId="49FF29D4">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套</w:t>
            </w:r>
          </w:p>
        </w:tc>
        <w:tc>
          <w:tcPr>
            <w:tcW w:w="1801" w:type="dxa"/>
            <w:tcBorders>
              <w:top w:val="single" w:color="auto" w:sz="4" w:space="0"/>
              <w:left w:val="single" w:color="auto" w:sz="4" w:space="0"/>
              <w:bottom w:val="single" w:color="auto" w:sz="4" w:space="0"/>
              <w:right w:val="single" w:color="auto" w:sz="4" w:space="0"/>
            </w:tcBorders>
            <w:noWrap w:val="0"/>
            <w:vAlign w:val="center"/>
          </w:tcPr>
          <w:p w14:paraId="0C52C49C">
            <w:pPr>
              <w:kinsoku/>
              <w:autoSpaceDE/>
              <w:autoSpaceDN/>
              <w:adjustRightInd/>
              <w:snapToGrid/>
              <w:jc w:val="center"/>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14号化学栓</w:t>
            </w:r>
          </w:p>
        </w:tc>
        <w:tc>
          <w:tcPr>
            <w:tcW w:w="1034" w:type="dxa"/>
            <w:tcBorders>
              <w:left w:val="single" w:color="auto" w:sz="4" w:space="0"/>
              <w:bottom w:val="single" w:color="000000" w:sz="4" w:space="0"/>
              <w:right w:val="single" w:color="000000" w:sz="4" w:space="0"/>
            </w:tcBorders>
            <w:noWrap w:val="0"/>
            <w:vAlign w:val="center"/>
          </w:tcPr>
          <w:p w14:paraId="3F24EAB2">
            <w:pPr>
              <w:kinsoku/>
              <w:autoSpaceDE/>
              <w:autoSpaceDN/>
              <w:adjustRightInd/>
              <w:snapToGrid/>
              <w:ind w:left="480"/>
              <w:jc w:val="both"/>
              <w:textAlignment w:val="center"/>
              <w:rPr>
                <w:rFonts w:ascii="宋体" w:hAnsi="宋体" w:eastAsia="宋体" w:cs="宋体"/>
                <w:snapToGrid/>
                <w:color w:val="auto"/>
                <w:sz w:val="24"/>
                <w:szCs w:val="24"/>
                <w:lang w:eastAsia="zh-CN" w:bidi="ar"/>
              </w:rPr>
            </w:pPr>
          </w:p>
        </w:tc>
      </w:tr>
      <w:tr w14:paraId="4F62C470">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3765F268">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10、</w:t>
            </w:r>
          </w:p>
        </w:tc>
        <w:tc>
          <w:tcPr>
            <w:tcW w:w="3685" w:type="dxa"/>
            <w:tcBorders>
              <w:bottom w:val="single" w:color="000000" w:sz="4" w:space="0"/>
              <w:right w:val="single" w:color="000000" w:sz="4" w:space="0"/>
            </w:tcBorders>
            <w:noWrap w:val="0"/>
            <w:vAlign w:val="center"/>
          </w:tcPr>
          <w:p w14:paraId="1AAF81E8">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钢材运输费</w:t>
            </w:r>
          </w:p>
        </w:tc>
        <w:tc>
          <w:tcPr>
            <w:tcW w:w="709" w:type="dxa"/>
            <w:tcBorders>
              <w:top w:val="single" w:color="auto" w:sz="4" w:space="0"/>
              <w:left w:val="single" w:color="000000" w:sz="4" w:space="0"/>
              <w:bottom w:val="single" w:color="000000" w:sz="4" w:space="0"/>
              <w:right w:val="single" w:color="000000" w:sz="4" w:space="0"/>
            </w:tcBorders>
            <w:noWrap w:val="0"/>
            <w:vAlign w:val="center"/>
          </w:tcPr>
          <w:p w14:paraId="7FEEFCA0">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车</w:t>
            </w:r>
          </w:p>
        </w:tc>
        <w:tc>
          <w:tcPr>
            <w:tcW w:w="1801" w:type="dxa"/>
            <w:tcBorders>
              <w:top w:val="single" w:color="auto" w:sz="4" w:space="0"/>
              <w:bottom w:val="single" w:color="000000" w:sz="4" w:space="0"/>
              <w:right w:val="single" w:color="000000" w:sz="4" w:space="0"/>
            </w:tcBorders>
            <w:noWrap w:val="0"/>
            <w:vAlign w:val="center"/>
          </w:tcPr>
          <w:p w14:paraId="43B3DB2B">
            <w:pPr>
              <w:kinsoku/>
              <w:autoSpaceDE/>
              <w:autoSpaceDN/>
              <w:adjustRightInd/>
              <w:snapToGrid/>
              <w:ind w:left="480"/>
              <w:jc w:val="center"/>
              <w:textAlignment w:val="center"/>
              <w:rPr>
                <w:rFonts w:ascii="宋体" w:hAnsi="宋体" w:eastAsia="宋体" w:cs="宋体"/>
                <w:snapToGrid/>
                <w:color w:val="auto"/>
                <w:sz w:val="24"/>
                <w:szCs w:val="24"/>
                <w:lang w:eastAsia="zh-CN" w:bidi="ar"/>
              </w:rPr>
            </w:pPr>
          </w:p>
        </w:tc>
        <w:tc>
          <w:tcPr>
            <w:tcW w:w="1034" w:type="dxa"/>
            <w:tcBorders>
              <w:bottom w:val="single" w:color="000000" w:sz="4" w:space="0"/>
              <w:right w:val="single" w:color="000000" w:sz="4" w:space="0"/>
            </w:tcBorders>
            <w:noWrap w:val="0"/>
            <w:vAlign w:val="center"/>
          </w:tcPr>
          <w:p w14:paraId="1B5BB618">
            <w:pPr>
              <w:widowControl w:val="0"/>
              <w:kinsoku/>
              <w:autoSpaceDE/>
              <w:autoSpaceDN/>
              <w:adjustRightInd/>
              <w:snapToGrid/>
              <w:ind w:left="480"/>
              <w:jc w:val="center"/>
              <w:textAlignment w:val="auto"/>
              <w:rPr>
                <w:rFonts w:ascii="宋体" w:hAnsi="宋体" w:eastAsia="宋体" w:cs="宋体"/>
                <w:snapToGrid/>
                <w:color w:val="auto"/>
                <w:sz w:val="24"/>
                <w:szCs w:val="24"/>
                <w:lang w:eastAsia="zh-CN" w:bidi="ar"/>
              </w:rPr>
            </w:pPr>
          </w:p>
        </w:tc>
      </w:tr>
      <w:tr w14:paraId="7C6DC7DE">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4E947026">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11、</w:t>
            </w:r>
          </w:p>
        </w:tc>
        <w:tc>
          <w:tcPr>
            <w:tcW w:w="3685" w:type="dxa"/>
            <w:tcBorders>
              <w:bottom w:val="single" w:color="000000" w:sz="4" w:space="0"/>
              <w:right w:val="single" w:color="000000" w:sz="4" w:space="0"/>
            </w:tcBorders>
            <w:noWrap w:val="0"/>
            <w:vAlign w:val="center"/>
          </w:tcPr>
          <w:p w14:paraId="6C974084">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电梯顶棚防火岩棉瓦+耐腐蚀304不锈钢板(厚度不小于2.0mm)防水</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14:paraId="33130B47">
            <w:pPr>
              <w:widowControl w:val="0"/>
              <w:kinsoku/>
              <w:autoSpaceDE/>
              <w:autoSpaceDN/>
              <w:adjustRightInd/>
              <w:snapToGrid/>
              <w:jc w:val="both"/>
              <w:textAlignment w:val="auto"/>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平方</w:t>
            </w:r>
          </w:p>
        </w:tc>
        <w:tc>
          <w:tcPr>
            <w:tcW w:w="1801" w:type="dxa"/>
            <w:tcBorders>
              <w:bottom w:val="single" w:color="000000" w:sz="4" w:space="0"/>
              <w:right w:val="single" w:color="000000" w:sz="4" w:space="0"/>
            </w:tcBorders>
            <w:noWrap w:val="0"/>
            <w:vAlign w:val="center"/>
          </w:tcPr>
          <w:p w14:paraId="2C5C75DA">
            <w:pPr>
              <w:widowControl w:val="0"/>
              <w:kinsoku/>
              <w:autoSpaceDE/>
              <w:autoSpaceDN/>
              <w:adjustRightInd/>
              <w:snapToGrid/>
              <w:jc w:val="center"/>
              <w:textAlignment w:val="auto"/>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50型</w:t>
            </w:r>
          </w:p>
        </w:tc>
        <w:tc>
          <w:tcPr>
            <w:tcW w:w="1034" w:type="dxa"/>
            <w:tcBorders>
              <w:bottom w:val="single" w:color="000000" w:sz="4" w:space="0"/>
              <w:right w:val="single" w:color="000000" w:sz="4" w:space="0"/>
            </w:tcBorders>
            <w:noWrap w:val="0"/>
            <w:vAlign w:val="center"/>
          </w:tcPr>
          <w:p w14:paraId="1F13411B">
            <w:pPr>
              <w:widowControl w:val="0"/>
              <w:kinsoku/>
              <w:autoSpaceDE/>
              <w:autoSpaceDN/>
              <w:adjustRightInd/>
              <w:snapToGrid/>
              <w:ind w:left="480"/>
              <w:jc w:val="center"/>
              <w:textAlignment w:val="auto"/>
              <w:rPr>
                <w:rFonts w:ascii="宋体" w:hAnsi="宋体" w:eastAsia="宋体" w:cs="宋体"/>
                <w:snapToGrid/>
                <w:color w:val="auto"/>
                <w:sz w:val="24"/>
                <w:szCs w:val="24"/>
                <w:lang w:eastAsia="zh-CN" w:bidi="ar"/>
              </w:rPr>
            </w:pPr>
          </w:p>
        </w:tc>
      </w:tr>
      <w:tr w14:paraId="2AF05F9A">
        <w:tblPrEx>
          <w:tblCellMar>
            <w:top w:w="15" w:type="dxa"/>
            <w:left w:w="15" w:type="dxa"/>
            <w:bottom w:w="15" w:type="dxa"/>
            <w:right w:w="15" w:type="dxa"/>
          </w:tblCellMar>
        </w:tblPrEx>
        <w:trPr>
          <w:trHeight w:val="73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131C8852">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二、</w:t>
            </w:r>
          </w:p>
        </w:tc>
        <w:tc>
          <w:tcPr>
            <w:tcW w:w="3685" w:type="dxa"/>
            <w:tcBorders>
              <w:bottom w:val="single" w:color="000000" w:sz="4" w:space="0"/>
              <w:right w:val="single" w:color="000000" w:sz="4" w:space="0"/>
            </w:tcBorders>
            <w:noWrap w:val="0"/>
            <w:vAlign w:val="center"/>
          </w:tcPr>
          <w:p w14:paraId="0BC58668">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住院楼电梯井道加设高品质管道轴流风机通风(直径不小于20寸)</w:t>
            </w:r>
          </w:p>
        </w:tc>
        <w:tc>
          <w:tcPr>
            <w:tcW w:w="709" w:type="dxa"/>
            <w:tcBorders>
              <w:top w:val="single" w:color="000000" w:sz="4" w:space="0"/>
              <w:left w:val="single" w:color="000000" w:sz="4" w:space="0"/>
              <w:bottom w:val="single" w:color="000000" w:sz="4" w:space="0"/>
              <w:right w:val="single" w:color="000000" w:sz="4" w:space="0"/>
            </w:tcBorders>
            <w:noWrap w:val="0"/>
            <w:vAlign w:val="center"/>
          </w:tcPr>
          <w:p w14:paraId="0F696AC0">
            <w:pPr>
              <w:kinsoku/>
              <w:autoSpaceDE/>
              <w:autoSpaceDN/>
              <w:adjustRightInd/>
              <w:snapToGrid/>
              <w:jc w:val="both"/>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组</w:t>
            </w:r>
          </w:p>
        </w:tc>
        <w:tc>
          <w:tcPr>
            <w:tcW w:w="1801" w:type="dxa"/>
            <w:tcBorders>
              <w:bottom w:val="single" w:color="000000" w:sz="4" w:space="0"/>
              <w:right w:val="single" w:color="000000" w:sz="4" w:space="0"/>
            </w:tcBorders>
            <w:noWrap w:val="0"/>
            <w:vAlign w:val="center"/>
          </w:tcPr>
          <w:p w14:paraId="1AC8FEDB">
            <w:pPr>
              <w:kinsoku/>
              <w:autoSpaceDE/>
              <w:autoSpaceDN/>
              <w:adjustRightInd/>
              <w:snapToGrid/>
              <w:textAlignment w:val="center"/>
              <w:rPr>
                <w:rFonts w:ascii="宋体" w:hAnsi="宋体" w:eastAsia="宋体" w:cs="宋体"/>
                <w:snapToGrid/>
                <w:color w:val="auto"/>
                <w:sz w:val="24"/>
                <w:szCs w:val="24"/>
                <w:lang w:eastAsia="zh-CN" w:bidi="ar"/>
              </w:rPr>
            </w:pPr>
            <w:r>
              <w:rPr>
                <w:rFonts w:hint="eastAsia" w:ascii="宋体" w:hAnsi="宋体" w:eastAsia="宋体" w:cs="宋体"/>
                <w:snapToGrid/>
                <w:color w:val="auto"/>
                <w:sz w:val="24"/>
                <w:szCs w:val="24"/>
                <w:lang w:eastAsia="zh-CN" w:bidi="ar"/>
              </w:rPr>
              <w:t>铜芯，循环运行、定时变频调速</w:t>
            </w:r>
          </w:p>
        </w:tc>
        <w:tc>
          <w:tcPr>
            <w:tcW w:w="1034" w:type="dxa"/>
            <w:tcBorders>
              <w:bottom w:val="single" w:color="000000" w:sz="4" w:space="0"/>
              <w:right w:val="single" w:color="000000" w:sz="4" w:space="0"/>
            </w:tcBorders>
            <w:noWrap w:val="0"/>
            <w:vAlign w:val="center"/>
          </w:tcPr>
          <w:p w14:paraId="26098238">
            <w:pPr>
              <w:widowControl w:val="0"/>
              <w:kinsoku/>
              <w:autoSpaceDE/>
              <w:autoSpaceDN/>
              <w:adjustRightInd/>
              <w:snapToGrid/>
              <w:ind w:left="480"/>
              <w:jc w:val="center"/>
              <w:textAlignment w:val="auto"/>
              <w:rPr>
                <w:rFonts w:ascii="宋体" w:hAnsi="宋体" w:eastAsia="宋体" w:cs="宋体"/>
                <w:snapToGrid/>
                <w:color w:val="auto"/>
                <w:sz w:val="24"/>
                <w:szCs w:val="24"/>
                <w:lang w:eastAsia="zh-CN" w:bidi="ar"/>
              </w:rPr>
            </w:pPr>
          </w:p>
        </w:tc>
      </w:tr>
      <w:tr w14:paraId="3F4AB518">
        <w:tblPrEx>
          <w:tblCellMar>
            <w:top w:w="15" w:type="dxa"/>
            <w:left w:w="15" w:type="dxa"/>
            <w:bottom w:w="15" w:type="dxa"/>
            <w:right w:w="15" w:type="dxa"/>
          </w:tblCellMar>
        </w:tblPrEx>
        <w:trPr>
          <w:trHeight w:val="495" w:hRule="atLeast"/>
          <w:jc w:val="center"/>
        </w:trPr>
        <w:tc>
          <w:tcPr>
            <w:tcW w:w="710" w:type="dxa"/>
            <w:tcBorders>
              <w:top w:val="single" w:color="000000" w:sz="4" w:space="0"/>
              <w:left w:val="single" w:color="000000" w:sz="4" w:space="0"/>
              <w:bottom w:val="single" w:color="000000" w:sz="4" w:space="0"/>
              <w:right w:val="single" w:color="000000" w:sz="4" w:space="0"/>
            </w:tcBorders>
            <w:noWrap w:val="0"/>
            <w:vAlign w:val="center"/>
          </w:tcPr>
          <w:p w14:paraId="332754C6">
            <w:pPr>
              <w:kinsoku/>
              <w:autoSpaceDE/>
              <w:autoSpaceDN/>
              <w:adjustRightInd/>
              <w:snapToGrid/>
              <w:jc w:val="both"/>
              <w:textAlignment w:val="center"/>
              <w:rPr>
                <w:rFonts w:ascii="宋体" w:hAnsi="宋体" w:eastAsia="宋体" w:cs="宋体"/>
                <w:snapToGrid/>
                <w:color w:val="auto"/>
                <w:sz w:val="24"/>
                <w:szCs w:val="24"/>
                <w:lang w:eastAsia="zh-CN" w:bidi="ar"/>
              </w:rPr>
            </w:pPr>
          </w:p>
        </w:tc>
        <w:tc>
          <w:tcPr>
            <w:tcW w:w="3685" w:type="dxa"/>
            <w:tcBorders>
              <w:bottom w:val="single" w:color="000000" w:sz="4" w:space="0"/>
              <w:right w:val="single" w:color="000000" w:sz="4" w:space="0"/>
            </w:tcBorders>
            <w:noWrap w:val="0"/>
            <w:vAlign w:val="center"/>
          </w:tcPr>
          <w:p w14:paraId="05F8F1F1">
            <w:pPr>
              <w:kinsoku/>
              <w:autoSpaceDE/>
              <w:autoSpaceDN/>
              <w:adjustRightInd/>
              <w:snapToGrid/>
              <w:textAlignment w:val="center"/>
              <w:rPr>
                <w:rFonts w:ascii="宋体" w:hAnsi="宋体" w:eastAsia="宋体" w:cs="宋体"/>
                <w:snapToGrid/>
                <w:color w:val="auto"/>
                <w:sz w:val="24"/>
                <w:szCs w:val="24"/>
                <w:lang w:eastAsia="zh-CN" w:bidi="ar"/>
              </w:rPr>
            </w:pPr>
          </w:p>
        </w:tc>
        <w:tc>
          <w:tcPr>
            <w:tcW w:w="709" w:type="dxa"/>
            <w:tcBorders>
              <w:top w:val="single" w:color="000000" w:sz="4" w:space="0"/>
              <w:left w:val="single" w:color="000000" w:sz="4" w:space="0"/>
              <w:bottom w:val="single" w:color="000000" w:sz="4" w:space="0"/>
              <w:right w:val="single" w:color="000000" w:sz="4" w:space="0"/>
            </w:tcBorders>
            <w:noWrap w:val="0"/>
            <w:vAlign w:val="center"/>
          </w:tcPr>
          <w:p w14:paraId="3268CB69">
            <w:pPr>
              <w:kinsoku/>
              <w:autoSpaceDE/>
              <w:autoSpaceDN/>
              <w:adjustRightInd/>
              <w:snapToGrid/>
              <w:jc w:val="both"/>
              <w:textAlignment w:val="center"/>
              <w:rPr>
                <w:rFonts w:ascii="宋体" w:hAnsi="宋体" w:eastAsia="宋体" w:cs="宋体"/>
                <w:snapToGrid/>
                <w:color w:val="auto"/>
                <w:sz w:val="24"/>
                <w:szCs w:val="24"/>
                <w:lang w:eastAsia="zh-CN" w:bidi="ar"/>
              </w:rPr>
            </w:pPr>
          </w:p>
        </w:tc>
        <w:tc>
          <w:tcPr>
            <w:tcW w:w="1801" w:type="dxa"/>
            <w:tcBorders>
              <w:bottom w:val="single" w:color="000000" w:sz="4" w:space="0"/>
              <w:right w:val="single" w:color="000000" w:sz="4" w:space="0"/>
            </w:tcBorders>
            <w:noWrap w:val="0"/>
            <w:vAlign w:val="center"/>
          </w:tcPr>
          <w:p w14:paraId="126D7AD6">
            <w:pPr>
              <w:kinsoku/>
              <w:autoSpaceDE/>
              <w:autoSpaceDN/>
              <w:adjustRightInd/>
              <w:snapToGrid/>
              <w:ind w:left="480"/>
              <w:jc w:val="center"/>
              <w:textAlignment w:val="center"/>
              <w:rPr>
                <w:rFonts w:ascii="宋体" w:hAnsi="宋体" w:eastAsia="宋体" w:cs="宋体"/>
                <w:snapToGrid/>
                <w:color w:val="auto"/>
                <w:sz w:val="24"/>
                <w:szCs w:val="24"/>
                <w:lang w:eastAsia="zh-CN" w:bidi="ar"/>
              </w:rPr>
            </w:pPr>
          </w:p>
        </w:tc>
        <w:tc>
          <w:tcPr>
            <w:tcW w:w="1034" w:type="dxa"/>
            <w:tcBorders>
              <w:bottom w:val="single" w:color="000000" w:sz="4" w:space="0"/>
              <w:right w:val="single" w:color="000000" w:sz="4" w:space="0"/>
            </w:tcBorders>
            <w:noWrap w:val="0"/>
            <w:vAlign w:val="center"/>
          </w:tcPr>
          <w:p w14:paraId="46FCBD0E">
            <w:pPr>
              <w:widowControl w:val="0"/>
              <w:kinsoku/>
              <w:autoSpaceDE/>
              <w:autoSpaceDN/>
              <w:adjustRightInd/>
              <w:snapToGrid/>
              <w:ind w:left="480"/>
              <w:jc w:val="center"/>
              <w:textAlignment w:val="auto"/>
              <w:rPr>
                <w:rFonts w:ascii="宋体" w:hAnsi="宋体" w:eastAsia="宋体" w:cs="宋体"/>
                <w:snapToGrid/>
                <w:color w:val="auto"/>
                <w:sz w:val="24"/>
                <w:szCs w:val="24"/>
                <w:lang w:eastAsia="zh-CN" w:bidi="ar"/>
              </w:rPr>
            </w:pPr>
          </w:p>
        </w:tc>
      </w:tr>
    </w:tbl>
    <w:p w14:paraId="787F3C5D">
      <w:pPr>
        <w:widowControl w:val="0"/>
        <w:spacing w:after="120"/>
        <w:ind w:left="480"/>
        <w:jc w:val="both"/>
        <w:rPr>
          <w:rFonts w:ascii="宋体" w:hAnsi="宋体" w:eastAsia="宋体" w:cs="宋体"/>
          <w:color w:val="auto"/>
          <w:sz w:val="24"/>
          <w:szCs w:val="24"/>
          <w:lang w:eastAsia="zh-CN"/>
        </w:rPr>
      </w:pPr>
    </w:p>
    <w:p w14:paraId="3937E2EC">
      <w:pPr>
        <w:widowControl w:val="0"/>
        <w:kinsoku/>
        <w:autoSpaceDE/>
        <w:autoSpaceDN/>
        <w:adjustRightInd/>
        <w:snapToGrid/>
        <w:spacing w:line="360" w:lineRule="auto"/>
        <w:ind w:firstLine="482" w:firstLineChars="200"/>
        <w:jc w:val="both"/>
        <w:textAlignment w:val="auto"/>
        <w:outlineLvl w:val="2"/>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5、旧梯拆除及回收要求</w:t>
      </w:r>
    </w:p>
    <w:p w14:paraId="5E09C88E">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1）中标人需完成对现有旧梯拆除、对现有井道整备（旧梯拆除费、井道整修费等一切相关费用均包含在本次报价中）等相关工作。</w:t>
      </w:r>
    </w:p>
    <w:p w14:paraId="0CE95314">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2）中标人如需对现有井道进行整理工作，对土建结构有变化和装饰外观变化的工作应得到原设计单位确定后，由招标人许可方可实施。</w:t>
      </w:r>
    </w:p>
    <w:p w14:paraId="403FAB14">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电梯供货及安装为交钥匙工程，电梯内饰部分中标人需经招标人同意后可适当优化调整，但不得低于原标准，总价不再调整，电梯井道、基坑、机房、开门等尺寸，投标时投标人须自行勘查现场，数据以施工蓝图及现场尺寸为准。</w:t>
      </w:r>
    </w:p>
    <w:p w14:paraId="0ECD0E9D">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4）更换的电梯残值归采购人所有，由中标人搬运到采购人指定区域。</w:t>
      </w:r>
    </w:p>
    <w:p w14:paraId="301F85AE">
      <w:pPr>
        <w:widowControl w:val="0"/>
        <w:kinsoku/>
        <w:autoSpaceDE/>
        <w:autoSpaceDN/>
        <w:adjustRightInd/>
        <w:snapToGrid/>
        <w:spacing w:line="360" w:lineRule="auto"/>
        <w:ind w:firstLine="488" w:firstLineChars="200"/>
        <w:jc w:val="both"/>
        <w:textAlignment w:val="auto"/>
        <w:rPr>
          <w:rFonts w:ascii="宋体" w:hAnsi="宋体" w:eastAsia="宋体" w:cs="宋体"/>
          <w:snapToGrid/>
          <w:color w:val="auto"/>
          <w:spacing w:val="-3"/>
          <w:kern w:val="2"/>
          <w:sz w:val="24"/>
          <w:szCs w:val="24"/>
          <w:lang w:eastAsia="zh-CN"/>
        </w:rPr>
      </w:pPr>
      <w:r>
        <w:rPr>
          <w:rFonts w:ascii="宋体" w:hAnsi="宋体" w:eastAsia="宋体" w:cs="宋体"/>
          <w:snapToGrid/>
          <w:color w:val="auto"/>
          <w:spacing w:val="2"/>
          <w:kern w:val="2"/>
          <w:sz w:val="24"/>
          <w:szCs w:val="24"/>
          <w:lang w:eastAsia="zh-CN"/>
        </w:rPr>
        <w:t>本次招标采购是电梯更新改造工程，中标供应商</w:t>
      </w:r>
      <w:r>
        <w:rPr>
          <w:rFonts w:ascii="宋体" w:hAnsi="宋体" w:eastAsia="宋体" w:cs="宋体"/>
          <w:snapToGrid/>
          <w:color w:val="auto"/>
          <w:spacing w:val="1"/>
          <w:kern w:val="2"/>
          <w:sz w:val="24"/>
          <w:szCs w:val="24"/>
          <w:lang w:eastAsia="zh-CN"/>
        </w:rPr>
        <w:t>负责原有电梯的拆除和机房、井</w:t>
      </w:r>
      <w:r>
        <w:rPr>
          <w:rFonts w:ascii="宋体" w:hAnsi="宋体" w:eastAsia="宋体" w:cs="宋体"/>
          <w:snapToGrid/>
          <w:color w:val="auto"/>
          <w:spacing w:val="-4"/>
          <w:kern w:val="2"/>
          <w:sz w:val="24"/>
          <w:szCs w:val="24"/>
          <w:lang w:eastAsia="zh-CN"/>
        </w:rPr>
        <w:t>道整改（如需要）、整改措施不能对机房、井道结构安全产生破坏的相关工作，</w:t>
      </w:r>
      <w:r>
        <w:rPr>
          <w:rFonts w:ascii="宋体" w:hAnsi="宋体" w:eastAsia="宋体" w:cs="宋体"/>
          <w:snapToGrid/>
          <w:color w:val="auto"/>
          <w:spacing w:val="-23"/>
          <w:kern w:val="2"/>
          <w:sz w:val="24"/>
          <w:szCs w:val="24"/>
          <w:lang w:eastAsia="zh-CN"/>
        </w:rPr>
        <w:t xml:space="preserve"> </w:t>
      </w:r>
      <w:r>
        <w:rPr>
          <w:rFonts w:ascii="宋体" w:hAnsi="宋体" w:eastAsia="宋体" w:cs="宋体"/>
          <w:snapToGrid/>
          <w:color w:val="auto"/>
          <w:spacing w:val="-4"/>
          <w:kern w:val="2"/>
          <w:sz w:val="24"/>
          <w:szCs w:val="24"/>
          <w:lang w:eastAsia="zh-CN"/>
        </w:rPr>
        <w:t>投标人</w:t>
      </w:r>
      <w:r>
        <w:rPr>
          <w:rFonts w:ascii="宋体" w:hAnsi="宋体" w:eastAsia="宋体" w:cs="宋体"/>
          <w:snapToGrid/>
          <w:color w:val="auto"/>
          <w:spacing w:val="-9"/>
          <w:kern w:val="2"/>
          <w:sz w:val="24"/>
          <w:szCs w:val="24"/>
          <w:lang w:eastAsia="zh-CN"/>
        </w:rPr>
        <w:t>应根据原有电梯现场情况，按标准规定设计好电梯的</w:t>
      </w:r>
      <w:r>
        <w:rPr>
          <w:rFonts w:ascii="宋体" w:hAnsi="宋体" w:eastAsia="宋体" w:cs="宋体"/>
          <w:snapToGrid/>
          <w:color w:val="auto"/>
          <w:spacing w:val="-10"/>
          <w:kern w:val="2"/>
          <w:sz w:val="24"/>
          <w:szCs w:val="24"/>
          <w:lang w:eastAsia="zh-CN"/>
        </w:rPr>
        <w:t>轿厢，若轿厢宽度尺寸设计受到井</w:t>
      </w:r>
      <w:r>
        <w:rPr>
          <w:rFonts w:ascii="宋体" w:hAnsi="宋体" w:eastAsia="宋体" w:cs="宋体"/>
          <w:snapToGrid/>
          <w:color w:val="auto"/>
          <w:kern w:val="2"/>
          <w:sz w:val="24"/>
          <w:szCs w:val="24"/>
          <w:lang w:eastAsia="zh-CN"/>
        </w:rPr>
        <w:t xml:space="preserve"> </w:t>
      </w:r>
      <w:r>
        <w:rPr>
          <w:rFonts w:ascii="宋体" w:hAnsi="宋体" w:eastAsia="宋体" w:cs="宋体"/>
          <w:snapToGrid/>
          <w:color w:val="auto"/>
          <w:spacing w:val="-1"/>
          <w:kern w:val="2"/>
          <w:sz w:val="24"/>
          <w:szCs w:val="24"/>
          <w:lang w:eastAsia="zh-CN"/>
        </w:rPr>
        <w:t>道尺寸限制时，应给予说明。对所拆除旧梯到相</w:t>
      </w:r>
      <w:r>
        <w:rPr>
          <w:rFonts w:ascii="宋体" w:hAnsi="宋体" w:eastAsia="宋体" w:cs="宋体"/>
          <w:snapToGrid/>
          <w:color w:val="auto"/>
          <w:spacing w:val="-2"/>
          <w:kern w:val="2"/>
          <w:sz w:val="24"/>
          <w:szCs w:val="24"/>
          <w:lang w:eastAsia="zh-CN"/>
        </w:rPr>
        <w:t>关管理部门报废处理、备案</w:t>
      </w:r>
      <w:r>
        <w:rPr>
          <w:rFonts w:hint="eastAsia" w:ascii="宋体" w:hAnsi="宋体" w:eastAsia="宋体" w:cs="宋体"/>
          <w:snapToGrid/>
          <w:color w:val="auto"/>
          <w:spacing w:val="-2"/>
          <w:kern w:val="2"/>
          <w:sz w:val="24"/>
          <w:szCs w:val="24"/>
          <w:lang w:eastAsia="zh-CN"/>
        </w:rPr>
        <w:t>（补充说明：到属地市监部门申请，填写特种设备停用、报废申请表）</w:t>
      </w:r>
      <w:r>
        <w:rPr>
          <w:rFonts w:ascii="宋体" w:hAnsi="宋体" w:eastAsia="宋体" w:cs="宋体"/>
          <w:snapToGrid/>
          <w:color w:val="auto"/>
          <w:spacing w:val="-2"/>
          <w:kern w:val="2"/>
          <w:sz w:val="24"/>
          <w:szCs w:val="24"/>
          <w:lang w:eastAsia="zh-CN"/>
        </w:rPr>
        <w:t>。旧电梯拆</w:t>
      </w:r>
      <w:r>
        <w:rPr>
          <w:rFonts w:ascii="宋体" w:hAnsi="宋体" w:eastAsia="宋体" w:cs="宋体"/>
          <w:snapToGrid/>
          <w:color w:val="auto"/>
          <w:spacing w:val="-1"/>
          <w:kern w:val="2"/>
          <w:sz w:val="24"/>
          <w:szCs w:val="24"/>
          <w:lang w:eastAsia="zh-CN"/>
        </w:rPr>
        <w:t>除和新电梯的安装时间由采购单位统一安排。投标报价中应包含原有电梯的拆除费用、</w:t>
      </w:r>
      <w:r>
        <w:rPr>
          <w:rFonts w:ascii="宋体" w:hAnsi="宋体" w:eastAsia="宋体" w:cs="宋体"/>
          <w:snapToGrid/>
          <w:color w:val="auto"/>
          <w:spacing w:val="-3"/>
          <w:kern w:val="2"/>
          <w:sz w:val="24"/>
          <w:szCs w:val="24"/>
          <w:lang w:eastAsia="zh-CN"/>
        </w:rPr>
        <w:t>机房、井道整改及垃圾外运</w:t>
      </w:r>
      <w:r>
        <w:rPr>
          <w:rFonts w:hint="eastAsia" w:ascii="宋体" w:hAnsi="宋体" w:eastAsia="宋体" w:cs="宋体"/>
          <w:snapToGrid/>
          <w:color w:val="auto"/>
          <w:spacing w:val="-3"/>
          <w:kern w:val="2"/>
          <w:sz w:val="24"/>
          <w:szCs w:val="24"/>
          <w:lang w:eastAsia="zh-CN"/>
        </w:rPr>
        <w:t>等</w:t>
      </w:r>
      <w:r>
        <w:rPr>
          <w:rFonts w:ascii="宋体" w:hAnsi="宋体" w:eastAsia="宋体" w:cs="宋体"/>
          <w:snapToGrid/>
          <w:color w:val="auto"/>
          <w:spacing w:val="-3"/>
          <w:kern w:val="2"/>
          <w:sz w:val="24"/>
          <w:szCs w:val="24"/>
          <w:lang w:eastAsia="zh-CN"/>
        </w:rPr>
        <w:t>费用。</w:t>
      </w:r>
    </w:p>
    <w:p w14:paraId="77D3AAAB">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p>
    <w:p w14:paraId="45577AE4">
      <w:pPr>
        <w:widowControl w:val="0"/>
        <w:kinsoku/>
        <w:autoSpaceDE/>
        <w:autoSpaceDN/>
        <w:adjustRightInd/>
        <w:snapToGrid/>
        <w:spacing w:line="360" w:lineRule="auto"/>
        <w:ind w:firstLine="482" w:firstLineChars="200"/>
        <w:jc w:val="both"/>
        <w:textAlignment w:val="auto"/>
        <w:outlineLvl w:val="2"/>
        <w:rPr>
          <w:rFonts w:ascii="宋体" w:hAnsi="宋体" w:eastAsia="宋体" w:cs="宋体"/>
          <w:b/>
          <w:bCs/>
          <w:snapToGrid/>
          <w:color w:val="auto"/>
          <w:kern w:val="2"/>
          <w:sz w:val="24"/>
          <w:szCs w:val="24"/>
          <w:lang w:eastAsia="zh-CN"/>
        </w:rPr>
      </w:pPr>
      <w:bookmarkStart w:id="0" w:name="_Toc27196"/>
      <w:r>
        <w:rPr>
          <w:rFonts w:hint="eastAsia" w:ascii="宋体" w:hAnsi="宋体" w:eastAsia="宋体" w:cs="宋体"/>
          <w:b/>
          <w:bCs/>
          <w:snapToGrid/>
          <w:color w:val="auto"/>
          <w:kern w:val="2"/>
          <w:sz w:val="24"/>
          <w:szCs w:val="24"/>
          <w:lang w:eastAsia="zh-CN"/>
        </w:rPr>
        <w:t>6、电梯安装要求</w:t>
      </w:r>
      <w:bookmarkEnd w:id="0"/>
    </w:p>
    <w:p w14:paraId="2AA18A3B">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（1）工作内容</w:t>
      </w:r>
    </w:p>
    <w:p w14:paraId="2EACED8E">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1）要求提供性能优、效率高、质量可靠、运行舒适的电梯。</w:t>
      </w:r>
    </w:p>
    <w:p w14:paraId="3325BEA4">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2）投标过程中必要的现场踏勘应由投标人承担必要的费用和人员生命财产的责任及风险；</w:t>
      </w:r>
    </w:p>
    <w:p w14:paraId="4CA6823F">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中标人应于确认中标后20日内完成现场勘察及本项目设备对地下室、主体、基坑、机房等结构及建筑的各项安装准备工作，并提供施工图纸(井道设备布置图、底坑平面布置图、机房平面布置图、预埋件布置图及施工组织设计或方案等)供招标人批阅。</w:t>
      </w:r>
    </w:p>
    <w:p w14:paraId="348CDC58">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4）中标人提供所有电梯安装、调试过程所需的人员数量、岗位证书、材料、设备及仪器、工器具等明细，以及上述条款资料等为满足最终相关部门验收合格创造条件。</w:t>
      </w:r>
    </w:p>
    <w:p w14:paraId="074D748F">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5）电梯机房内除总电源（包括电梯配电箱）外，电梯设备的控制柜、接地系统等工程内容均由中标人提供和安装。</w:t>
      </w:r>
    </w:p>
    <w:p w14:paraId="5FC8B472">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6）中标人在安装过程中应对存在的有关问题及时向招标人汇报。</w:t>
      </w:r>
    </w:p>
    <w:p w14:paraId="2D984EAA">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7）中标人所采用的设备均需适合三相380V、50Hz交流动力电源，或单相220V、50Hz交流照明电源系统，以及井道内36V或24V安全照明系统，同时采取必要的技术措施，防止其他设备对本用电系统的影响。</w:t>
      </w:r>
    </w:p>
    <w:p w14:paraId="74E50BD9">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8）在质量保证期内进行保养维修工作，并定期派专人检查。</w:t>
      </w:r>
    </w:p>
    <w:p w14:paraId="6FABB966">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9）中标人应对电梯吊装方案进行充分研究，必须充分考虑在没有吊塔、外挂电梯的情况下通过电梯井道或其他预留孔洞进行设备运输的吊装方案。</w:t>
      </w:r>
    </w:p>
    <w:p w14:paraId="38D82F1F">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10) 电梯井及室外钢结构建筑需满足</w:t>
      </w:r>
      <w:r>
        <w:rPr>
          <w:rFonts w:ascii="宋体" w:hAnsi="宋体" w:eastAsia="宋体" w:cs="宋体"/>
          <w:snapToGrid/>
          <w:color w:val="auto"/>
          <w:kern w:val="2"/>
          <w:sz w:val="24"/>
          <w:szCs w:val="24"/>
          <w:lang w:eastAsia="zh-CN"/>
        </w:rPr>
        <w:t>《地下工程防水技术规范》（GB50108-2008）</w:t>
      </w:r>
      <w:r>
        <w:rPr>
          <w:rFonts w:hint="eastAsia" w:ascii="宋体" w:hAnsi="宋体" w:eastAsia="宋体" w:cs="宋体"/>
          <w:snapToGrid/>
          <w:color w:val="auto"/>
          <w:kern w:val="2"/>
          <w:sz w:val="24"/>
          <w:szCs w:val="24"/>
          <w:lang w:eastAsia="zh-CN"/>
        </w:rPr>
        <w:t>及</w:t>
      </w:r>
      <w:r>
        <w:rPr>
          <w:rFonts w:ascii="宋体" w:hAnsi="宋体" w:eastAsia="宋体" w:cs="宋体"/>
          <w:snapToGrid/>
          <w:color w:val="auto"/>
          <w:kern w:val="2"/>
          <w:sz w:val="24"/>
          <w:szCs w:val="24"/>
          <w:lang w:eastAsia="zh-CN"/>
        </w:rPr>
        <w:t>《建筑与市政工程防水通用规范》</w:t>
      </w:r>
      <w:r>
        <w:rPr>
          <w:rFonts w:hint="eastAsia" w:ascii="宋体" w:hAnsi="宋体" w:eastAsia="宋体" w:cs="宋体"/>
          <w:snapToGrid/>
          <w:color w:val="auto"/>
          <w:kern w:val="2"/>
          <w:sz w:val="24"/>
          <w:szCs w:val="24"/>
          <w:lang w:eastAsia="zh-CN"/>
        </w:rPr>
        <w:t>(</w:t>
      </w:r>
      <w:r>
        <w:rPr>
          <w:rFonts w:ascii="宋体" w:hAnsi="宋体" w:eastAsia="宋体" w:cs="宋体"/>
          <w:snapToGrid/>
          <w:color w:val="auto"/>
          <w:kern w:val="2"/>
          <w:sz w:val="24"/>
          <w:szCs w:val="24"/>
          <w:lang w:eastAsia="zh-CN"/>
        </w:rPr>
        <w:t>GB55030-2022</w:t>
      </w:r>
      <w:r>
        <w:rPr>
          <w:rFonts w:hint="eastAsia" w:ascii="宋体" w:hAnsi="宋体" w:eastAsia="宋体" w:cs="宋体"/>
          <w:snapToGrid/>
          <w:color w:val="auto"/>
          <w:kern w:val="2"/>
          <w:sz w:val="24"/>
          <w:szCs w:val="24"/>
          <w:lang w:eastAsia="zh-CN"/>
        </w:rPr>
        <w:t>)有关要求，且</w:t>
      </w:r>
      <w:r>
        <w:rPr>
          <w:rFonts w:ascii="宋体" w:hAnsi="宋体" w:eastAsia="宋体" w:cs="宋体"/>
          <w:snapToGrid/>
          <w:color w:val="auto"/>
          <w:kern w:val="2"/>
          <w:sz w:val="24"/>
          <w:szCs w:val="24"/>
          <w:lang w:eastAsia="zh-CN"/>
        </w:rPr>
        <w:t>防水等级要求不低于二级</w:t>
      </w:r>
      <w:r>
        <w:rPr>
          <w:rFonts w:hint="eastAsia" w:ascii="宋体" w:hAnsi="宋体" w:eastAsia="宋体" w:cs="宋体"/>
          <w:snapToGrid/>
          <w:color w:val="auto"/>
          <w:kern w:val="2"/>
          <w:sz w:val="24"/>
          <w:szCs w:val="24"/>
          <w:lang w:eastAsia="zh-CN"/>
        </w:rPr>
        <w:t>。</w:t>
      </w:r>
    </w:p>
    <w:p w14:paraId="1D3F74B1">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11）中标人安装图纸必须经过招标人认可后方可施工，施工过程中不得破坏原结构。中标人须自行踏勘现场情况，招标文件所载数据仅供参考。中标人应当保证施工质量，需严格遵守国家标准及安全技术规范，确保改造后的电梯符合安全性能标准等。</w:t>
      </w:r>
    </w:p>
    <w:p w14:paraId="27463212">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（2）电梯的设备供应、安装调试人员要求及责任。</w:t>
      </w:r>
    </w:p>
    <w:p w14:paraId="7A30DA50">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1）本次招标的内容包括电梯设备供货和安装、调试等全部工作。</w:t>
      </w:r>
    </w:p>
    <w:p w14:paraId="512E07FD">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2）中标人具备电梯安装资质，安装人员应由常年从事招标人所选用电梯型号和项目特点的电梯安装、调试人员所组成，项目经理、技术负责人、主要安装工人、检测人员应为中标人安装人员中的技术骨干。</w:t>
      </w:r>
    </w:p>
    <w:p w14:paraId="56816B01">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3）中标人应负责本项目电梯的安装、调试及验收，直到取得当地政府部门下发的验收合格证明及准许使用证明。</w:t>
      </w:r>
    </w:p>
    <w:p w14:paraId="0AFDE46E">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 xml:space="preserve">4）电梯安装人员应取得特种作业岗位证书并持证上岗； </w:t>
      </w:r>
    </w:p>
    <w:p w14:paraId="1684ED4A">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（3）保修期内的保养维修及保修期外的继续保养</w:t>
      </w:r>
    </w:p>
    <w:p w14:paraId="39333CB7">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1）供应商应提供整体项目24个月的维保服务</w:t>
      </w:r>
      <w:r>
        <w:rPr>
          <w:rFonts w:hint="eastAsia" w:ascii="Times New Roman" w:hAnsi="Times New Roman" w:eastAsia="宋体" w:cs="Times New Roman"/>
          <w:snapToGrid/>
          <w:color w:val="auto"/>
          <w:kern w:val="2"/>
          <w:sz w:val="24"/>
          <w:szCs w:val="24"/>
          <w:lang w:eastAsia="zh-CN"/>
        </w:rPr>
        <w:t>（自通过当地市场监管技术检测部门的验收和取得《电梯监督检验报告》和《特种设备使用标志》之日起计算）</w:t>
      </w:r>
      <w:r>
        <w:rPr>
          <w:rFonts w:hint="eastAsia" w:ascii="宋体" w:hAnsi="宋体" w:eastAsia="宋体" w:cs="宋体"/>
          <w:snapToGrid/>
          <w:color w:val="auto"/>
          <w:kern w:val="2"/>
          <w:sz w:val="24"/>
          <w:szCs w:val="24"/>
          <w:lang w:eastAsia="zh-CN"/>
        </w:rPr>
        <w:t>，维保期内提供24小时应急服务，接甲方维修通知（含电话）后到场时间不超过1小时。</w:t>
      </w:r>
    </w:p>
    <w:p w14:paraId="19BD9CF2">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2）保修期内的电梯，安装维修单位应对因其产品和施工工艺引起的故障实行免费维修保养，确保电梯的正常运行。</w:t>
      </w:r>
    </w:p>
    <w:p w14:paraId="7309AAFB">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3）在保修期内，维修保养人员应定期检查、调整、润滑、清洁相关设施，并免费提供零配件，使设备正常运行。</w:t>
      </w:r>
    </w:p>
    <w:p w14:paraId="66AB1B27">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4）中标人应按所提交的投标文件中明确的详细保养计划与招标人签订维保合同。</w:t>
      </w:r>
    </w:p>
    <w:p w14:paraId="2D6DBA27">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5）维修保养应具备：</w:t>
      </w:r>
    </w:p>
    <w:p w14:paraId="760998DD">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a、具有此类设备维修保养资质（特种设备安装改造维修许可证）和良好信誉。</w:t>
      </w:r>
    </w:p>
    <w:p w14:paraId="6FBB705D">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b、在本地区具有足够能力、经验的人员提供服务。</w:t>
      </w:r>
    </w:p>
    <w:p w14:paraId="5F756FB2">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c、保修期内中标人如无法达到上述要求，招标人有权委托其他维修商完成此项工作，费用由招标人从质保金中抵扣。</w:t>
      </w:r>
    </w:p>
    <w:p w14:paraId="790DAD05">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（4）投标人中标后需提供的有关资料</w:t>
      </w:r>
    </w:p>
    <w:p w14:paraId="07361F69">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1）中标人需提供电梯负荷容量及所需三相和单相电源的容量、电源电缆的规格型号等。</w:t>
      </w:r>
    </w:p>
    <w:p w14:paraId="43F04AC9">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2）按附表要求提供所有设备、材料、部件和有关系统的说明、型号规格、单价、产地等内容。</w:t>
      </w:r>
    </w:p>
    <w:p w14:paraId="4A874C6B">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3）电梯安装单位的安装许可证、营业执照、资质证明等资料。</w:t>
      </w:r>
    </w:p>
    <w:p w14:paraId="1480A1C2">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4）操作手册中应包括电梯控制系统的具体说明，其中应有原理图、装配图、布线图(包括动力电路、安全电路)、功能图等。</w:t>
      </w:r>
    </w:p>
    <w:p w14:paraId="46DD857A">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5）设备维修和服务的相关资料：包括操作和常见故障排除方法的说明、零部件清单及厂商地址、本地区维修保养的通讯地址名录等。</w:t>
      </w:r>
    </w:p>
    <w:p w14:paraId="62F66359">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6）机电设备易损件清单，竣工资料、产品合格证，其中竣工图至少应包括各系统、部件装配图。</w:t>
      </w:r>
    </w:p>
    <w:p w14:paraId="5B7F4E4D">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7）在试运行前一个月，中标人需提供操作与维修手册，使招标方及有关人员能事先熟悉所安装的设备和系统。手册内应包括控制程序、操作和维修的程序。每一本手册应包括不少于以下内容的资料：所有设备的规格及详细的操作手册、调试手册及质量保证书、紧急维修中心的电话、地址以及与负责人联系的方式。</w:t>
      </w:r>
    </w:p>
    <w:p w14:paraId="74191CAF">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（5）电梯设备的交货</w:t>
      </w:r>
    </w:p>
    <w:p w14:paraId="3AA8C95D">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 xml:space="preserve">1）中标人应负责设备包装运输、卸货、现场贮存、安装和调试，在此期间采取相应的保护措施，以防设备损坏和丢失，如出现损坏或丢失均由中标人负责。 </w:t>
      </w:r>
    </w:p>
    <w:p w14:paraId="2220C28F">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2）中标人应做好成品保护工作，在安装、调试和试运行阶段，中标人应对电梯的轿厢、门、内部设施、地坎等提供保护，不得出现损毁和丢失现象，如出现损坏或丢失均由中标人负责。</w:t>
      </w:r>
    </w:p>
    <w:p w14:paraId="2902ED90">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3）通知招标人以便招标人安排行走路线和存放场地。</w:t>
      </w:r>
    </w:p>
    <w:p w14:paraId="62EFD399">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4）安装验收：取得电梯监督检验报告、取得特种设备使用标志、办理注册登记、取得政府相关职能部门使用登记证。</w:t>
      </w:r>
    </w:p>
    <w:p w14:paraId="6570A562">
      <w:pPr>
        <w:widowControl w:val="0"/>
        <w:spacing w:before="78" w:line="219" w:lineRule="auto"/>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注：以上所有技术要求必须完全满足，否则投标无效。</w:t>
      </w:r>
    </w:p>
    <w:p w14:paraId="0E442B96">
      <w:pPr>
        <w:widowControl w:val="0"/>
        <w:spacing w:before="78" w:line="219" w:lineRule="auto"/>
        <w:rPr>
          <w:rFonts w:ascii="宋体" w:hAnsi="宋体" w:eastAsia="宋体" w:cs="宋体"/>
          <w:b/>
          <w:bCs/>
          <w:snapToGrid/>
          <w:color w:val="auto"/>
          <w:kern w:val="2"/>
          <w:sz w:val="24"/>
          <w:szCs w:val="24"/>
          <w:lang w:eastAsia="zh-CN"/>
        </w:rPr>
      </w:pPr>
    </w:p>
    <w:p w14:paraId="3DC6D3AB">
      <w:pPr>
        <w:widowControl w:val="0"/>
        <w:spacing w:before="78" w:line="360" w:lineRule="auto"/>
        <w:rPr>
          <w:rFonts w:ascii="宋体" w:hAnsi="宋体" w:eastAsia="宋体" w:cs="宋体"/>
          <w:color w:val="auto"/>
          <w:sz w:val="24"/>
          <w:szCs w:val="24"/>
          <w:lang w:eastAsia="zh-CN"/>
        </w:rPr>
      </w:pPr>
      <w:r>
        <w:rPr>
          <w:rFonts w:ascii="宋体" w:hAnsi="宋体" w:eastAsia="宋体" w:cs="宋体"/>
          <w:color w:val="auto"/>
          <w:sz w:val="24"/>
          <w:szCs w:val="24"/>
          <w:lang w:eastAsia="zh-CN"/>
        </w:rPr>
        <w:t>（二） 商务条件</w:t>
      </w:r>
    </w:p>
    <w:p w14:paraId="47A0036F">
      <w:pPr>
        <w:widowControl w:val="0"/>
        <w:kinsoku/>
        <w:autoSpaceDE/>
        <w:autoSpaceDN/>
        <w:adjustRightInd/>
        <w:snapToGrid/>
        <w:spacing w:line="360" w:lineRule="auto"/>
        <w:ind w:firstLine="480" w:firstLineChars="200"/>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1、供应商应提供整体项目24个月服务的维保服务，维保期内提供24小时应急服务，接采购人维修通知（含电话）后到场时间不超过</w:t>
      </w:r>
      <w:r>
        <w:rPr>
          <w:rFonts w:hint="eastAsia" w:ascii="宋体" w:hAnsi="宋体" w:eastAsia="宋体" w:cs="宋体"/>
          <w:b/>
          <w:bCs/>
          <w:snapToGrid/>
          <w:color w:val="auto"/>
          <w:kern w:val="2"/>
          <w:sz w:val="24"/>
          <w:szCs w:val="24"/>
          <w:lang w:eastAsia="zh-CN"/>
        </w:rPr>
        <w:t>1小时。</w:t>
      </w:r>
      <w:r>
        <w:rPr>
          <w:rFonts w:hint="eastAsia" w:ascii="宋体" w:hAnsi="宋体" w:eastAsia="宋体" w:cs="宋体"/>
          <w:snapToGrid/>
          <w:color w:val="auto"/>
          <w:kern w:val="2"/>
          <w:sz w:val="24"/>
          <w:szCs w:val="24"/>
          <w:lang w:eastAsia="zh-CN"/>
        </w:rPr>
        <w:t>（如不能按时到场，采购人有权请有资质的维保单位进行维修，所需费用由供应商承担）；紧急情况下在接采购人紧急救援通知（含电话）后</w:t>
      </w:r>
      <w:r>
        <w:rPr>
          <w:rFonts w:hint="eastAsia" w:ascii="宋体" w:hAnsi="宋体" w:eastAsia="宋体" w:cs="宋体"/>
          <w:b/>
          <w:bCs/>
          <w:snapToGrid/>
          <w:color w:val="auto"/>
          <w:kern w:val="2"/>
          <w:sz w:val="24"/>
          <w:szCs w:val="24"/>
          <w:lang w:eastAsia="zh-CN"/>
        </w:rPr>
        <w:t>30分钟内</w:t>
      </w:r>
      <w:r>
        <w:rPr>
          <w:rFonts w:hint="eastAsia" w:ascii="宋体" w:hAnsi="宋体" w:eastAsia="宋体" w:cs="宋体"/>
          <w:snapToGrid/>
          <w:color w:val="auto"/>
          <w:kern w:val="2"/>
          <w:sz w:val="24"/>
          <w:szCs w:val="24"/>
          <w:lang w:eastAsia="zh-CN"/>
        </w:rPr>
        <w:t>赶到现场进行救援；保修期内，因产品质量问题而不能正常运行的，供应商负责维修或更换并承担相应的经济责任；保修期从所有产品施工安装完毕并通过验收合格签字后通过当地市场监管技术检测部门的验收和取得《电梯监督检验报告》和《特种设备使用标志》之日算起；保修期后，维修材料按出厂价优惠供应。除以上要求之外，电梯的维保应按《特种设备安全监察条例》的规定进行，定期维保。</w:t>
      </w:r>
    </w:p>
    <w:p w14:paraId="759DCFA4">
      <w:pPr>
        <w:widowControl w:val="0"/>
        <w:kinsoku/>
        <w:autoSpaceDE/>
        <w:autoSpaceDN/>
        <w:adjustRightInd/>
        <w:snapToGrid/>
        <w:spacing w:line="360" w:lineRule="auto"/>
        <w:ind w:firstLine="480" w:firstLineChars="200"/>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供应商应向采购人提供完整的技术资料壹套（技术说明书、使用说明书、维修保养手册、安装图，电路图，基础图等）。各项指标和参数应符合验收标准，采购人有权委托有资格单位或机构对所提供的产品进行检测，检测费用由供应商承担。</w:t>
      </w:r>
    </w:p>
    <w:p w14:paraId="767DEBA7">
      <w:pPr>
        <w:widowControl w:val="0"/>
        <w:kinsoku/>
        <w:autoSpaceDE/>
        <w:autoSpaceDN/>
        <w:adjustRightInd/>
        <w:snapToGrid/>
        <w:spacing w:line="360" w:lineRule="auto"/>
        <w:ind w:firstLine="480" w:firstLineChars="200"/>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3、供应商应提供产品的出厂检验报告，合格证书，并且预先提供验收标准，填写验收报告书，供最终双方确认所用。</w:t>
      </w:r>
    </w:p>
    <w:p w14:paraId="4A9AAC84">
      <w:pPr>
        <w:widowControl w:val="0"/>
        <w:kinsoku/>
        <w:autoSpaceDE/>
        <w:autoSpaceDN/>
        <w:adjustRightInd/>
        <w:snapToGrid/>
        <w:spacing w:line="360" w:lineRule="auto"/>
        <w:ind w:firstLine="480" w:firstLineChars="200"/>
        <w:textAlignment w:val="auto"/>
        <w:outlineLvl w:val="2"/>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4、安装、测试、调试、验收：</w:t>
      </w:r>
    </w:p>
    <w:p w14:paraId="1B13F763">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（1）安装</w:t>
      </w:r>
    </w:p>
    <w:p w14:paraId="00325785">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1）供应商应根据采购人提供的工程计划，全面负责本项目所规定的安装任务；</w:t>
      </w:r>
    </w:p>
    <w:p w14:paraId="2556F6C1">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2）供应商所委派的安装队伍应具有与本项目相关的安装资质，应由经过专业培训的人员从事，应熟悉本系统的工作原理、基本结构、工作性能、动作程序及各部件的结构和工作状态；</w:t>
      </w:r>
    </w:p>
    <w:p w14:paraId="79877A3C">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3）供应商应严格按照国家相关标准和规范进行安装，所有安装质量均应达到规划要求，如达不到责任由供应商承担；</w:t>
      </w:r>
    </w:p>
    <w:p w14:paraId="357E892B">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4）安装过程中出现产品质量问题，供应商应在采购人规定的时间内处理完毕，确保工程正常进行和如期完成；</w:t>
      </w:r>
    </w:p>
    <w:p w14:paraId="02A24522">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5）供应商应根据规范做好有关试验，这些试验结果均应由采购人或委托代表签字认可；</w:t>
      </w:r>
    </w:p>
    <w:p w14:paraId="5001CF5A">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6）进入施工现场，供应商应听从采购人或采购人委托代表的协调和安排。</w:t>
      </w:r>
    </w:p>
    <w:p w14:paraId="579A7CF9">
      <w:pPr>
        <w:widowControl w:val="0"/>
        <w:kinsoku/>
        <w:autoSpaceDE/>
        <w:autoSpaceDN/>
        <w:adjustRightInd/>
        <w:snapToGrid/>
        <w:spacing w:line="360" w:lineRule="auto"/>
        <w:ind w:firstLine="480" w:firstLineChars="200"/>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（2）测试</w:t>
      </w:r>
    </w:p>
    <w:p w14:paraId="28BAE83A">
      <w:pPr>
        <w:widowControl w:val="0"/>
        <w:kinsoku/>
        <w:autoSpaceDE/>
        <w:autoSpaceDN/>
        <w:adjustRightInd/>
        <w:snapToGrid/>
        <w:spacing w:line="360" w:lineRule="auto"/>
        <w:ind w:firstLine="482" w:firstLineChars="200"/>
        <w:jc w:val="both"/>
        <w:textAlignment w:val="auto"/>
        <w:rPr>
          <w:rFonts w:ascii="宋体" w:hAnsi="宋体" w:eastAsia="宋体" w:cs="宋体"/>
          <w:b/>
          <w:bCs/>
          <w:snapToGrid/>
          <w:color w:val="auto"/>
          <w:kern w:val="2"/>
          <w:sz w:val="24"/>
          <w:szCs w:val="24"/>
          <w:lang w:eastAsia="zh-CN"/>
        </w:rPr>
      </w:pPr>
      <w:r>
        <w:rPr>
          <w:rFonts w:hint="eastAsia" w:ascii="宋体" w:hAnsi="宋体" w:eastAsia="宋体" w:cs="宋体"/>
          <w:b/>
          <w:bCs/>
          <w:snapToGrid/>
          <w:color w:val="auto"/>
          <w:kern w:val="2"/>
          <w:sz w:val="24"/>
          <w:szCs w:val="24"/>
          <w:lang w:eastAsia="zh-CN"/>
        </w:rPr>
        <w:t>1）出厂前测试，供应商应根据国家的验收标准，在出厂前测试所有的机械及电气部分等；</w:t>
      </w:r>
    </w:p>
    <w:p w14:paraId="4324C084">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2）现场测试，安装后的现场测试由供应商负责，确认无误后，其结果报采购人批准，以便进入下一阶段的调试工作；</w:t>
      </w:r>
    </w:p>
    <w:p w14:paraId="7C4916D4">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3）采购人可根据要求，在合同中规定，对供应商的产品进行检验，如检验不满足要求，可以要求退货。</w:t>
      </w:r>
    </w:p>
    <w:p w14:paraId="50EA6987">
      <w:pPr>
        <w:widowControl w:val="0"/>
        <w:kinsoku/>
        <w:autoSpaceDE/>
        <w:autoSpaceDN/>
        <w:adjustRightInd/>
        <w:snapToGrid/>
        <w:spacing w:line="360" w:lineRule="auto"/>
        <w:ind w:firstLine="480" w:firstLineChars="200"/>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（3）调试、验收</w:t>
      </w:r>
    </w:p>
    <w:p w14:paraId="49864F0B">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1）产品的安装调试工作根据工程计划时间来安排进行，供应商应负责工程的调试验收工作，并完成相应的验收报告。若在调试验收过程中达不到设计要求的问题，由供应商负责处理；</w:t>
      </w:r>
    </w:p>
    <w:p w14:paraId="1F2C452E">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2）系统完成调试、验收后，供应商应有责任完成与本项目有关的所有联调；</w:t>
      </w:r>
    </w:p>
    <w:p w14:paraId="3F743AAD">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3）产品最终验收：工程结束后，按照国家相关标准要求并由相关机构进行验收；最终验收合格后双方正式签字进入质保期，检测费、验收费用由供应商承担；</w:t>
      </w:r>
    </w:p>
    <w:p w14:paraId="3EDD0EBC">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4）检测验收标准应符合国家最新行业标准。</w:t>
      </w:r>
    </w:p>
    <w:p w14:paraId="518BBF40">
      <w:pPr>
        <w:widowControl w:val="0"/>
        <w:kinsoku/>
        <w:autoSpaceDE/>
        <w:autoSpaceDN/>
        <w:adjustRightInd/>
        <w:snapToGrid/>
        <w:spacing w:line="360" w:lineRule="auto"/>
        <w:ind w:firstLine="480" w:firstLineChars="200"/>
        <w:textAlignment w:val="auto"/>
        <w:outlineLvl w:val="2"/>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5、技术培训对象及培训目标、要求：</w:t>
      </w:r>
    </w:p>
    <w:p w14:paraId="1ECDF28C">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（1）培训对象由采购人指定；</w:t>
      </w:r>
    </w:p>
    <w:p w14:paraId="0C0E724E">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（2）培训目标：根据产品特点及技术要求，供应商应对采购人的操作人员、维护技术人员、管理人员免费进行培训直至熟练掌握为止；</w:t>
      </w:r>
    </w:p>
    <w:p w14:paraId="5011E64E">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（3）现场培训应在完工测试和试运转之前完成，正式培训要在验收之前完成，涉及国外设备的教材应有中文资料；</w:t>
      </w:r>
    </w:p>
    <w:p w14:paraId="49637912">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（4）培训教师应精通所有设备操作技术，且有丰富的经验。</w:t>
      </w:r>
    </w:p>
    <w:p w14:paraId="701EDE82">
      <w:pPr>
        <w:widowControl w:val="0"/>
        <w:kinsoku/>
        <w:autoSpaceDE/>
        <w:autoSpaceDN/>
        <w:adjustRightInd/>
        <w:snapToGrid/>
        <w:spacing w:line="360" w:lineRule="auto"/>
        <w:ind w:firstLine="480" w:firstLineChars="200"/>
        <w:jc w:val="both"/>
        <w:textAlignment w:val="auto"/>
        <w:outlineLvl w:val="2"/>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6、交货地点、时间：</w:t>
      </w:r>
    </w:p>
    <w:p w14:paraId="650AC69B">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（1）交货地点：采购人指定地点；</w:t>
      </w:r>
    </w:p>
    <w:p w14:paraId="59270F24">
      <w:pPr>
        <w:widowControl w:val="0"/>
        <w:kinsoku/>
        <w:autoSpaceDE/>
        <w:autoSpaceDN/>
        <w:adjustRightInd/>
        <w:snapToGrid/>
        <w:spacing w:line="360" w:lineRule="auto"/>
        <w:ind w:firstLine="480" w:firstLineChars="200"/>
        <w:jc w:val="both"/>
        <w:textAlignment w:val="auto"/>
        <w:rPr>
          <w:rFonts w:ascii="宋体" w:hAnsi="宋体" w:eastAsia="宋体" w:cs="宋体"/>
          <w:bCs/>
          <w:snapToGrid/>
          <w:color w:val="auto"/>
          <w:kern w:val="2"/>
          <w:sz w:val="24"/>
          <w:szCs w:val="24"/>
          <w:shd w:val="clear" w:color="auto" w:fill="FFFFFF"/>
          <w:lang w:eastAsia="zh-CN"/>
        </w:rPr>
      </w:pPr>
      <w:r>
        <w:rPr>
          <w:rFonts w:hint="eastAsia" w:ascii="宋体" w:hAnsi="宋体" w:eastAsia="宋体" w:cs="宋体"/>
          <w:snapToGrid/>
          <w:color w:val="auto"/>
          <w:kern w:val="2"/>
          <w:sz w:val="24"/>
          <w:szCs w:val="24"/>
          <w:lang w:eastAsia="zh-CN"/>
        </w:rPr>
        <w:t>（2）交货</w:t>
      </w:r>
      <w:r>
        <w:rPr>
          <w:rFonts w:hint="eastAsia" w:ascii="宋体" w:hAnsi="宋体" w:eastAsia="宋体" w:cs="宋体"/>
          <w:bCs/>
          <w:snapToGrid/>
          <w:color w:val="auto"/>
          <w:kern w:val="2"/>
          <w:sz w:val="24"/>
          <w:szCs w:val="24"/>
          <w:shd w:val="clear" w:color="auto" w:fill="FFFFFF"/>
          <w:lang w:eastAsia="zh-CN"/>
        </w:rPr>
        <w:t>时间：</w:t>
      </w:r>
      <w:r>
        <w:rPr>
          <w:rFonts w:hint="eastAsia" w:ascii="宋体" w:hAnsi="宋体" w:eastAsia="宋体" w:cs="宋体"/>
          <w:snapToGrid/>
          <w:color w:val="auto"/>
          <w:sz w:val="24"/>
          <w:szCs w:val="24"/>
          <w:lang w:eastAsia="zh-CN"/>
        </w:rPr>
        <w:t>合同签订后，现场符合安装条件进场30天内完成电梯的安装、调试。</w:t>
      </w:r>
    </w:p>
    <w:p w14:paraId="2FACD034">
      <w:pPr>
        <w:widowControl w:val="0"/>
        <w:kinsoku/>
        <w:autoSpaceDE/>
        <w:autoSpaceDN/>
        <w:adjustRightInd/>
        <w:snapToGrid/>
        <w:spacing w:line="360" w:lineRule="auto"/>
        <w:ind w:firstLine="480" w:firstLineChars="200"/>
        <w:jc w:val="both"/>
        <w:textAlignment w:val="auto"/>
        <w:outlineLvl w:val="2"/>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7、货款支付方式：</w:t>
      </w:r>
    </w:p>
    <w:p w14:paraId="38261FFA">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（1）履约保证金：合同签订后7个工作日内中标人向采购人提供合同总价款5%以银行转帐方式提交到采购人指定账户作为履约保证金，履约保证金在履行完合同约定义务事项后退还。</w:t>
      </w:r>
    </w:p>
    <w:p w14:paraId="2C06B7E9">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（2）签订合同后，采购人预付30%工程款，安装调试合格并经</w:t>
      </w:r>
      <w:r>
        <w:rPr>
          <w:rFonts w:hint="eastAsia" w:ascii="宋体" w:hAnsi="宋体" w:eastAsia="宋体" w:cs="宋体"/>
          <w:snapToGrid/>
          <w:color w:val="auto"/>
          <w:spacing w:val="-4"/>
          <w:kern w:val="2"/>
          <w:sz w:val="24"/>
          <w:szCs w:val="24"/>
          <w:lang w:eastAsia="zh-CN"/>
        </w:rPr>
        <w:t>通过最终验收、签署验收合格证书，并</w:t>
      </w:r>
      <w:r>
        <w:rPr>
          <w:rFonts w:hint="eastAsia" w:ascii="宋体" w:hAnsi="宋体" w:eastAsia="宋体" w:cs="宋体"/>
          <w:snapToGrid/>
          <w:color w:val="auto"/>
          <w:kern w:val="2"/>
          <w:sz w:val="24"/>
          <w:szCs w:val="24"/>
          <w:lang w:eastAsia="zh-CN"/>
        </w:rPr>
        <w:t>通过当地市场监管技术检测部门的验收和取得《电梯监督检验报告》和《特种设备使用标志》</w:t>
      </w:r>
      <w:r>
        <w:rPr>
          <w:rFonts w:hint="eastAsia" w:ascii="宋体" w:hAnsi="宋体" w:eastAsia="宋体" w:cs="宋体"/>
          <w:snapToGrid/>
          <w:color w:val="auto"/>
          <w:spacing w:val="-4"/>
          <w:kern w:val="2"/>
          <w:sz w:val="24"/>
          <w:szCs w:val="24"/>
          <w:lang w:eastAsia="zh-CN"/>
        </w:rPr>
        <w:t>办理移交手续后</w:t>
      </w:r>
      <w:r>
        <w:rPr>
          <w:rFonts w:hint="eastAsia" w:ascii="宋体" w:hAnsi="宋体" w:eastAsia="宋体" w:cs="宋体"/>
          <w:snapToGrid/>
          <w:color w:val="auto"/>
          <w:kern w:val="2"/>
          <w:sz w:val="24"/>
          <w:szCs w:val="24"/>
          <w:lang w:eastAsia="zh-CN"/>
        </w:rPr>
        <w:t>，采购人支付供应商合同金额100%的工程款，合同款项由采购人统一支付（均无息），付款时供应商需提供正式发票。</w:t>
      </w:r>
    </w:p>
    <w:p w14:paraId="13B94DC8">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8、提供的产品（技术指标除另作规定外）均应符合现行国内和行业相关标准。同时应保证采购人及用户不受到第三方关于侵犯专利权的指控，任何第三方如果提出指控，供应商承担可能发生的一切法律责任费用和后果，并全额赔偿采购人和用户的损失。</w:t>
      </w:r>
    </w:p>
    <w:p w14:paraId="3182FD94">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9、供应商在项目实施或服务过程中发生的重大人员、产品质量事故，或因供应商管理不善等原因造成的人员伤亡等责任事故均由供应商负责，采购人不承担任何法律及经济责任。</w:t>
      </w:r>
    </w:p>
    <w:p w14:paraId="3195235D">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10、供应商可自行安排时间进行实地考察，以获得由供应商自己负责的有关编制采购文件和签署合同的所有信息，一旦中标这种考察即被认为其结果已在响应文件中的充分反映。考察现场的费用由供应商自行承担。</w:t>
      </w:r>
    </w:p>
    <w:p w14:paraId="12F2243E">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11、如供应商在施工过程中有和土建、装饰工程重复或现已施工完成的工程量，应减去相应的工程量。</w:t>
      </w:r>
    </w:p>
    <w:p w14:paraId="671F2ED8">
      <w:pPr>
        <w:widowControl w:val="0"/>
        <w:kinsoku/>
        <w:autoSpaceDE/>
        <w:autoSpaceDN/>
        <w:adjustRightInd/>
        <w:snapToGrid/>
        <w:spacing w:line="360" w:lineRule="auto"/>
        <w:ind w:firstLine="480" w:firstLineChars="200"/>
        <w:jc w:val="both"/>
        <w:textAlignment w:val="auto"/>
        <w:outlineLvl w:val="2"/>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12、保修期内的有关规定</w:t>
      </w:r>
      <w:r>
        <w:rPr>
          <w:rFonts w:hint="eastAsia" w:ascii="宋体" w:hAnsi="宋体" w:eastAsia="宋体" w:cs="宋体"/>
          <w:b/>
          <w:bCs/>
          <w:snapToGrid/>
          <w:color w:val="auto"/>
          <w:kern w:val="2"/>
          <w:sz w:val="24"/>
          <w:szCs w:val="24"/>
          <w:lang w:eastAsia="zh-CN"/>
        </w:rPr>
        <w:t>（费用包含在投标报价内）</w:t>
      </w:r>
      <w:r>
        <w:rPr>
          <w:rFonts w:hint="eastAsia" w:ascii="宋体" w:hAnsi="宋体" w:eastAsia="宋体" w:cs="宋体"/>
          <w:snapToGrid/>
          <w:color w:val="auto"/>
          <w:kern w:val="2"/>
          <w:sz w:val="24"/>
          <w:szCs w:val="24"/>
          <w:lang w:eastAsia="zh-CN"/>
        </w:rPr>
        <w:t>：</w:t>
      </w:r>
    </w:p>
    <w:p w14:paraId="5D6B35E2">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(1)在保修期内，供应商应负责修复设备存在的所有问题（因最终用户自身使用不当和不可抗力除外）；</w:t>
      </w:r>
    </w:p>
    <w:p w14:paraId="5E29711B">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(2)更换的有缺陷或损坏的零部件应是全新的，原配置的，更换的零部件保修期仍为24个月（如中标方投标中承诺保修期高于24个月，以投标承诺保修时间为准），自更换完成且经采购人和/或最终用户书面认可之日起重新开始计算。对于隐蔽性的、通过合理的检查和试验都不能发觉的缺陷，即使保修期已过，由于其电梯设备本身的设计缺陷、制造缺陷、安装缺陷造成的故障，仍由供应商负责修复并赔偿业主及第三方因此受到的任何损失。</w:t>
      </w:r>
    </w:p>
    <w:p w14:paraId="31DDBE42">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(3)供应商应在两年的保修期内为其根据本合同出售的电梯设备提供（含劳力、材料和交通等所有费用）的维修保养服务（如中标方投标中承诺保修期高于24个月，以投标承诺保修时间为准）。</w:t>
      </w:r>
    </w:p>
    <w:p w14:paraId="506E01D8">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(4)供应商至少每两周提供一次定期保养；中标人提供的保养工作须在招标人指定的电梯非繁忙时间进行；中标人自备所有用于维修保养的工具、仪器、材料；提供每年365天、每天24小时的应急服务，并不收取法定工作日和例常工作时间以外的附加费用。</w:t>
      </w:r>
    </w:p>
    <w:p w14:paraId="436B95B3">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(5)现场清洁：中标人应随时将所有多余材料、设备和垃圾清理和移出其负责的工作场所，保持所有设备区域的清洁整齐，满足招标人的要求。包括定期彻底清洁所有桁架内侧（每年）、包装、电梯井道内壁、电梯井道内设备、轿厢设备、轿厢顶部、入口和相关机房设备。</w:t>
      </w:r>
    </w:p>
    <w:p w14:paraId="0A2F5350">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(6)中标人应选派经验丰富的维修人员到现场作维修保养服务。 维修保养人员应有中国国家规定的相关资质； 维修保养人员应有维修保养过与本合同同类设备（速度、载重量、驱动控制方式等相同）的经历。</w:t>
      </w:r>
    </w:p>
    <w:p w14:paraId="649FAE21">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(7)合同履约期内负责每年电梯的法定年检并承担相关费用。</w:t>
      </w:r>
    </w:p>
    <w:p w14:paraId="39105217">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(8)中标人在对电梯作维修保养时维修人员发生人</w:t>
      </w:r>
      <w:bookmarkStart w:id="1" w:name="_GoBack"/>
      <w:bookmarkEnd w:id="1"/>
      <w:r>
        <w:rPr>
          <w:rFonts w:hint="eastAsia" w:ascii="宋体" w:hAnsi="宋体" w:eastAsia="宋体" w:cs="宋体"/>
          <w:snapToGrid/>
          <w:color w:val="auto"/>
          <w:kern w:val="2"/>
          <w:sz w:val="24"/>
          <w:szCs w:val="24"/>
          <w:lang w:eastAsia="zh-CN"/>
        </w:rPr>
        <w:t>身伤亡事故由中标人自己承担；由于中标人维修保养问题造成的乘客人身伤亡事故等其它损失都由中标人承担。</w:t>
      </w:r>
    </w:p>
    <w:p w14:paraId="02BDFD9E">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(9)由于中标人维修保养问题给招标人或物业管理公司造成损失都由中标人承担。</w:t>
      </w:r>
    </w:p>
    <w:p w14:paraId="74589845">
      <w:pPr>
        <w:widowControl w:val="0"/>
        <w:kinsoku/>
        <w:autoSpaceDE/>
        <w:autoSpaceDN/>
        <w:adjustRightInd/>
        <w:snapToGrid/>
        <w:spacing w:line="360" w:lineRule="auto"/>
        <w:ind w:firstLine="480" w:firstLineChars="200"/>
        <w:jc w:val="both"/>
        <w:textAlignment w:val="auto"/>
        <w:rPr>
          <w:rFonts w:ascii="宋体" w:hAnsi="宋体" w:eastAsia="宋体" w:cs="宋体"/>
          <w:snapToGrid/>
          <w:color w:val="auto"/>
          <w:kern w:val="2"/>
          <w:sz w:val="24"/>
          <w:szCs w:val="24"/>
          <w:lang w:eastAsia="zh-CN"/>
        </w:rPr>
      </w:pPr>
      <w:r>
        <w:rPr>
          <w:rFonts w:hint="eastAsia" w:ascii="宋体" w:hAnsi="宋体" w:eastAsia="宋体" w:cs="宋体"/>
          <w:snapToGrid/>
          <w:color w:val="auto"/>
          <w:kern w:val="2"/>
          <w:sz w:val="24"/>
          <w:szCs w:val="24"/>
          <w:lang w:eastAsia="zh-CN"/>
        </w:rPr>
        <w:t>(10)中标人在服务时，更换的部件必须采用全新的、经设备整机制造商认可的、在品质、型号、制造商等方面与原部件相同的部件，并且使用设备整机制造商提供或推荐的润滑剂。如果得到招标人的书面批准，也可以采用同等的部件、润滑剂或者更换设备。需要修理的部件将被重新整修成“新”的状态。未提前得到招标人的批准，不得将设备的任何部件拆除带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2C4064"/>
    <w:rsid w:val="552C40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qFormat/>
    <w:uiPriority w:val="0"/>
    <w:pPr>
      <w:tabs>
        <w:tab w:val="center" w:pos="4153"/>
        <w:tab w:val="right" w:pos="8306"/>
      </w:tabs>
      <w:kinsoku w:val="0"/>
      <w:autoSpaceDE w:val="0"/>
      <w:autoSpaceDN w:val="0"/>
      <w:adjustRightInd w:val="0"/>
      <w:snapToGrid w:val="0"/>
      <w:textAlignment w:val="baseline"/>
    </w:pPr>
    <w:rPr>
      <w:rFonts w:ascii="Arial" w:hAnsi="Arial" w:eastAsia="Arial" w:cs="Arial"/>
      <w:snapToGrid w:val="0"/>
      <w:color w:val="000000"/>
      <w:sz w:val="18"/>
      <w:szCs w:val="21"/>
      <w:lang w:val="en-US" w:eastAsia="en-US"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2026-05-13T06:47:00Z</dcterms:created>
  <dc:creator>WPS_1610674823</dc:creator>
  <cp:lastModifiedBy>WPS_1610674823</cp:lastModifiedBy>
  <dcterms:modified xsi:type="dcterms:W3CDTF">2026-05-13T06:47:47Z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0CD2A6706DFB4CF28434D0A29D3C7543_11</vt:lpwstr>
  </property>
</Properties>
</file>