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8EC80E">
      <w:pPr>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rPr>
          <w:rFonts w:hint="eastAsia" w:ascii="仿宋" w:hAnsi="仿宋" w:eastAsia="仿宋" w:cs="仿宋"/>
          <w:b/>
          <w:color w:val="auto"/>
          <w:kern w:val="0"/>
          <w:sz w:val="32"/>
          <w:szCs w:val="32"/>
          <w:lang w:val="en-US" w:eastAsia="zh-CN"/>
        </w:rPr>
      </w:pPr>
      <w:r>
        <w:rPr>
          <w:rFonts w:hint="eastAsia" w:ascii="仿宋" w:hAnsi="仿宋" w:eastAsia="仿宋" w:cs="仿宋"/>
          <w:b/>
          <w:color w:val="auto"/>
          <w:kern w:val="0"/>
          <w:sz w:val="32"/>
          <w:szCs w:val="32"/>
        </w:rPr>
        <w:t>江西省赣优工程咨询有限公司关于</w:t>
      </w:r>
      <w:r>
        <w:rPr>
          <w:rFonts w:hint="eastAsia" w:ascii="仿宋" w:hAnsi="仿宋" w:eastAsia="仿宋" w:cs="仿宋"/>
          <w:b/>
          <w:color w:val="auto"/>
          <w:kern w:val="0"/>
          <w:sz w:val="32"/>
          <w:szCs w:val="32"/>
          <w:lang w:val="en-US" w:eastAsia="zh-CN"/>
        </w:rPr>
        <w:t>江西省</w:t>
      </w:r>
      <w:r>
        <w:rPr>
          <w:rFonts w:hint="eastAsia" w:ascii="仿宋" w:hAnsi="仿宋" w:eastAsia="仿宋" w:cs="仿宋"/>
          <w:b/>
          <w:color w:val="auto"/>
          <w:kern w:val="0"/>
          <w:sz w:val="32"/>
          <w:szCs w:val="32"/>
          <w:lang w:eastAsia="zh-CN"/>
        </w:rPr>
        <w:t>会昌县</w:t>
      </w:r>
      <w:r>
        <w:rPr>
          <w:rFonts w:hint="eastAsia" w:ascii="仿宋" w:hAnsi="仿宋" w:eastAsia="仿宋" w:cs="仿宋"/>
          <w:b/>
          <w:color w:val="auto"/>
          <w:kern w:val="0"/>
          <w:sz w:val="32"/>
          <w:szCs w:val="32"/>
          <w:lang w:val="en-US" w:eastAsia="zh-CN"/>
        </w:rPr>
        <w:t>筠门岭镇</w:t>
      </w:r>
      <w:r>
        <w:rPr>
          <w:rFonts w:hint="eastAsia" w:ascii="仿宋" w:hAnsi="仿宋" w:eastAsia="仿宋" w:cs="仿宋"/>
          <w:b/>
          <w:color w:val="auto"/>
          <w:kern w:val="0"/>
          <w:sz w:val="32"/>
          <w:szCs w:val="32"/>
          <w:lang w:eastAsia="zh-CN"/>
        </w:rPr>
        <w:t>人民政府</w:t>
      </w:r>
      <w:r>
        <w:rPr>
          <w:rFonts w:hint="eastAsia" w:ascii="仿宋" w:hAnsi="仿宋" w:eastAsia="仿宋" w:cs="仿宋"/>
          <w:b/>
          <w:color w:val="auto"/>
          <w:kern w:val="0"/>
          <w:sz w:val="32"/>
          <w:szCs w:val="32"/>
          <w:lang w:val="en-US" w:eastAsia="zh-CN"/>
        </w:rPr>
        <w:t>的会昌县筠门岭镇全民健身广场项目配套运动健身器材采购项目</w:t>
      </w:r>
      <w:r>
        <w:rPr>
          <w:rFonts w:hint="eastAsia" w:ascii="仿宋" w:hAnsi="仿宋" w:eastAsia="仿宋" w:cs="仿宋"/>
          <w:b/>
          <w:color w:val="auto"/>
          <w:kern w:val="0"/>
          <w:sz w:val="32"/>
          <w:szCs w:val="32"/>
        </w:rPr>
        <w:t>（项目编号：</w:t>
      </w:r>
      <w:r>
        <w:rPr>
          <w:rFonts w:hint="eastAsia" w:ascii="仿宋" w:hAnsi="仿宋" w:eastAsia="仿宋" w:cs="仿宋"/>
          <w:b/>
          <w:color w:val="auto"/>
          <w:kern w:val="0"/>
          <w:sz w:val="32"/>
          <w:szCs w:val="32"/>
          <w:lang w:eastAsia="zh-CN"/>
        </w:rPr>
        <w:t>JXGY2026-HC-G004</w:t>
      </w:r>
      <w:r>
        <w:rPr>
          <w:rFonts w:hint="eastAsia" w:ascii="仿宋" w:hAnsi="仿宋" w:eastAsia="仿宋" w:cs="仿宋"/>
          <w:b/>
          <w:color w:val="auto"/>
          <w:kern w:val="0"/>
          <w:sz w:val="32"/>
          <w:szCs w:val="32"/>
        </w:rPr>
        <w:t>）</w:t>
      </w:r>
      <w:r>
        <w:rPr>
          <w:rFonts w:hint="eastAsia" w:ascii="仿宋" w:hAnsi="仿宋" w:eastAsia="仿宋" w:cs="仿宋"/>
          <w:b/>
          <w:color w:val="auto"/>
          <w:kern w:val="0"/>
          <w:sz w:val="32"/>
          <w:szCs w:val="32"/>
          <w:lang w:val="en-US" w:eastAsia="zh-CN"/>
        </w:rPr>
        <w:t>电子化</w:t>
      </w:r>
    </w:p>
    <w:p w14:paraId="4B570685">
      <w:pPr>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rPr>
          <w:rFonts w:hint="eastAsia" w:ascii="仿宋" w:hAnsi="仿宋" w:eastAsia="仿宋" w:cs="仿宋"/>
          <w:b/>
          <w:sz w:val="32"/>
          <w:szCs w:val="32"/>
          <w:lang w:val="en-US" w:eastAsia="zh-CN"/>
        </w:rPr>
      </w:pPr>
      <w:r>
        <w:rPr>
          <w:rFonts w:hint="eastAsia" w:ascii="仿宋" w:hAnsi="仿宋" w:eastAsia="仿宋" w:cs="仿宋"/>
          <w:b/>
          <w:color w:val="auto"/>
          <w:kern w:val="0"/>
          <w:sz w:val="32"/>
          <w:szCs w:val="32"/>
          <w:lang w:val="en-US" w:eastAsia="zh-CN"/>
        </w:rPr>
        <w:t>公开招标</w:t>
      </w:r>
      <w:r>
        <w:rPr>
          <w:rFonts w:hint="eastAsia" w:ascii="仿宋" w:hAnsi="仿宋" w:eastAsia="仿宋" w:cs="仿宋"/>
          <w:b/>
          <w:sz w:val="32"/>
          <w:szCs w:val="32"/>
          <w:lang w:val="en-US" w:eastAsia="zh-CN"/>
        </w:rPr>
        <w:t>公告</w:t>
      </w:r>
    </w:p>
    <w:p w14:paraId="5C0FC735">
      <w:pPr>
        <w:spacing w:line="500" w:lineRule="exact"/>
        <w:rPr>
          <w:rFonts w:hint="eastAsia" w:ascii="黑体" w:hAnsi="黑体" w:eastAsia="黑体" w:cs="黑体"/>
          <w:b/>
          <w:bCs/>
          <w:kern w:val="0"/>
          <w:sz w:val="32"/>
          <w:szCs w:val="32"/>
        </w:rPr>
      </w:pPr>
    </w:p>
    <w:p w14:paraId="207762D2">
      <w:pPr>
        <w:pageBreakBefore w:val="0"/>
        <w:kinsoku/>
        <w:wordWrap/>
        <w:overflowPunct/>
        <w:topLinePunct w:val="0"/>
        <w:bidi w:val="0"/>
        <w:snapToGrid/>
        <w:spacing w:line="540" w:lineRule="exact"/>
        <w:ind w:firstLine="540" w:firstLineChars="200"/>
        <w:rPr>
          <w:rFonts w:hint="eastAsia" w:ascii="仿宋" w:hAnsi="仿宋" w:eastAsia="仿宋" w:cs="仿宋"/>
          <w:b w:val="0"/>
          <w:bCs w:val="0"/>
          <w:color w:val="auto"/>
          <w:kern w:val="0"/>
          <w:sz w:val="27"/>
          <w:szCs w:val="27"/>
          <w:highlight w:val="none"/>
        </w:rPr>
      </w:pPr>
      <w:r>
        <w:rPr>
          <w:rFonts w:hint="eastAsia" w:ascii="仿宋" w:hAnsi="仿宋" w:eastAsia="仿宋" w:cs="仿宋"/>
          <w:b w:val="0"/>
          <w:bCs w:val="0"/>
          <w:color w:val="auto"/>
          <w:kern w:val="0"/>
          <w:sz w:val="27"/>
          <w:szCs w:val="27"/>
          <w:highlight w:val="none"/>
          <w:lang w:eastAsia="zh-CN"/>
        </w:rPr>
        <w:t>会昌县筠门岭镇全民健身广场项目配套运动健身器材采购</w:t>
      </w:r>
      <w:r>
        <w:rPr>
          <w:rFonts w:hint="eastAsia" w:ascii="仿宋" w:hAnsi="仿宋" w:eastAsia="仿宋" w:cs="仿宋"/>
          <w:b w:val="0"/>
          <w:bCs w:val="0"/>
          <w:color w:val="auto"/>
          <w:kern w:val="0"/>
          <w:sz w:val="27"/>
          <w:szCs w:val="27"/>
          <w:highlight w:val="none"/>
          <w:lang w:val="en-US" w:eastAsia="zh-CN"/>
        </w:rPr>
        <w:t>项目</w:t>
      </w:r>
      <w:r>
        <w:rPr>
          <w:rFonts w:hint="eastAsia" w:ascii="仿宋" w:hAnsi="仿宋" w:eastAsia="仿宋" w:cs="仿宋"/>
          <w:b w:val="0"/>
          <w:bCs w:val="0"/>
          <w:color w:val="auto"/>
          <w:kern w:val="0"/>
          <w:sz w:val="27"/>
          <w:szCs w:val="27"/>
          <w:highlight w:val="none"/>
        </w:rPr>
        <w:t>的潜在</w:t>
      </w:r>
      <w:r>
        <w:rPr>
          <w:rFonts w:hint="eastAsia" w:ascii="仿宋" w:hAnsi="仿宋" w:eastAsia="仿宋" w:cs="仿宋"/>
          <w:b w:val="0"/>
          <w:bCs w:val="0"/>
          <w:color w:val="auto"/>
          <w:kern w:val="0"/>
          <w:sz w:val="27"/>
          <w:szCs w:val="27"/>
          <w:highlight w:val="none"/>
          <w:lang w:val="en-US" w:eastAsia="zh-CN"/>
        </w:rPr>
        <w:t>投标人</w:t>
      </w:r>
      <w:r>
        <w:rPr>
          <w:rFonts w:hint="eastAsia" w:ascii="仿宋" w:hAnsi="仿宋" w:eastAsia="仿宋" w:cs="仿宋"/>
          <w:b w:val="0"/>
          <w:bCs w:val="0"/>
          <w:color w:val="auto"/>
          <w:kern w:val="0"/>
          <w:sz w:val="27"/>
          <w:szCs w:val="27"/>
          <w:highlight w:val="none"/>
        </w:rPr>
        <w:t>应在江西省公共资源交易平台（https://ggzy.jiangxi.gov.cn/）获取</w:t>
      </w:r>
      <w:r>
        <w:rPr>
          <w:rFonts w:hint="eastAsia" w:ascii="仿宋" w:hAnsi="仿宋" w:eastAsia="仿宋" w:cs="仿宋"/>
          <w:b w:val="0"/>
          <w:bCs w:val="0"/>
          <w:color w:val="auto"/>
          <w:kern w:val="0"/>
          <w:sz w:val="27"/>
          <w:szCs w:val="27"/>
          <w:highlight w:val="none"/>
          <w:lang w:val="en-US" w:eastAsia="zh-CN"/>
        </w:rPr>
        <w:t>招标</w:t>
      </w:r>
      <w:r>
        <w:rPr>
          <w:rFonts w:hint="eastAsia" w:ascii="仿宋" w:hAnsi="仿宋" w:eastAsia="仿宋" w:cs="仿宋"/>
          <w:b w:val="0"/>
          <w:bCs w:val="0"/>
          <w:color w:val="auto"/>
          <w:kern w:val="0"/>
          <w:sz w:val="27"/>
          <w:szCs w:val="27"/>
          <w:highlight w:val="none"/>
        </w:rPr>
        <w:t>文件，并于</w:t>
      </w:r>
      <w:r>
        <w:rPr>
          <w:rFonts w:hint="eastAsia" w:ascii="仿宋" w:hAnsi="仿宋" w:eastAsia="仿宋" w:cs="仿宋"/>
          <w:b w:val="0"/>
          <w:bCs w:val="0"/>
          <w:color w:val="auto"/>
          <w:kern w:val="0"/>
          <w:sz w:val="27"/>
          <w:szCs w:val="27"/>
          <w:highlight w:val="none"/>
          <w:u w:val="none"/>
        </w:rPr>
        <w:t>202</w:t>
      </w:r>
      <w:r>
        <w:rPr>
          <w:rFonts w:hint="eastAsia" w:ascii="仿宋" w:hAnsi="仿宋" w:eastAsia="仿宋" w:cs="仿宋"/>
          <w:b w:val="0"/>
          <w:bCs w:val="0"/>
          <w:color w:val="auto"/>
          <w:kern w:val="0"/>
          <w:sz w:val="27"/>
          <w:szCs w:val="27"/>
          <w:highlight w:val="none"/>
          <w:u w:val="none"/>
          <w:lang w:val="en-US" w:eastAsia="zh-CN"/>
        </w:rPr>
        <w:t>6</w:t>
      </w:r>
      <w:r>
        <w:rPr>
          <w:rFonts w:hint="eastAsia" w:ascii="仿宋" w:hAnsi="仿宋" w:eastAsia="仿宋" w:cs="仿宋"/>
          <w:b w:val="0"/>
          <w:bCs w:val="0"/>
          <w:color w:val="auto"/>
          <w:kern w:val="0"/>
          <w:sz w:val="27"/>
          <w:szCs w:val="27"/>
          <w:highlight w:val="none"/>
          <w:u w:val="none"/>
        </w:rPr>
        <w:t>年</w:t>
      </w:r>
      <w:r>
        <w:rPr>
          <w:rFonts w:hint="eastAsia" w:ascii="仿宋" w:hAnsi="仿宋" w:eastAsia="仿宋" w:cs="仿宋"/>
          <w:b w:val="0"/>
          <w:bCs w:val="0"/>
          <w:color w:val="auto"/>
          <w:kern w:val="0"/>
          <w:sz w:val="27"/>
          <w:szCs w:val="27"/>
          <w:highlight w:val="none"/>
          <w:u w:val="none"/>
          <w:lang w:val="en-US" w:eastAsia="zh-CN"/>
        </w:rPr>
        <w:t>06</w:t>
      </w:r>
      <w:r>
        <w:rPr>
          <w:rFonts w:hint="eastAsia" w:ascii="仿宋" w:hAnsi="仿宋" w:eastAsia="仿宋" w:cs="仿宋"/>
          <w:b w:val="0"/>
          <w:bCs w:val="0"/>
          <w:color w:val="auto"/>
          <w:kern w:val="0"/>
          <w:sz w:val="27"/>
          <w:szCs w:val="27"/>
          <w:highlight w:val="none"/>
          <w:u w:val="none"/>
        </w:rPr>
        <w:t>月</w:t>
      </w:r>
      <w:r>
        <w:rPr>
          <w:rFonts w:hint="eastAsia" w:ascii="仿宋" w:hAnsi="仿宋" w:eastAsia="仿宋" w:cs="仿宋"/>
          <w:b w:val="0"/>
          <w:bCs w:val="0"/>
          <w:color w:val="auto"/>
          <w:kern w:val="0"/>
          <w:sz w:val="27"/>
          <w:szCs w:val="27"/>
          <w:highlight w:val="none"/>
          <w:u w:val="none"/>
          <w:lang w:val="en-US" w:eastAsia="zh-CN"/>
        </w:rPr>
        <w:t xml:space="preserve">   04</w:t>
      </w:r>
      <w:r>
        <w:rPr>
          <w:rFonts w:hint="eastAsia" w:ascii="仿宋" w:hAnsi="仿宋" w:eastAsia="仿宋" w:cs="仿宋"/>
          <w:b w:val="0"/>
          <w:bCs w:val="0"/>
          <w:color w:val="auto"/>
          <w:kern w:val="0"/>
          <w:sz w:val="27"/>
          <w:szCs w:val="27"/>
          <w:highlight w:val="none"/>
          <w:u w:val="none"/>
        </w:rPr>
        <w:t>日</w:t>
      </w:r>
      <w:r>
        <w:rPr>
          <w:rFonts w:hint="eastAsia" w:ascii="仿宋" w:hAnsi="仿宋" w:eastAsia="仿宋" w:cs="仿宋"/>
          <w:b w:val="0"/>
          <w:bCs w:val="0"/>
          <w:color w:val="auto"/>
          <w:kern w:val="0"/>
          <w:sz w:val="27"/>
          <w:szCs w:val="27"/>
          <w:highlight w:val="none"/>
          <w:u w:val="none"/>
          <w:lang w:val="en-US" w:eastAsia="zh-CN"/>
        </w:rPr>
        <w:t>10</w:t>
      </w:r>
      <w:r>
        <w:rPr>
          <w:rFonts w:hint="eastAsia" w:ascii="仿宋" w:hAnsi="仿宋" w:eastAsia="仿宋" w:cs="仿宋"/>
          <w:b w:val="0"/>
          <w:bCs w:val="0"/>
          <w:color w:val="auto"/>
          <w:kern w:val="0"/>
          <w:sz w:val="27"/>
          <w:szCs w:val="27"/>
          <w:highlight w:val="none"/>
          <w:u w:val="none"/>
        </w:rPr>
        <w:t>点</w:t>
      </w:r>
      <w:r>
        <w:rPr>
          <w:rFonts w:hint="eastAsia" w:ascii="仿宋" w:hAnsi="仿宋" w:eastAsia="仿宋" w:cs="仿宋"/>
          <w:b w:val="0"/>
          <w:bCs w:val="0"/>
          <w:color w:val="auto"/>
          <w:kern w:val="0"/>
          <w:sz w:val="27"/>
          <w:szCs w:val="27"/>
          <w:highlight w:val="none"/>
          <w:u w:val="none"/>
          <w:lang w:val="en-US" w:eastAsia="zh-CN"/>
        </w:rPr>
        <w:t>3</w:t>
      </w:r>
      <w:r>
        <w:rPr>
          <w:rFonts w:hint="eastAsia" w:ascii="仿宋" w:hAnsi="仿宋" w:eastAsia="仿宋" w:cs="仿宋"/>
          <w:b w:val="0"/>
          <w:bCs w:val="0"/>
          <w:color w:val="auto"/>
          <w:kern w:val="0"/>
          <w:sz w:val="27"/>
          <w:szCs w:val="27"/>
          <w:highlight w:val="none"/>
          <w:u w:val="none"/>
        </w:rPr>
        <w:t>0分（北京时间）</w:t>
      </w:r>
      <w:r>
        <w:rPr>
          <w:rFonts w:hint="eastAsia" w:ascii="仿宋" w:hAnsi="仿宋" w:eastAsia="仿宋" w:cs="仿宋"/>
          <w:b w:val="0"/>
          <w:bCs w:val="0"/>
          <w:color w:val="auto"/>
          <w:kern w:val="0"/>
          <w:sz w:val="27"/>
          <w:szCs w:val="27"/>
          <w:highlight w:val="none"/>
        </w:rPr>
        <w:t>前提交响应文件。</w:t>
      </w:r>
    </w:p>
    <w:p w14:paraId="2A15ABFC">
      <w:pPr>
        <w:pageBreakBefore w:val="0"/>
        <w:kinsoku/>
        <w:wordWrap/>
        <w:overflowPunct/>
        <w:topLinePunct w:val="0"/>
        <w:bidi w:val="0"/>
        <w:snapToGrid/>
        <w:spacing w:line="540" w:lineRule="exact"/>
        <w:rPr>
          <w:rFonts w:hint="eastAsia" w:ascii="仿宋" w:hAnsi="仿宋" w:eastAsia="仿宋" w:cs="仿宋"/>
          <w:b/>
          <w:bCs/>
          <w:color w:val="auto"/>
          <w:sz w:val="27"/>
          <w:szCs w:val="27"/>
          <w:highlight w:val="none"/>
        </w:rPr>
      </w:pPr>
      <w:r>
        <w:rPr>
          <w:rFonts w:hint="eastAsia" w:ascii="仿宋" w:hAnsi="仿宋" w:eastAsia="仿宋" w:cs="仿宋"/>
          <w:b/>
          <w:bCs/>
          <w:color w:val="auto"/>
          <w:kern w:val="0"/>
          <w:sz w:val="27"/>
          <w:szCs w:val="27"/>
          <w:highlight w:val="none"/>
        </w:rPr>
        <w:t>一、项目基本情况</w:t>
      </w:r>
    </w:p>
    <w:p w14:paraId="492DFD27">
      <w:pPr>
        <w:pageBreakBefore w:val="0"/>
        <w:kinsoku/>
        <w:wordWrap/>
        <w:overflowPunct/>
        <w:topLinePunct w:val="0"/>
        <w:bidi w:val="0"/>
        <w:snapToGrid/>
        <w:spacing w:line="540" w:lineRule="exact"/>
        <w:rPr>
          <w:rFonts w:hint="eastAsia" w:ascii="仿宋" w:hAnsi="仿宋" w:eastAsia="仿宋" w:cs="仿宋"/>
          <w:b w:val="0"/>
          <w:bCs w:val="0"/>
          <w:color w:val="auto"/>
          <w:sz w:val="27"/>
          <w:szCs w:val="27"/>
          <w:highlight w:val="none"/>
          <w:lang w:eastAsia="zh-CN"/>
        </w:rPr>
      </w:pPr>
      <w:r>
        <w:rPr>
          <w:rFonts w:hint="eastAsia" w:ascii="仿宋" w:hAnsi="仿宋" w:eastAsia="仿宋" w:cs="仿宋"/>
          <w:b w:val="0"/>
          <w:bCs w:val="0"/>
          <w:color w:val="auto"/>
          <w:sz w:val="27"/>
          <w:szCs w:val="27"/>
          <w:highlight w:val="none"/>
        </w:rPr>
        <w:t>项目编号：</w:t>
      </w:r>
      <w:r>
        <w:rPr>
          <w:rFonts w:hint="eastAsia" w:ascii="仿宋" w:hAnsi="仿宋" w:eastAsia="仿宋" w:cs="仿宋"/>
          <w:b w:val="0"/>
          <w:bCs w:val="0"/>
          <w:color w:val="auto"/>
          <w:sz w:val="27"/>
          <w:szCs w:val="27"/>
          <w:highlight w:val="none"/>
          <w:lang w:eastAsia="zh-CN"/>
        </w:rPr>
        <w:t>JXGY2026-HC-G004</w:t>
      </w:r>
    </w:p>
    <w:p w14:paraId="139D39D9">
      <w:pPr>
        <w:pageBreakBefore w:val="0"/>
        <w:kinsoku/>
        <w:wordWrap/>
        <w:overflowPunct/>
        <w:topLinePunct w:val="0"/>
        <w:bidi w:val="0"/>
        <w:snapToGrid/>
        <w:spacing w:line="540" w:lineRule="exact"/>
        <w:rPr>
          <w:rFonts w:hint="eastAsia" w:ascii="仿宋" w:hAnsi="仿宋" w:eastAsia="仿宋" w:cs="仿宋"/>
          <w:b w:val="0"/>
          <w:bCs w:val="0"/>
          <w:color w:val="auto"/>
          <w:sz w:val="27"/>
          <w:szCs w:val="27"/>
          <w:highlight w:val="none"/>
          <w:u w:val="none"/>
          <w:lang w:eastAsia="zh-CN"/>
        </w:rPr>
      </w:pPr>
      <w:r>
        <w:rPr>
          <w:rFonts w:hint="eastAsia" w:ascii="仿宋" w:hAnsi="仿宋" w:eastAsia="仿宋" w:cs="仿宋"/>
          <w:b w:val="0"/>
          <w:bCs w:val="0"/>
          <w:color w:val="auto"/>
          <w:sz w:val="27"/>
          <w:szCs w:val="27"/>
          <w:highlight w:val="none"/>
        </w:rPr>
        <w:t>项目名称：</w:t>
      </w:r>
      <w:r>
        <w:rPr>
          <w:rFonts w:hint="eastAsia" w:ascii="仿宋" w:hAnsi="仿宋" w:eastAsia="仿宋" w:cs="仿宋"/>
          <w:b w:val="0"/>
          <w:bCs w:val="0"/>
          <w:color w:val="auto"/>
          <w:sz w:val="27"/>
          <w:szCs w:val="27"/>
          <w:highlight w:val="none"/>
          <w:lang w:eastAsia="zh-CN"/>
        </w:rPr>
        <w:t>会昌县筠门岭镇全民健身广场项目配套运动健身器材采购</w:t>
      </w:r>
    </w:p>
    <w:p w14:paraId="40E2185A">
      <w:pPr>
        <w:pageBreakBefore w:val="0"/>
        <w:kinsoku/>
        <w:wordWrap/>
        <w:overflowPunct/>
        <w:topLinePunct w:val="0"/>
        <w:bidi w:val="0"/>
        <w:snapToGrid/>
        <w:spacing w:line="540" w:lineRule="exact"/>
        <w:rPr>
          <w:rFonts w:hint="eastAsia" w:ascii="仿宋" w:hAnsi="仿宋" w:eastAsia="仿宋" w:cs="仿宋"/>
          <w:b w:val="0"/>
          <w:bCs w:val="0"/>
          <w:color w:val="auto"/>
          <w:sz w:val="27"/>
          <w:szCs w:val="27"/>
          <w:highlight w:val="none"/>
          <w:u w:val="none"/>
          <w:lang w:val="en-US" w:eastAsia="zh-CN"/>
        </w:rPr>
      </w:pPr>
      <w:r>
        <w:rPr>
          <w:rFonts w:hint="eastAsia" w:ascii="仿宋" w:hAnsi="仿宋" w:eastAsia="仿宋" w:cs="仿宋"/>
          <w:b w:val="0"/>
          <w:bCs w:val="0"/>
          <w:color w:val="auto"/>
          <w:sz w:val="27"/>
          <w:szCs w:val="27"/>
          <w:highlight w:val="none"/>
          <w:u w:val="none"/>
          <w:lang w:val="en-US" w:eastAsia="zh-CN"/>
        </w:rPr>
        <w:t>采购方式：公开招标</w:t>
      </w:r>
    </w:p>
    <w:p w14:paraId="2603A33A">
      <w:pPr>
        <w:pageBreakBefore w:val="0"/>
        <w:kinsoku/>
        <w:wordWrap/>
        <w:overflowPunct/>
        <w:topLinePunct w:val="0"/>
        <w:bidi w:val="0"/>
        <w:snapToGrid/>
        <w:spacing w:line="540" w:lineRule="exact"/>
        <w:rPr>
          <w:rFonts w:hint="eastAsia" w:ascii="仿宋" w:hAnsi="仿宋" w:eastAsia="仿宋" w:cs="仿宋"/>
          <w:b w:val="0"/>
          <w:bCs w:val="0"/>
          <w:color w:val="auto"/>
          <w:sz w:val="27"/>
          <w:szCs w:val="27"/>
          <w:highlight w:val="none"/>
        </w:rPr>
      </w:pPr>
      <w:r>
        <w:rPr>
          <w:rFonts w:hint="eastAsia" w:ascii="仿宋" w:hAnsi="仿宋" w:eastAsia="仿宋" w:cs="仿宋"/>
          <w:b w:val="0"/>
          <w:bCs w:val="0"/>
          <w:color w:val="auto"/>
          <w:sz w:val="27"/>
          <w:szCs w:val="27"/>
          <w:highlight w:val="none"/>
        </w:rPr>
        <w:t>预算金额</w:t>
      </w:r>
      <w:r>
        <w:rPr>
          <w:rFonts w:hint="eastAsia" w:ascii="仿宋" w:hAnsi="仿宋" w:eastAsia="仿宋" w:cs="仿宋"/>
          <w:b w:val="0"/>
          <w:bCs w:val="0"/>
          <w:color w:val="auto"/>
          <w:sz w:val="27"/>
          <w:szCs w:val="27"/>
          <w:highlight w:val="none"/>
          <w:lang w:eastAsia="zh-CN"/>
        </w:rPr>
        <w:t>：749983.00</w:t>
      </w:r>
      <w:r>
        <w:rPr>
          <w:rFonts w:hint="eastAsia" w:ascii="仿宋" w:hAnsi="仿宋" w:eastAsia="仿宋" w:cs="仿宋"/>
          <w:b w:val="0"/>
          <w:bCs w:val="0"/>
          <w:color w:val="auto"/>
          <w:sz w:val="27"/>
          <w:szCs w:val="27"/>
          <w:highlight w:val="none"/>
          <w:lang w:val="en-US" w:eastAsia="zh-CN"/>
        </w:rPr>
        <w:t xml:space="preserve">元 </w:t>
      </w:r>
    </w:p>
    <w:p w14:paraId="2C565839">
      <w:pPr>
        <w:pageBreakBefore w:val="0"/>
        <w:kinsoku/>
        <w:wordWrap/>
        <w:overflowPunct/>
        <w:topLinePunct w:val="0"/>
        <w:bidi w:val="0"/>
        <w:snapToGrid/>
        <w:spacing w:line="540" w:lineRule="exact"/>
        <w:rPr>
          <w:rFonts w:hint="eastAsia" w:ascii="仿宋" w:hAnsi="仿宋" w:eastAsia="仿宋" w:cs="仿宋"/>
          <w:b w:val="0"/>
          <w:bCs w:val="0"/>
          <w:color w:val="auto"/>
          <w:sz w:val="27"/>
          <w:szCs w:val="27"/>
          <w:highlight w:val="none"/>
          <w:lang w:val="en-US" w:eastAsia="zh-CN"/>
        </w:rPr>
      </w:pPr>
      <w:r>
        <w:rPr>
          <w:rFonts w:hint="eastAsia" w:ascii="仿宋" w:hAnsi="仿宋" w:eastAsia="仿宋" w:cs="仿宋"/>
          <w:b w:val="0"/>
          <w:bCs w:val="0"/>
          <w:color w:val="auto"/>
          <w:sz w:val="27"/>
          <w:szCs w:val="27"/>
          <w:highlight w:val="none"/>
        </w:rPr>
        <w:t>最高限价：</w:t>
      </w:r>
      <w:r>
        <w:rPr>
          <w:rFonts w:hint="eastAsia" w:ascii="仿宋" w:hAnsi="仿宋" w:eastAsia="仿宋" w:cs="仿宋"/>
          <w:b w:val="0"/>
          <w:bCs w:val="0"/>
          <w:color w:val="auto"/>
          <w:sz w:val="27"/>
          <w:szCs w:val="27"/>
          <w:highlight w:val="none"/>
          <w:lang w:eastAsia="zh-CN"/>
        </w:rPr>
        <w:t>640827.70</w:t>
      </w:r>
      <w:r>
        <w:rPr>
          <w:rFonts w:hint="eastAsia" w:ascii="仿宋" w:hAnsi="仿宋" w:eastAsia="仿宋" w:cs="仿宋"/>
          <w:b w:val="0"/>
          <w:bCs w:val="0"/>
          <w:color w:val="auto"/>
          <w:sz w:val="27"/>
          <w:szCs w:val="27"/>
          <w:highlight w:val="none"/>
          <w:lang w:val="en-US" w:eastAsia="zh-CN"/>
        </w:rPr>
        <w:t>元</w:t>
      </w:r>
    </w:p>
    <w:p w14:paraId="40891422">
      <w:pPr>
        <w:pageBreakBefore w:val="0"/>
        <w:kinsoku/>
        <w:wordWrap/>
        <w:overflowPunct/>
        <w:topLinePunct w:val="0"/>
        <w:bidi w:val="0"/>
        <w:snapToGrid/>
        <w:spacing w:line="540" w:lineRule="exact"/>
        <w:rPr>
          <w:rFonts w:hint="eastAsia" w:ascii="仿宋" w:hAnsi="仿宋" w:eastAsia="仿宋" w:cs="仿宋"/>
          <w:b w:val="0"/>
          <w:bCs w:val="0"/>
          <w:sz w:val="27"/>
          <w:szCs w:val="27"/>
          <w:lang w:val="en-US" w:eastAsia="zh-CN"/>
        </w:rPr>
      </w:pPr>
      <w:r>
        <w:rPr>
          <w:rFonts w:hint="eastAsia" w:ascii="仿宋" w:hAnsi="仿宋" w:eastAsia="仿宋" w:cs="仿宋"/>
          <w:b w:val="0"/>
          <w:bCs w:val="0"/>
          <w:sz w:val="27"/>
          <w:szCs w:val="27"/>
        </w:rPr>
        <w:t>采购需求：</w:t>
      </w:r>
      <w:r>
        <w:rPr>
          <w:rFonts w:hint="eastAsia" w:ascii="仿宋" w:hAnsi="仿宋" w:eastAsia="仿宋" w:cs="仿宋"/>
          <w:b w:val="0"/>
          <w:bCs w:val="0"/>
          <w:sz w:val="27"/>
          <w:szCs w:val="27"/>
          <w:lang w:val="en-US" w:eastAsia="zh-CN"/>
        </w:rPr>
        <w:t xml:space="preserve"> </w:t>
      </w:r>
    </w:p>
    <w:tbl>
      <w:tblPr>
        <w:tblStyle w:val="7"/>
        <w:tblW w:w="92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68"/>
        <w:gridCol w:w="968"/>
        <w:gridCol w:w="968"/>
        <w:gridCol w:w="3614"/>
      </w:tblGrid>
      <w:tr w14:paraId="63008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3668" w:type="dxa"/>
            <w:noWrap w:val="0"/>
            <w:vAlign w:val="center"/>
          </w:tcPr>
          <w:p w14:paraId="182BA221">
            <w:pPr>
              <w:pageBreakBefore w:val="0"/>
              <w:widowControl/>
              <w:kinsoku/>
              <w:wordWrap/>
              <w:overflowPunct/>
              <w:topLinePunct w:val="0"/>
              <w:bidi w:val="0"/>
              <w:snapToGrid/>
              <w:spacing w:line="540" w:lineRule="exact"/>
              <w:jc w:val="center"/>
              <w:textAlignment w:val="center"/>
              <w:rPr>
                <w:rFonts w:hint="eastAsia" w:ascii="仿宋" w:hAnsi="仿宋" w:eastAsia="仿宋" w:cs="仿宋"/>
                <w:b/>
                <w:bCs/>
                <w:sz w:val="27"/>
                <w:szCs w:val="27"/>
              </w:rPr>
            </w:pPr>
            <w:r>
              <w:rPr>
                <w:rFonts w:hint="eastAsia" w:ascii="仿宋" w:hAnsi="仿宋" w:eastAsia="仿宋" w:cs="仿宋"/>
                <w:b/>
                <w:bCs/>
                <w:kern w:val="0"/>
                <w:sz w:val="27"/>
                <w:szCs w:val="27"/>
                <w:lang w:val="en-US" w:eastAsia="zh-CN" w:bidi="ar"/>
              </w:rPr>
              <w:t>项目</w:t>
            </w:r>
            <w:r>
              <w:rPr>
                <w:rFonts w:hint="eastAsia" w:ascii="仿宋" w:hAnsi="仿宋" w:eastAsia="仿宋" w:cs="仿宋"/>
                <w:b/>
                <w:bCs/>
                <w:kern w:val="0"/>
                <w:sz w:val="27"/>
                <w:szCs w:val="27"/>
                <w:lang w:bidi="ar"/>
              </w:rPr>
              <w:t>名称</w:t>
            </w:r>
          </w:p>
        </w:tc>
        <w:tc>
          <w:tcPr>
            <w:tcW w:w="968" w:type="dxa"/>
            <w:noWrap/>
            <w:vAlign w:val="center"/>
          </w:tcPr>
          <w:p w14:paraId="400DF3EF">
            <w:pPr>
              <w:pageBreakBefore w:val="0"/>
              <w:widowControl/>
              <w:kinsoku/>
              <w:wordWrap/>
              <w:overflowPunct/>
              <w:topLinePunct w:val="0"/>
              <w:bidi w:val="0"/>
              <w:snapToGrid/>
              <w:spacing w:line="540" w:lineRule="exact"/>
              <w:jc w:val="center"/>
              <w:textAlignment w:val="center"/>
              <w:rPr>
                <w:rFonts w:hint="eastAsia" w:ascii="仿宋" w:hAnsi="仿宋" w:eastAsia="仿宋" w:cs="仿宋"/>
                <w:b/>
                <w:bCs/>
                <w:sz w:val="27"/>
                <w:szCs w:val="27"/>
              </w:rPr>
            </w:pPr>
            <w:r>
              <w:rPr>
                <w:rFonts w:hint="eastAsia" w:ascii="仿宋" w:hAnsi="仿宋" w:eastAsia="仿宋" w:cs="仿宋"/>
                <w:b/>
                <w:bCs/>
                <w:kern w:val="0"/>
                <w:sz w:val="27"/>
                <w:szCs w:val="27"/>
                <w:lang w:bidi="ar"/>
              </w:rPr>
              <w:t>单位</w:t>
            </w:r>
          </w:p>
        </w:tc>
        <w:tc>
          <w:tcPr>
            <w:tcW w:w="968" w:type="dxa"/>
            <w:noWrap/>
            <w:vAlign w:val="center"/>
          </w:tcPr>
          <w:p w14:paraId="75526D12">
            <w:pPr>
              <w:pageBreakBefore w:val="0"/>
              <w:widowControl/>
              <w:kinsoku/>
              <w:wordWrap/>
              <w:overflowPunct/>
              <w:topLinePunct w:val="0"/>
              <w:bidi w:val="0"/>
              <w:snapToGrid/>
              <w:spacing w:line="540" w:lineRule="exact"/>
              <w:jc w:val="center"/>
              <w:textAlignment w:val="center"/>
              <w:rPr>
                <w:rFonts w:hint="eastAsia" w:ascii="仿宋" w:hAnsi="仿宋" w:eastAsia="仿宋" w:cs="仿宋"/>
                <w:b/>
                <w:bCs/>
                <w:sz w:val="27"/>
                <w:szCs w:val="27"/>
              </w:rPr>
            </w:pPr>
            <w:r>
              <w:rPr>
                <w:rFonts w:hint="eastAsia" w:ascii="仿宋" w:hAnsi="仿宋" w:eastAsia="仿宋" w:cs="仿宋"/>
                <w:b/>
                <w:bCs/>
                <w:kern w:val="0"/>
                <w:sz w:val="27"/>
                <w:szCs w:val="27"/>
                <w:lang w:bidi="ar"/>
              </w:rPr>
              <w:t>数量</w:t>
            </w:r>
          </w:p>
        </w:tc>
        <w:tc>
          <w:tcPr>
            <w:tcW w:w="3614" w:type="dxa"/>
            <w:noWrap w:val="0"/>
            <w:vAlign w:val="center"/>
          </w:tcPr>
          <w:p w14:paraId="5713C72E">
            <w:pPr>
              <w:pageBreakBefore w:val="0"/>
              <w:widowControl/>
              <w:kinsoku/>
              <w:wordWrap/>
              <w:overflowPunct/>
              <w:topLinePunct w:val="0"/>
              <w:bidi w:val="0"/>
              <w:snapToGrid/>
              <w:spacing w:line="540" w:lineRule="exact"/>
              <w:jc w:val="center"/>
              <w:textAlignment w:val="center"/>
              <w:rPr>
                <w:rFonts w:hint="eastAsia" w:ascii="仿宋" w:hAnsi="仿宋" w:eastAsia="仿宋" w:cs="仿宋"/>
                <w:b/>
                <w:bCs/>
                <w:sz w:val="27"/>
                <w:szCs w:val="27"/>
              </w:rPr>
            </w:pPr>
            <w:r>
              <w:rPr>
                <w:rFonts w:hint="eastAsia" w:ascii="仿宋" w:hAnsi="仿宋" w:eastAsia="仿宋" w:cs="仿宋"/>
                <w:b/>
                <w:bCs/>
                <w:kern w:val="0"/>
                <w:sz w:val="27"/>
                <w:szCs w:val="27"/>
                <w:lang w:eastAsia="zh-CN" w:bidi="ar"/>
              </w:rPr>
              <w:t>项目概况</w:t>
            </w:r>
            <w:r>
              <w:rPr>
                <w:rFonts w:hint="eastAsia" w:ascii="仿宋" w:hAnsi="仿宋" w:eastAsia="仿宋" w:cs="仿宋"/>
                <w:b/>
                <w:bCs/>
                <w:kern w:val="0"/>
                <w:sz w:val="27"/>
                <w:szCs w:val="27"/>
                <w:lang w:bidi="ar"/>
              </w:rPr>
              <w:t>及要求</w:t>
            </w:r>
          </w:p>
        </w:tc>
      </w:tr>
      <w:tr w14:paraId="7FCAC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1" w:hRule="atLeast"/>
          <w:jc w:val="center"/>
        </w:trPr>
        <w:tc>
          <w:tcPr>
            <w:tcW w:w="3668" w:type="dxa"/>
            <w:noWrap w:val="0"/>
            <w:vAlign w:val="center"/>
          </w:tcPr>
          <w:p w14:paraId="21FBE4B9">
            <w:pPr>
              <w:pageBreakBefore w:val="0"/>
              <w:kinsoku/>
              <w:wordWrap/>
              <w:overflowPunct/>
              <w:topLinePunct w:val="0"/>
              <w:bidi w:val="0"/>
              <w:snapToGrid/>
              <w:spacing w:line="540" w:lineRule="exact"/>
              <w:jc w:val="center"/>
              <w:rPr>
                <w:rFonts w:hint="eastAsia" w:ascii="仿宋" w:hAnsi="仿宋" w:eastAsia="仿宋" w:cs="仿宋"/>
                <w:b w:val="0"/>
                <w:bCs w:val="0"/>
                <w:sz w:val="27"/>
                <w:szCs w:val="27"/>
                <w:lang w:eastAsia="zh-CN"/>
              </w:rPr>
            </w:pPr>
            <w:r>
              <w:rPr>
                <w:rFonts w:hint="eastAsia" w:ascii="仿宋" w:hAnsi="仿宋" w:eastAsia="仿宋" w:cs="仿宋"/>
                <w:b w:val="0"/>
                <w:bCs w:val="0"/>
                <w:sz w:val="27"/>
                <w:szCs w:val="27"/>
                <w:lang w:eastAsia="zh-CN"/>
              </w:rPr>
              <w:t>会昌县筠门岭镇全民健身广场项目配套运动健身器材采购</w:t>
            </w:r>
          </w:p>
        </w:tc>
        <w:tc>
          <w:tcPr>
            <w:tcW w:w="968" w:type="dxa"/>
            <w:noWrap/>
            <w:vAlign w:val="center"/>
          </w:tcPr>
          <w:p w14:paraId="331DB217">
            <w:pPr>
              <w:pageBreakBefore w:val="0"/>
              <w:widowControl/>
              <w:kinsoku/>
              <w:wordWrap/>
              <w:overflowPunct/>
              <w:topLinePunct w:val="0"/>
              <w:bidi w:val="0"/>
              <w:snapToGrid/>
              <w:spacing w:line="540" w:lineRule="exact"/>
              <w:jc w:val="center"/>
              <w:textAlignment w:val="center"/>
              <w:rPr>
                <w:rFonts w:hint="eastAsia" w:ascii="仿宋" w:hAnsi="仿宋" w:eastAsia="仿宋" w:cs="仿宋"/>
                <w:b w:val="0"/>
                <w:bCs w:val="0"/>
                <w:sz w:val="27"/>
                <w:szCs w:val="27"/>
                <w:lang w:eastAsia="zh-CN"/>
              </w:rPr>
            </w:pPr>
            <w:r>
              <w:rPr>
                <w:rFonts w:hint="eastAsia" w:ascii="仿宋" w:hAnsi="仿宋" w:eastAsia="仿宋" w:cs="仿宋"/>
                <w:b w:val="0"/>
                <w:bCs w:val="0"/>
                <w:kern w:val="0"/>
                <w:sz w:val="27"/>
                <w:szCs w:val="27"/>
                <w:lang w:val="en-US" w:eastAsia="zh-CN" w:bidi="ar"/>
              </w:rPr>
              <w:t>批</w:t>
            </w:r>
          </w:p>
        </w:tc>
        <w:tc>
          <w:tcPr>
            <w:tcW w:w="968" w:type="dxa"/>
            <w:noWrap/>
            <w:vAlign w:val="center"/>
          </w:tcPr>
          <w:p w14:paraId="001F8616">
            <w:pPr>
              <w:pageBreakBefore w:val="0"/>
              <w:kinsoku/>
              <w:wordWrap/>
              <w:overflowPunct/>
              <w:topLinePunct w:val="0"/>
              <w:bidi w:val="0"/>
              <w:snapToGrid/>
              <w:spacing w:line="540" w:lineRule="exact"/>
              <w:jc w:val="center"/>
              <w:rPr>
                <w:rFonts w:hint="eastAsia" w:ascii="仿宋" w:hAnsi="仿宋" w:eastAsia="仿宋" w:cs="仿宋"/>
                <w:b w:val="0"/>
                <w:bCs w:val="0"/>
                <w:kern w:val="0"/>
                <w:sz w:val="27"/>
                <w:szCs w:val="27"/>
              </w:rPr>
            </w:pPr>
            <w:r>
              <w:rPr>
                <w:rFonts w:hint="eastAsia" w:ascii="仿宋" w:hAnsi="仿宋" w:eastAsia="仿宋" w:cs="仿宋"/>
                <w:b w:val="0"/>
                <w:bCs w:val="0"/>
                <w:sz w:val="27"/>
                <w:szCs w:val="27"/>
              </w:rPr>
              <w:t>1</w:t>
            </w:r>
          </w:p>
        </w:tc>
        <w:tc>
          <w:tcPr>
            <w:tcW w:w="3614" w:type="dxa"/>
            <w:noWrap w:val="0"/>
            <w:vAlign w:val="center"/>
          </w:tcPr>
          <w:p w14:paraId="2B5F0E33">
            <w:pPr>
              <w:keepNext w:val="0"/>
              <w:keepLines w:val="0"/>
              <w:pageBreakBefore w:val="0"/>
              <w:widowControl w:val="0"/>
              <w:numPr>
                <w:ilvl w:val="0"/>
                <w:numId w:val="0"/>
              </w:numPr>
              <w:kinsoku/>
              <w:wordWrap/>
              <w:overflowPunct/>
              <w:topLinePunct w:val="0"/>
              <w:autoSpaceDE w:val="0"/>
              <w:autoSpaceDN w:val="0"/>
              <w:bidi w:val="0"/>
              <w:adjustRightInd/>
              <w:snapToGrid/>
              <w:spacing w:before="149" w:line="540" w:lineRule="exact"/>
              <w:jc w:val="center"/>
              <w:textAlignment w:val="auto"/>
              <w:rPr>
                <w:rFonts w:hint="eastAsia" w:ascii="仿宋" w:hAnsi="仿宋" w:eastAsia="仿宋" w:cs="仿宋"/>
                <w:b w:val="0"/>
                <w:bCs w:val="0"/>
                <w:kern w:val="0"/>
                <w:sz w:val="27"/>
                <w:szCs w:val="27"/>
                <w:lang w:val="en-US" w:eastAsia="zh-CN"/>
              </w:rPr>
            </w:pPr>
            <w:r>
              <w:rPr>
                <w:rFonts w:hint="eastAsia" w:ascii="仿宋" w:hAnsi="仿宋" w:eastAsia="仿宋" w:cs="仿宋"/>
                <w:b w:val="0"/>
                <w:bCs w:val="0"/>
                <w:kern w:val="0"/>
                <w:sz w:val="27"/>
                <w:szCs w:val="27"/>
                <w:lang w:val="en-US" w:eastAsia="zh-CN"/>
              </w:rPr>
              <w:t>详见招标文件采购需求。</w:t>
            </w:r>
          </w:p>
        </w:tc>
      </w:tr>
      <w:tr w14:paraId="7F674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9218" w:type="dxa"/>
            <w:gridSpan w:val="4"/>
            <w:noWrap/>
            <w:vAlign w:val="center"/>
          </w:tcPr>
          <w:p w14:paraId="0198166D">
            <w:pPr>
              <w:pageBreakBefore w:val="0"/>
              <w:widowControl/>
              <w:kinsoku/>
              <w:wordWrap/>
              <w:overflowPunct/>
              <w:topLinePunct w:val="0"/>
              <w:bidi w:val="0"/>
              <w:snapToGrid/>
              <w:spacing w:line="540" w:lineRule="exact"/>
              <w:jc w:val="left"/>
              <w:rPr>
                <w:rFonts w:hint="eastAsia" w:ascii="仿宋" w:hAnsi="仿宋" w:eastAsia="仿宋" w:cs="仿宋"/>
                <w:b w:val="0"/>
                <w:bCs w:val="0"/>
                <w:kern w:val="0"/>
                <w:sz w:val="27"/>
                <w:szCs w:val="27"/>
              </w:rPr>
            </w:pPr>
            <w:r>
              <w:rPr>
                <w:rFonts w:hint="eastAsia" w:ascii="仿宋" w:hAnsi="仿宋" w:eastAsia="仿宋" w:cs="仿宋"/>
                <w:b w:val="0"/>
                <w:bCs w:val="0"/>
                <w:kern w:val="0"/>
                <w:sz w:val="27"/>
                <w:szCs w:val="27"/>
              </w:rPr>
              <w:t>备注：本项目只允许国内供应商参与。</w:t>
            </w:r>
          </w:p>
        </w:tc>
      </w:tr>
    </w:tbl>
    <w:p w14:paraId="2C543936">
      <w:pPr>
        <w:pageBreakBefore w:val="0"/>
        <w:kinsoku/>
        <w:wordWrap/>
        <w:overflowPunct/>
        <w:topLinePunct w:val="0"/>
        <w:bidi w:val="0"/>
        <w:snapToGrid/>
        <w:spacing w:line="540" w:lineRule="exact"/>
        <w:rPr>
          <w:rFonts w:hint="eastAsia" w:ascii="仿宋" w:hAnsi="仿宋" w:eastAsia="仿宋" w:cs="仿宋"/>
          <w:color w:val="auto"/>
          <w:sz w:val="27"/>
          <w:szCs w:val="27"/>
          <w:lang w:eastAsia="zh-CN"/>
        </w:rPr>
      </w:pPr>
      <w:bookmarkStart w:id="0" w:name="_Toc35393791"/>
      <w:bookmarkStart w:id="1" w:name="_Toc28359003"/>
      <w:bookmarkStart w:id="2" w:name="_Toc35393622"/>
      <w:bookmarkStart w:id="3" w:name="_Toc28359080"/>
      <w:r>
        <w:rPr>
          <w:rFonts w:hint="eastAsia" w:ascii="仿宋" w:hAnsi="仿宋" w:eastAsia="仿宋" w:cs="仿宋"/>
          <w:color w:val="auto"/>
          <w:sz w:val="27"/>
          <w:szCs w:val="27"/>
          <w:lang w:eastAsia="zh-CN"/>
        </w:rPr>
        <w:t>合同履行期限：合同签订生效之日起3个月内完成交付。</w:t>
      </w:r>
    </w:p>
    <w:p w14:paraId="1CECBFB5">
      <w:pPr>
        <w:pageBreakBefore w:val="0"/>
        <w:kinsoku/>
        <w:wordWrap/>
        <w:overflowPunct/>
        <w:topLinePunct w:val="0"/>
        <w:bidi w:val="0"/>
        <w:snapToGrid/>
        <w:spacing w:line="540" w:lineRule="exact"/>
        <w:rPr>
          <w:rFonts w:hint="eastAsia" w:ascii="仿宋" w:hAnsi="仿宋" w:eastAsia="仿宋" w:cs="仿宋"/>
          <w:color w:val="auto"/>
          <w:sz w:val="27"/>
          <w:szCs w:val="27"/>
          <w:lang w:eastAsia="zh-CN"/>
        </w:rPr>
      </w:pPr>
      <w:r>
        <w:rPr>
          <w:rFonts w:hint="eastAsia" w:ascii="仿宋" w:hAnsi="仿宋" w:eastAsia="仿宋" w:cs="仿宋"/>
          <w:color w:val="auto"/>
          <w:sz w:val="27"/>
          <w:szCs w:val="27"/>
        </w:rPr>
        <w:t>本项目不接受联合体。投标报价为一次性不得更改的最终报价，每种货物只允许一个报价，任何有选择的报价都将被拒绝。</w:t>
      </w:r>
    </w:p>
    <w:p w14:paraId="199545A8">
      <w:pPr>
        <w:pageBreakBefore w:val="0"/>
        <w:kinsoku/>
        <w:wordWrap/>
        <w:overflowPunct/>
        <w:topLinePunct w:val="0"/>
        <w:bidi w:val="0"/>
        <w:snapToGrid/>
        <w:spacing w:line="540" w:lineRule="exact"/>
        <w:rPr>
          <w:rFonts w:hint="eastAsia" w:ascii="仿宋" w:hAnsi="仿宋" w:eastAsia="仿宋" w:cs="仿宋"/>
          <w:b/>
          <w:sz w:val="27"/>
          <w:szCs w:val="27"/>
        </w:rPr>
      </w:pPr>
      <w:r>
        <w:rPr>
          <w:rFonts w:hint="eastAsia" w:ascii="仿宋" w:hAnsi="仿宋" w:eastAsia="仿宋" w:cs="仿宋"/>
          <w:b/>
          <w:sz w:val="27"/>
          <w:szCs w:val="27"/>
        </w:rPr>
        <w:t>二、申请人的资格要求：</w:t>
      </w:r>
      <w:bookmarkEnd w:id="0"/>
      <w:bookmarkEnd w:id="1"/>
      <w:bookmarkEnd w:id="2"/>
      <w:bookmarkEnd w:id="3"/>
    </w:p>
    <w:p w14:paraId="3B1686FB">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bookmarkStart w:id="4" w:name="_Toc28359081"/>
      <w:bookmarkStart w:id="5" w:name="_Toc28359004"/>
      <w:r>
        <w:rPr>
          <w:rFonts w:hint="eastAsia" w:ascii="仿宋" w:hAnsi="仿宋" w:eastAsia="仿宋" w:cs="仿宋"/>
          <w:sz w:val="27"/>
          <w:szCs w:val="27"/>
          <w:lang w:val="en-US" w:eastAsia="zh-CN"/>
        </w:rPr>
        <w:t>1、满足《中华人民共和国政府采购法》第二十二条规定；</w:t>
      </w:r>
    </w:p>
    <w:p w14:paraId="2128A76F">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（1）具有独立承担民事责任的能力</w:t>
      </w:r>
    </w:p>
    <w:p w14:paraId="5122596A">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 xml:space="preserve">（2）具有良好的商业信誉和健全的财务会计制度 </w:t>
      </w:r>
    </w:p>
    <w:p w14:paraId="609B8DBF">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 xml:space="preserve">（3）具有履行合同所必须的设备和专业技术能力 </w:t>
      </w:r>
    </w:p>
    <w:p w14:paraId="18468FC9">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（4）有依法缴纳税收和社会保障资金的良好记录</w:t>
      </w:r>
    </w:p>
    <w:p w14:paraId="1BC586D5">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（5）参加政府采购活动前三年内,在经营活动中没有重大违法记录</w:t>
      </w:r>
    </w:p>
    <w:p w14:paraId="40B7DDBC">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6）法律、行政法规规定的其他条件：投标人被“信用中国”列入失信被执行人和重大税收违法案件当事人名单的、被“中国政府采购网”网站列入政府采购严重违法失信行为记录名单（处罚期限尚未届满的），不得参与本项目的政府采购活动；</w:t>
      </w:r>
    </w:p>
    <w:p w14:paraId="71189D20">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540" w:firstLineChars="200"/>
        <w:textAlignment w:val="auto"/>
        <w:rPr>
          <w:rFonts w:hint="eastAsia" w:ascii="仿宋" w:hAnsi="仿宋" w:eastAsia="仿宋" w:cs="仿宋"/>
          <w:b w:val="0"/>
          <w:bCs w:val="0"/>
          <w:kern w:val="2"/>
          <w:sz w:val="27"/>
          <w:szCs w:val="27"/>
          <w:lang w:val="en-US" w:eastAsia="zh-CN" w:bidi="ar-SA"/>
        </w:rPr>
      </w:pPr>
      <w:r>
        <w:rPr>
          <w:rFonts w:hint="eastAsia" w:ascii="仿宋" w:hAnsi="仿宋" w:eastAsia="仿宋" w:cs="仿宋"/>
          <w:sz w:val="27"/>
          <w:szCs w:val="27"/>
          <w:lang w:val="en-US" w:eastAsia="zh-CN"/>
        </w:rPr>
        <w:t>2、落实政府采购政策需满足的资格要求：</w:t>
      </w:r>
      <w:r>
        <w:rPr>
          <w:rFonts w:hint="eastAsia" w:ascii="仿宋" w:hAnsi="仿宋" w:eastAsia="仿宋" w:cs="仿宋"/>
          <w:b w:val="0"/>
          <w:bCs w:val="0"/>
          <w:kern w:val="2"/>
          <w:sz w:val="27"/>
          <w:szCs w:val="27"/>
          <w:lang w:val="en-US" w:eastAsia="zh-CN" w:bidi="ar-SA"/>
        </w:rPr>
        <w:t>本项目非专门面向中小企业采购。本项目采购落实小微企业、监狱企业。</w:t>
      </w:r>
    </w:p>
    <w:p w14:paraId="7556C655">
      <w:pPr>
        <w:pStyle w:val="2"/>
        <w:pageBreakBefore w:val="0"/>
        <w:kinsoku/>
        <w:wordWrap/>
        <w:overflowPunct/>
        <w:topLinePunct w:val="0"/>
        <w:bidi w:val="0"/>
        <w:snapToGrid/>
        <w:spacing w:before="100" w:after="100" w:line="540" w:lineRule="exact"/>
        <w:ind w:firstLine="540" w:firstLineChars="200"/>
        <w:rPr>
          <w:rFonts w:hint="eastAsia" w:ascii="仿宋" w:hAnsi="仿宋" w:eastAsia="仿宋" w:cs="仿宋"/>
          <w:b w:val="0"/>
          <w:bCs w:val="0"/>
          <w:color w:val="FF0000"/>
          <w:sz w:val="27"/>
          <w:szCs w:val="27"/>
        </w:rPr>
      </w:pPr>
      <w:r>
        <w:rPr>
          <w:rFonts w:hint="eastAsia" w:ascii="仿宋" w:hAnsi="仿宋" w:eastAsia="仿宋" w:cs="仿宋"/>
          <w:b w:val="0"/>
          <w:bCs w:val="0"/>
          <w:sz w:val="27"/>
          <w:szCs w:val="27"/>
          <w:lang w:val="en-US" w:eastAsia="zh-CN"/>
        </w:rPr>
        <w:t>3、本项目的特定资格要求：无</w:t>
      </w:r>
      <w:r>
        <w:rPr>
          <w:rFonts w:hint="eastAsia" w:ascii="仿宋" w:hAnsi="仿宋" w:eastAsia="仿宋" w:cs="仿宋"/>
          <w:b w:val="0"/>
          <w:bCs w:val="0"/>
          <w:color w:val="auto"/>
          <w:kern w:val="2"/>
          <w:sz w:val="27"/>
          <w:szCs w:val="27"/>
          <w:lang w:val="en-US" w:eastAsia="zh-CN" w:bidi="ar-SA"/>
        </w:rPr>
        <w:t>。</w:t>
      </w:r>
    </w:p>
    <w:p w14:paraId="7A145E6C">
      <w:pPr>
        <w:pageBreakBefore w:val="0"/>
        <w:kinsoku/>
        <w:wordWrap/>
        <w:overflowPunct/>
        <w:topLinePunct w:val="0"/>
        <w:bidi w:val="0"/>
        <w:snapToGrid/>
        <w:spacing w:line="540" w:lineRule="exact"/>
        <w:ind w:firstLine="542" w:firstLineChars="200"/>
        <w:rPr>
          <w:rFonts w:hint="eastAsia" w:ascii="仿宋" w:hAnsi="仿宋" w:eastAsia="仿宋" w:cs="仿宋"/>
          <w:b/>
          <w:bCs/>
          <w:color w:val="auto"/>
          <w:kern w:val="0"/>
          <w:sz w:val="27"/>
          <w:szCs w:val="27"/>
          <w:highlight w:val="none"/>
          <w:lang w:val="en-US" w:eastAsia="zh-CN" w:bidi="ar-SA"/>
        </w:rPr>
      </w:pPr>
      <w:bookmarkStart w:id="6" w:name="_Toc35393623"/>
      <w:bookmarkStart w:id="7" w:name="_Toc35393792"/>
      <w:r>
        <w:rPr>
          <w:rFonts w:hint="eastAsia" w:ascii="仿宋" w:hAnsi="仿宋" w:eastAsia="仿宋" w:cs="仿宋"/>
          <w:b/>
          <w:bCs w:val="0"/>
          <w:sz w:val="27"/>
          <w:szCs w:val="27"/>
        </w:rPr>
        <w:t>三、</w:t>
      </w:r>
      <w:bookmarkEnd w:id="4"/>
      <w:bookmarkEnd w:id="5"/>
      <w:bookmarkEnd w:id="6"/>
      <w:bookmarkEnd w:id="7"/>
      <w:r>
        <w:rPr>
          <w:rFonts w:hint="eastAsia" w:ascii="仿宋" w:hAnsi="仿宋" w:eastAsia="仿宋" w:cs="仿宋"/>
          <w:b/>
          <w:bCs w:val="0"/>
          <w:kern w:val="2"/>
          <w:sz w:val="27"/>
          <w:szCs w:val="27"/>
          <w:lang w:val="en-US" w:eastAsia="zh-CN" w:bidi="ar-SA"/>
        </w:rPr>
        <w:t>获取文件时间及地点</w:t>
      </w:r>
      <w:r>
        <w:rPr>
          <w:rFonts w:hint="eastAsia" w:ascii="仿宋" w:hAnsi="仿宋" w:eastAsia="仿宋" w:cs="仿宋"/>
          <w:b w:val="0"/>
          <w:bCs w:val="0"/>
          <w:color w:val="auto"/>
          <w:sz w:val="27"/>
          <w:szCs w:val="27"/>
        </w:rPr>
        <w:t>：202</w:t>
      </w:r>
      <w:r>
        <w:rPr>
          <w:rFonts w:hint="eastAsia" w:ascii="仿宋" w:hAnsi="仿宋" w:eastAsia="仿宋" w:cs="仿宋"/>
          <w:b w:val="0"/>
          <w:bCs w:val="0"/>
          <w:color w:val="auto"/>
          <w:sz w:val="27"/>
          <w:szCs w:val="27"/>
          <w:lang w:val="en-US" w:eastAsia="zh-CN"/>
        </w:rPr>
        <w:t>6</w:t>
      </w:r>
      <w:r>
        <w:rPr>
          <w:rFonts w:hint="eastAsia" w:ascii="仿宋" w:hAnsi="仿宋" w:eastAsia="仿宋" w:cs="仿宋"/>
          <w:b w:val="0"/>
          <w:bCs w:val="0"/>
          <w:color w:val="auto"/>
          <w:sz w:val="27"/>
          <w:szCs w:val="27"/>
        </w:rPr>
        <w:t>年</w:t>
      </w:r>
      <w:r>
        <w:rPr>
          <w:rFonts w:hint="eastAsia" w:ascii="仿宋" w:hAnsi="仿宋" w:eastAsia="仿宋" w:cs="仿宋"/>
          <w:b w:val="0"/>
          <w:bCs w:val="0"/>
          <w:color w:val="auto"/>
          <w:sz w:val="27"/>
          <w:szCs w:val="27"/>
          <w:lang w:val="en-US" w:eastAsia="zh-CN"/>
        </w:rPr>
        <w:t>05</w:t>
      </w:r>
      <w:r>
        <w:rPr>
          <w:rFonts w:hint="eastAsia" w:ascii="仿宋" w:hAnsi="仿宋" w:eastAsia="仿宋" w:cs="仿宋"/>
          <w:b w:val="0"/>
          <w:bCs w:val="0"/>
          <w:color w:val="auto"/>
          <w:sz w:val="27"/>
          <w:szCs w:val="27"/>
        </w:rPr>
        <w:t>月</w:t>
      </w:r>
      <w:r>
        <w:rPr>
          <w:rFonts w:hint="eastAsia" w:ascii="仿宋" w:hAnsi="仿宋" w:eastAsia="仿宋" w:cs="仿宋"/>
          <w:b w:val="0"/>
          <w:bCs w:val="0"/>
          <w:color w:val="auto"/>
          <w:sz w:val="27"/>
          <w:szCs w:val="27"/>
          <w:lang w:val="en-US" w:eastAsia="zh-CN"/>
        </w:rPr>
        <w:t>15</w:t>
      </w:r>
      <w:r>
        <w:rPr>
          <w:rFonts w:hint="eastAsia" w:ascii="仿宋" w:hAnsi="仿宋" w:eastAsia="仿宋" w:cs="仿宋"/>
          <w:b w:val="0"/>
          <w:bCs w:val="0"/>
          <w:color w:val="auto"/>
          <w:sz w:val="27"/>
          <w:szCs w:val="27"/>
        </w:rPr>
        <w:t>日00∶00至202</w:t>
      </w:r>
      <w:r>
        <w:rPr>
          <w:rFonts w:hint="eastAsia" w:ascii="仿宋" w:hAnsi="仿宋" w:eastAsia="仿宋" w:cs="仿宋"/>
          <w:b w:val="0"/>
          <w:bCs w:val="0"/>
          <w:color w:val="auto"/>
          <w:sz w:val="27"/>
          <w:szCs w:val="27"/>
          <w:lang w:val="en-US" w:eastAsia="zh-CN"/>
        </w:rPr>
        <w:t>6</w:t>
      </w:r>
      <w:r>
        <w:rPr>
          <w:rFonts w:hint="eastAsia" w:ascii="仿宋" w:hAnsi="仿宋" w:eastAsia="仿宋" w:cs="仿宋"/>
          <w:b w:val="0"/>
          <w:bCs w:val="0"/>
          <w:color w:val="auto"/>
          <w:sz w:val="27"/>
          <w:szCs w:val="27"/>
        </w:rPr>
        <w:t>年</w:t>
      </w:r>
      <w:r>
        <w:rPr>
          <w:rFonts w:hint="eastAsia" w:ascii="仿宋" w:hAnsi="仿宋" w:eastAsia="仿宋" w:cs="仿宋"/>
          <w:b w:val="0"/>
          <w:bCs w:val="0"/>
          <w:color w:val="auto"/>
          <w:sz w:val="27"/>
          <w:szCs w:val="27"/>
          <w:lang w:val="en-US" w:eastAsia="zh-CN"/>
        </w:rPr>
        <w:t>05</w:t>
      </w:r>
      <w:r>
        <w:rPr>
          <w:rFonts w:hint="eastAsia" w:ascii="仿宋" w:hAnsi="仿宋" w:eastAsia="仿宋" w:cs="仿宋"/>
          <w:b w:val="0"/>
          <w:bCs w:val="0"/>
          <w:color w:val="auto"/>
          <w:sz w:val="27"/>
          <w:szCs w:val="27"/>
        </w:rPr>
        <w:t>月</w:t>
      </w:r>
      <w:r>
        <w:rPr>
          <w:rFonts w:hint="eastAsia" w:ascii="仿宋" w:hAnsi="仿宋" w:eastAsia="仿宋" w:cs="仿宋"/>
          <w:b w:val="0"/>
          <w:bCs w:val="0"/>
          <w:color w:val="auto"/>
          <w:sz w:val="27"/>
          <w:szCs w:val="27"/>
          <w:lang w:val="en-US" w:eastAsia="zh-CN"/>
        </w:rPr>
        <w:t>24</w:t>
      </w:r>
      <w:r>
        <w:rPr>
          <w:rFonts w:hint="eastAsia" w:ascii="仿宋" w:hAnsi="仿宋" w:eastAsia="仿宋" w:cs="仿宋"/>
          <w:b w:val="0"/>
          <w:bCs w:val="0"/>
          <w:color w:val="auto"/>
          <w:sz w:val="27"/>
          <w:szCs w:val="27"/>
        </w:rPr>
        <w:t>日</w:t>
      </w:r>
      <w:r>
        <w:rPr>
          <w:rFonts w:hint="eastAsia" w:ascii="仿宋" w:hAnsi="仿宋" w:eastAsia="仿宋" w:cs="仿宋"/>
          <w:b w:val="0"/>
          <w:bCs w:val="0"/>
          <w:color w:val="auto"/>
          <w:sz w:val="27"/>
          <w:szCs w:val="27"/>
          <w:lang w:val="en-US" w:eastAsia="zh-CN"/>
        </w:rPr>
        <w:t>23:30</w:t>
      </w:r>
      <w:r>
        <w:rPr>
          <w:rFonts w:hint="eastAsia" w:ascii="仿宋" w:hAnsi="仿宋" w:eastAsia="仿宋" w:cs="仿宋"/>
          <w:b/>
          <w:bCs/>
          <w:color w:val="auto"/>
          <w:kern w:val="0"/>
          <w:sz w:val="27"/>
          <w:szCs w:val="27"/>
          <w:highlight w:val="none"/>
          <w:lang w:val="en-US" w:eastAsia="zh-CN" w:bidi="ar-SA"/>
        </w:rPr>
        <w:t>（注：因系统设置原因可能导致无法全天候开放获取招标文件，由此产生的无法获取由潜在投标人自行承担）。</w:t>
      </w:r>
    </w:p>
    <w:p w14:paraId="3FC65B35">
      <w:pPr>
        <w:pageBreakBefore w:val="0"/>
        <w:kinsoku/>
        <w:wordWrap/>
        <w:overflowPunct/>
        <w:topLinePunct w:val="0"/>
        <w:bidi w:val="0"/>
        <w:snapToGrid/>
        <w:spacing w:line="540" w:lineRule="exact"/>
        <w:ind w:firstLine="540" w:firstLineChars="200"/>
        <w:rPr>
          <w:rFonts w:hint="eastAsia" w:ascii="仿宋" w:hAnsi="仿宋" w:eastAsia="仿宋" w:cs="仿宋"/>
          <w:b w:val="0"/>
          <w:bCs w:val="0"/>
          <w:color w:val="auto"/>
          <w:sz w:val="27"/>
          <w:szCs w:val="27"/>
          <w:lang w:eastAsia="zh-CN"/>
        </w:rPr>
      </w:pPr>
      <w:bookmarkStart w:id="8" w:name="_Toc35393632"/>
      <w:bookmarkStart w:id="9" w:name="_Toc35393801"/>
      <w:bookmarkStart w:id="10" w:name="_Toc28359092"/>
      <w:bookmarkStart w:id="11" w:name="_Toc28359015"/>
      <w:r>
        <w:rPr>
          <w:rFonts w:hint="eastAsia" w:ascii="仿宋" w:hAnsi="仿宋" w:eastAsia="仿宋" w:cs="仿宋"/>
          <w:b w:val="0"/>
          <w:bCs w:val="0"/>
          <w:color w:val="auto"/>
          <w:sz w:val="27"/>
          <w:szCs w:val="27"/>
          <w:lang w:val="en-US" w:eastAsia="zh-CN"/>
        </w:rPr>
        <w:t>获取</w:t>
      </w:r>
      <w:r>
        <w:rPr>
          <w:rFonts w:hint="eastAsia" w:ascii="仿宋" w:hAnsi="仿宋" w:eastAsia="仿宋" w:cs="仿宋"/>
          <w:b w:val="0"/>
          <w:bCs w:val="0"/>
          <w:color w:val="auto"/>
          <w:sz w:val="27"/>
          <w:szCs w:val="27"/>
        </w:rPr>
        <w:t>地点：江西省公共资源交易网</w:t>
      </w:r>
      <w:r>
        <w:rPr>
          <w:rFonts w:hint="eastAsia" w:ascii="仿宋" w:hAnsi="仿宋" w:eastAsia="仿宋" w:cs="仿宋"/>
          <w:b w:val="0"/>
          <w:bCs w:val="0"/>
          <w:color w:val="auto"/>
          <w:sz w:val="27"/>
          <w:szCs w:val="27"/>
          <w:lang w:eastAsia="zh-CN"/>
        </w:rPr>
        <w:t>（</w:t>
      </w:r>
      <w:r>
        <w:rPr>
          <w:rFonts w:hint="eastAsia" w:ascii="仿宋" w:hAnsi="仿宋" w:eastAsia="仿宋" w:cs="仿宋"/>
          <w:color w:val="auto"/>
          <w:sz w:val="27"/>
          <w:szCs w:val="27"/>
        </w:rPr>
        <w:t>网址：</w:t>
      </w:r>
      <w:r>
        <w:rPr>
          <w:rFonts w:hint="eastAsia" w:ascii="仿宋" w:hAnsi="仿宋" w:eastAsia="仿宋" w:cs="仿宋"/>
          <w:color w:val="auto"/>
          <w:sz w:val="27"/>
          <w:szCs w:val="27"/>
          <w:highlight w:val="none"/>
          <w:u w:val="single"/>
        </w:rPr>
        <w:t>http://ggzy.jiangxi.gov.cn/</w:t>
      </w:r>
      <w:r>
        <w:rPr>
          <w:rFonts w:hint="eastAsia" w:ascii="仿宋" w:hAnsi="仿宋" w:eastAsia="仿宋" w:cs="仿宋"/>
          <w:b w:val="0"/>
          <w:bCs w:val="0"/>
          <w:color w:val="auto"/>
          <w:sz w:val="27"/>
          <w:szCs w:val="27"/>
          <w:lang w:eastAsia="zh-CN"/>
        </w:rPr>
        <w:t>）；</w:t>
      </w:r>
    </w:p>
    <w:p w14:paraId="7F3AE557">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b w:val="0"/>
          <w:bCs w:val="0"/>
          <w:color w:val="auto"/>
          <w:sz w:val="27"/>
          <w:szCs w:val="27"/>
          <w:lang w:val="en-US" w:eastAsia="zh-CN"/>
        </w:rPr>
        <w:t>获取</w:t>
      </w:r>
      <w:r>
        <w:rPr>
          <w:rFonts w:hint="eastAsia" w:ascii="仿宋" w:hAnsi="仿宋" w:eastAsia="仿宋" w:cs="仿宋"/>
          <w:b w:val="0"/>
          <w:bCs w:val="0"/>
          <w:color w:val="auto"/>
          <w:sz w:val="27"/>
          <w:szCs w:val="27"/>
        </w:rPr>
        <w:t>方式：</w:t>
      </w:r>
      <w:r>
        <w:rPr>
          <w:rFonts w:hint="eastAsia" w:ascii="仿宋" w:hAnsi="仿宋" w:eastAsia="仿宋" w:cs="仿宋"/>
          <w:b w:val="0"/>
          <w:bCs w:val="0"/>
          <w:kern w:val="2"/>
          <w:sz w:val="27"/>
          <w:szCs w:val="27"/>
          <w:lang w:val="en-US" w:eastAsia="zh-CN" w:bidi="ar-SA"/>
        </w:rPr>
        <w:t>使用CA数字证书在江西省公共资源交易系统报名及下载招标文件</w:t>
      </w:r>
      <w:r>
        <w:rPr>
          <w:rFonts w:hint="eastAsia" w:ascii="仿宋" w:hAnsi="仿宋" w:eastAsia="仿宋" w:cs="仿宋"/>
          <w:b w:val="0"/>
          <w:bCs w:val="0"/>
          <w:color w:val="auto"/>
          <w:sz w:val="27"/>
          <w:szCs w:val="27"/>
        </w:rPr>
        <w:t>（因系统设置原因可能导致无法全天候开放获取招标文件，由此产生的无法获取由潜在投标人自行承担）</w:t>
      </w:r>
      <w:r>
        <w:rPr>
          <w:rFonts w:hint="eastAsia" w:ascii="仿宋" w:hAnsi="仿宋" w:eastAsia="仿宋" w:cs="仿宋"/>
          <w:sz w:val="27"/>
          <w:szCs w:val="27"/>
        </w:rPr>
        <w:t>。</w:t>
      </w:r>
    </w:p>
    <w:p w14:paraId="71729C3A">
      <w:pPr>
        <w:pageBreakBefore w:val="0"/>
        <w:kinsoku/>
        <w:wordWrap/>
        <w:overflowPunct/>
        <w:topLinePunct w:val="0"/>
        <w:bidi w:val="0"/>
        <w:snapToGrid/>
        <w:spacing w:line="540" w:lineRule="exact"/>
        <w:ind w:firstLine="542" w:firstLineChars="200"/>
        <w:rPr>
          <w:rFonts w:hint="eastAsia" w:ascii="仿宋" w:hAnsi="仿宋" w:eastAsia="仿宋" w:cs="仿宋"/>
          <w:sz w:val="27"/>
          <w:szCs w:val="27"/>
        </w:rPr>
      </w:pPr>
      <w:r>
        <w:rPr>
          <w:rFonts w:hint="eastAsia" w:ascii="仿宋" w:hAnsi="仿宋" w:eastAsia="仿宋" w:cs="仿宋"/>
          <w:b/>
          <w:bCs/>
          <w:color w:val="auto"/>
          <w:kern w:val="0"/>
          <w:sz w:val="27"/>
          <w:szCs w:val="27"/>
          <w:highlight w:val="none"/>
          <w:lang w:eastAsia="zh-CN"/>
        </w:rPr>
        <w:t>注：</w:t>
      </w:r>
      <w:r>
        <w:rPr>
          <w:rFonts w:hint="eastAsia" w:ascii="仿宋" w:hAnsi="仿宋" w:eastAsia="仿宋" w:cs="仿宋"/>
          <w:b/>
          <w:bCs/>
          <w:color w:val="auto"/>
          <w:kern w:val="0"/>
          <w:sz w:val="27"/>
          <w:szCs w:val="27"/>
          <w:highlight w:val="none"/>
          <w:lang w:val="en-US" w:eastAsia="zh-CN" w:bidi="ar-SA"/>
        </w:rPr>
        <w:t>未使用CA数字证书在江西省公共资源交易系统下载公开招标文件的，视为未报名，不得参加本项目的采购活动，请注意完成报名和下载两个步骤才算报名成功</w:t>
      </w:r>
      <w:r>
        <w:rPr>
          <w:rFonts w:hint="eastAsia" w:ascii="仿宋" w:hAnsi="仿宋" w:eastAsia="仿宋" w:cs="仿宋"/>
          <w:sz w:val="27"/>
          <w:szCs w:val="27"/>
        </w:rPr>
        <w:t>。</w:t>
      </w:r>
    </w:p>
    <w:p w14:paraId="724B1215">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lang w:val="en-US" w:eastAsia="zh-CN"/>
        </w:rPr>
        <w:t>文件</w:t>
      </w:r>
      <w:r>
        <w:rPr>
          <w:rFonts w:hint="eastAsia" w:ascii="仿宋" w:hAnsi="仿宋" w:eastAsia="仿宋" w:cs="仿宋"/>
          <w:sz w:val="27"/>
          <w:szCs w:val="27"/>
        </w:rPr>
        <w:t>售价：</w:t>
      </w:r>
      <w:r>
        <w:rPr>
          <w:rFonts w:hint="eastAsia" w:ascii="仿宋" w:hAnsi="仿宋" w:eastAsia="仿宋" w:cs="仿宋"/>
          <w:sz w:val="27"/>
          <w:szCs w:val="27"/>
          <w:lang w:val="en-US" w:eastAsia="zh-CN"/>
        </w:rPr>
        <w:t>0.00元</w:t>
      </w:r>
      <w:r>
        <w:rPr>
          <w:rFonts w:hint="eastAsia" w:ascii="仿宋" w:hAnsi="仿宋" w:eastAsia="仿宋" w:cs="仿宋"/>
          <w:sz w:val="27"/>
          <w:szCs w:val="27"/>
        </w:rPr>
        <w:t>。</w:t>
      </w:r>
    </w:p>
    <w:p w14:paraId="0AC1E453">
      <w:pPr>
        <w:pStyle w:val="2"/>
        <w:pageBreakBefore w:val="0"/>
        <w:kinsoku/>
        <w:wordWrap/>
        <w:overflowPunct/>
        <w:topLinePunct w:val="0"/>
        <w:bidi w:val="0"/>
        <w:snapToGrid/>
        <w:spacing w:before="100" w:after="100" w:line="540" w:lineRule="exact"/>
        <w:rPr>
          <w:rFonts w:hint="eastAsia" w:ascii="仿宋" w:hAnsi="仿宋" w:eastAsia="仿宋" w:cs="仿宋"/>
          <w:b/>
          <w:bCs w:val="0"/>
          <w:color w:val="auto"/>
          <w:spacing w:val="17"/>
          <w:sz w:val="27"/>
          <w:szCs w:val="27"/>
        </w:rPr>
      </w:pPr>
      <w:r>
        <w:rPr>
          <w:rFonts w:hint="eastAsia" w:ascii="仿宋" w:hAnsi="仿宋" w:eastAsia="仿宋" w:cs="仿宋"/>
          <w:b/>
          <w:bCs w:val="0"/>
          <w:color w:val="auto"/>
          <w:spacing w:val="17"/>
          <w:sz w:val="27"/>
          <w:szCs w:val="27"/>
        </w:rPr>
        <w:t>四、</w:t>
      </w:r>
      <w:bookmarkEnd w:id="8"/>
      <w:bookmarkEnd w:id="9"/>
      <w:bookmarkEnd w:id="10"/>
      <w:bookmarkEnd w:id="11"/>
      <w:r>
        <w:rPr>
          <w:rFonts w:hint="eastAsia" w:ascii="仿宋" w:hAnsi="仿宋" w:eastAsia="仿宋" w:cs="仿宋"/>
          <w:b/>
          <w:bCs w:val="0"/>
          <w:color w:val="auto"/>
          <w:spacing w:val="17"/>
          <w:sz w:val="27"/>
          <w:szCs w:val="27"/>
        </w:rPr>
        <w:t>提交投标文件截止时间、开标时间和地点</w:t>
      </w:r>
    </w:p>
    <w:p w14:paraId="2A6C6BCE">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截止时间：</w:t>
      </w:r>
      <w:r>
        <w:rPr>
          <w:rFonts w:hint="eastAsia" w:ascii="仿宋" w:hAnsi="仿宋" w:eastAsia="仿宋" w:cs="仿宋"/>
          <w:sz w:val="27"/>
          <w:szCs w:val="27"/>
          <w:u w:val="single"/>
        </w:rPr>
        <w:t>202</w:t>
      </w:r>
      <w:r>
        <w:rPr>
          <w:rFonts w:hint="eastAsia" w:ascii="仿宋" w:hAnsi="仿宋" w:eastAsia="仿宋" w:cs="仿宋"/>
          <w:sz w:val="27"/>
          <w:szCs w:val="27"/>
          <w:u w:val="single"/>
          <w:lang w:val="en-US" w:eastAsia="zh-CN"/>
        </w:rPr>
        <w:t>6</w:t>
      </w:r>
      <w:r>
        <w:rPr>
          <w:rFonts w:hint="eastAsia" w:ascii="仿宋" w:hAnsi="仿宋" w:eastAsia="仿宋" w:cs="仿宋"/>
          <w:sz w:val="27"/>
          <w:szCs w:val="27"/>
          <w:u w:val="single"/>
        </w:rPr>
        <w:t>年</w:t>
      </w:r>
      <w:r>
        <w:rPr>
          <w:rFonts w:hint="eastAsia" w:ascii="仿宋" w:hAnsi="仿宋" w:eastAsia="仿宋" w:cs="仿宋"/>
          <w:sz w:val="27"/>
          <w:szCs w:val="27"/>
          <w:u w:val="single"/>
          <w:lang w:val="en-US" w:eastAsia="zh-CN"/>
        </w:rPr>
        <w:t>06</w:t>
      </w:r>
      <w:r>
        <w:rPr>
          <w:rFonts w:hint="eastAsia" w:ascii="仿宋" w:hAnsi="仿宋" w:eastAsia="仿宋" w:cs="仿宋"/>
          <w:sz w:val="27"/>
          <w:szCs w:val="27"/>
          <w:u w:val="single"/>
        </w:rPr>
        <w:t>月</w:t>
      </w:r>
      <w:r>
        <w:rPr>
          <w:rFonts w:hint="eastAsia" w:ascii="仿宋" w:hAnsi="仿宋" w:eastAsia="仿宋" w:cs="仿宋"/>
          <w:sz w:val="27"/>
          <w:szCs w:val="27"/>
          <w:u w:val="single"/>
          <w:lang w:val="en-US" w:eastAsia="zh-CN"/>
        </w:rPr>
        <w:t>04</w:t>
      </w:r>
      <w:r>
        <w:rPr>
          <w:rFonts w:hint="eastAsia" w:ascii="仿宋" w:hAnsi="仿宋" w:eastAsia="仿宋" w:cs="仿宋"/>
          <w:sz w:val="27"/>
          <w:szCs w:val="27"/>
          <w:u w:val="single"/>
        </w:rPr>
        <w:t>日</w:t>
      </w:r>
      <w:r>
        <w:rPr>
          <w:rFonts w:hint="eastAsia" w:ascii="仿宋" w:hAnsi="仿宋" w:eastAsia="仿宋" w:cs="仿宋"/>
          <w:sz w:val="27"/>
          <w:szCs w:val="27"/>
          <w:u w:val="single"/>
          <w:lang w:val="en-US" w:eastAsia="zh-CN"/>
        </w:rPr>
        <w:t>10</w:t>
      </w:r>
      <w:r>
        <w:rPr>
          <w:rFonts w:hint="eastAsia" w:ascii="仿宋" w:hAnsi="仿宋" w:eastAsia="仿宋" w:cs="仿宋"/>
          <w:sz w:val="27"/>
          <w:szCs w:val="27"/>
          <w:u w:val="single"/>
        </w:rPr>
        <w:t>点</w:t>
      </w:r>
      <w:r>
        <w:rPr>
          <w:rFonts w:hint="eastAsia" w:ascii="仿宋" w:hAnsi="仿宋" w:eastAsia="仿宋" w:cs="仿宋"/>
          <w:sz w:val="27"/>
          <w:szCs w:val="27"/>
          <w:u w:val="single"/>
          <w:lang w:val="en-US" w:eastAsia="zh-CN"/>
        </w:rPr>
        <w:t>3</w:t>
      </w:r>
      <w:r>
        <w:rPr>
          <w:rFonts w:hint="eastAsia" w:ascii="仿宋" w:hAnsi="仿宋" w:eastAsia="仿宋" w:cs="仿宋"/>
          <w:sz w:val="27"/>
          <w:szCs w:val="27"/>
          <w:u w:val="single"/>
        </w:rPr>
        <w:t>0分</w:t>
      </w:r>
      <w:r>
        <w:rPr>
          <w:rFonts w:hint="eastAsia" w:ascii="仿宋" w:hAnsi="仿宋" w:eastAsia="仿宋" w:cs="仿宋"/>
          <w:sz w:val="27"/>
          <w:szCs w:val="27"/>
        </w:rPr>
        <w:t>（北京时间）。</w:t>
      </w:r>
    </w:p>
    <w:p w14:paraId="7E66386E">
      <w:pPr>
        <w:pageBreakBefore w:val="0"/>
        <w:kinsoku/>
        <w:wordWrap/>
        <w:overflowPunct/>
        <w:topLinePunct w:val="0"/>
        <w:bidi w:val="0"/>
        <w:snapToGrid/>
        <w:spacing w:line="540" w:lineRule="exact"/>
        <w:ind w:firstLine="540" w:firstLineChars="200"/>
        <w:rPr>
          <w:rFonts w:hint="eastAsia" w:ascii="仿宋" w:hAnsi="仿宋" w:eastAsia="仿宋" w:cs="仿宋"/>
          <w:bCs/>
          <w:spacing w:val="17"/>
          <w:sz w:val="27"/>
          <w:szCs w:val="27"/>
          <w:u w:val="single"/>
        </w:rPr>
      </w:pPr>
      <w:r>
        <w:rPr>
          <w:rFonts w:hint="eastAsia" w:ascii="仿宋" w:hAnsi="仿宋" w:eastAsia="仿宋" w:cs="仿宋"/>
          <w:sz w:val="27"/>
          <w:szCs w:val="27"/>
        </w:rPr>
        <w:t>地点：江西省公共资源交易网(</w:t>
      </w:r>
      <w:r>
        <w:rPr>
          <w:rFonts w:hint="eastAsia" w:ascii="仿宋" w:hAnsi="仿宋" w:eastAsia="仿宋" w:cs="仿宋"/>
          <w:color w:val="auto"/>
          <w:sz w:val="27"/>
          <w:szCs w:val="27"/>
          <w:highlight w:val="none"/>
          <w:u w:val="single"/>
        </w:rPr>
        <w:t>http://ggzy.jiangxi.gov.cn/</w:t>
      </w:r>
      <w:r>
        <w:rPr>
          <w:rFonts w:hint="eastAsia" w:ascii="仿宋" w:hAnsi="仿宋" w:eastAsia="仿宋" w:cs="仿宋"/>
          <w:sz w:val="27"/>
          <w:szCs w:val="27"/>
        </w:rPr>
        <w:t>)自行递交</w:t>
      </w:r>
      <w:r>
        <w:rPr>
          <w:rFonts w:hint="eastAsia" w:ascii="仿宋" w:hAnsi="仿宋" w:eastAsia="仿宋" w:cs="仿宋"/>
          <w:sz w:val="27"/>
          <w:szCs w:val="27"/>
          <w:lang w:eastAsia="zh-CN"/>
        </w:rPr>
        <w:t>。</w:t>
      </w:r>
      <w:r>
        <w:rPr>
          <w:rFonts w:hint="eastAsia" w:ascii="仿宋" w:hAnsi="仿宋" w:eastAsia="仿宋" w:cs="仿宋"/>
          <w:bCs/>
          <w:sz w:val="27"/>
          <w:szCs w:val="27"/>
        </w:rPr>
        <w:t>【电子版</w:t>
      </w:r>
      <w:r>
        <w:rPr>
          <w:rFonts w:hint="eastAsia" w:ascii="仿宋" w:hAnsi="仿宋" w:eastAsia="仿宋" w:cs="仿宋"/>
          <w:bCs/>
          <w:sz w:val="27"/>
          <w:szCs w:val="27"/>
          <w:lang w:eastAsia="zh-CN"/>
        </w:rPr>
        <w:t>投标</w:t>
      </w:r>
      <w:r>
        <w:rPr>
          <w:rFonts w:hint="eastAsia" w:ascii="仿宋" w:hAnsi="仿宋" w:eastAsia="仿宋" w:cs="仿宋"/>
          <w:bCs/>
          <w:sz w:val="27"/>
          <w:szCs w:val="27"/>
        </w:rPr>
        <w:t>文件必须在响应截止时间前上传到江西省公共资源交易网，逾期上传的</w:t>
      </w:r>
      <w:r>
        <w:rPr>
          <w:rFonts w:hint="eastAsia" w:ascii="仿宋" w:hAnsi="仿宋" w:eastAsia="仿宋" w:cs="仿宋"/>
          <w:bCs/>
          <w:sz w:val="27"/>
          <w:szCs w:val="27"/>
          <w:lang w:eastAsia="zh-CN"/>
        </w:rPr>
        <w:t>投标</w:t>
      </w:r>
      <w:r>
        <w:rPr>
          <w:rFonts w:hint="eastAsia" w:ascii="仿宋" w:hAnsi="仿宋" w:eastAsia="仿宋" w:cs="仿宋"/>
          <w:bCs/>
          <w:sz w:val="27"/>
          <w:szCs w:val="27"/>
        </w:rPr>
        <w:t>文件，将导致</w:t>
      </w:r>
      <w:r>
        <w:rPr>
          <w:rFonts w:hint="eastAsia" w:ascii="仿宋" w:hAnsi="仿宋" w:eastAsia="仿宋" w:cs="仿宋"/>
          <w:bCs/>
          <w:sz w:val="27"/>
          <w:szCs w:val="27"/>
          <w:lang w:eastAsia="zh-CN"/>
        </w:rPr>
        <w:t>投标</w:t>
      </w:r>
      <w:r>
        <w:rPr>
          <w:rFonts w:hint="eastAsia" w:ascii="仿宋" w:hAnsi="仿宋" w:eastAsia="仿宋" w:cs="仿宋"/>
          <w:bCs/>
          <w:sz w:val="27"/>
          <w:szCs w:val="27"/>
        </w:rPr>
        <w:t>无效，</w:t>
      </w:r>
      <w:r>
        <w:rPr>
          <w:rFonts w:hint="eastAsia" w:ascii="仿宋" w:hAnsi="仿宋" w:eastAsia="仿宋" w:cs="仿宋"/>
          <w:bCs/>
          <w:sz w:val="27"/>
          <w:szCs w:val="27"/>
          <w:lang w:eastAsia="zh-CN"/>
        </w:rPr>
        <w:t>投标人</w:t>
      </w:r>
      <w:r>
        <w:rPr>
          <w:rFonts w:hint="eastAsia" w:ascii="仿宋" w:hAnsi="仿宋" w:eastAsia="仿宋" w:cs="仿宋"/>
          <w:bCs/>
          <w:sz w:val="27"/>
          <w:szCs w:val="27"/>
        </w:rPr>
        <w:t>网上操作遇到问题可拨打江苏国泰新点软件有限公司客服电话400-998-000</w:t>
      </w:r>
      <w:r>
        <w:rPr>
          <w:rFonts w:hint="eastAsia" w:ascii="仿宋" w:hAnsi="仿宋" w:eastAsia="仿宋" w:cs="仿宋"/>
          <w:bCs/>
          <w:sz w:val="27"/>
          <w:szCs w:val="27"/>
          <w:lang w:val="en-US" w:eastAsia="zh-CN"/>
        </w:rPr>
        <w:t>0</w:t>
      </w:r>
      <w:r>
        <w:rPr>
          <w:rFonts w:hint="eastAsia" w:ascii="仿宋" w:hAnsi="仿宋" w:eastAsia="仿宋" w:cs="仿宋"/>
          <w:bCs/>
          <w:sz w:val="27"/>
          <w:szCs w:val="27"/>
        </w:rPr>
        <w:t>】</w:t>
      </w:r>
      <w:r>
        <w:rPr>
          <w:rFonts w:hint="eastAsia" w:ascii="仿宋" w:hAnsi="仿宋" w:eastAsia="仿宋" w:cs="仿宋"/>
          <w:sz w:val="27"/>
          <w:szCs w:val="27"/>
        </w:rPr>
        <w:t>。</w:t>
      </w:r>
    </w:p>
    <w:p w14:paraId="358DF800">
      <w:pPr>
        <w:pStyle w:val="2"/>
        <w:pageBreakBefore w:val="0"/>
        <w:kinsoku/>
        <w:wordWrap/>
        <w:overflowPunct/>
        <w:topLinePunct w:val="0"/>
        <w:bidi w:val="0"/>
        <w:snapToGrid/>
        <w:spacing w:before="100" w:after="100" w:line="540" w:lineRule="exact"/>
        <w:rPr>
          <w:rFonts w:hint="eastAsia" w:ascii="仿宋" w:hAnsi="仿宋" w:eastAsia="仿宋" w:cs="仿宋"/>
          <w:b/>
          <w:bCs w:val="0"/>
          <w:spacing w:val="17"/>
          <w:sz w:val="27"/>
          <w:szCs w:val="27"/>
        </w:rPr>
      </w:pPr>
      <w:bookmarkStart w:id="12" w:name="_Toc28359093"/>
      <w:bookmarkStart w:id="13" w:name="_Toc28359016"/>
      <w:bookmarkStart w:id="14" w:name="_Toc35393802"/>
      <w:bookmarkStart w:id="15" w:name="_Toc35393633"/>
      <w:r>
        <w:rPr>
          <w:rFonts w:hint="eastAsia" w:ascii="仿宋" w:hAnsi="仿宋" w:eastAsia="仿宋" w:cs="仿宋"/>
          <w:b/>
          <w:bCs w:val="0"/>
          <w:spacing w:val="17"/>
          <w:sz w:val="27"/>
          <w:szCs w:val="27"/>
        </w:rPr>
        <w:t>五、开启</w:t>
      </w:r>
      <w:bookmarkEnd w:id="12"/>
      <w:bookmarkEnd w:id="13"/>
      <w:bookmarkEnd w:id="14"/>
      <w:bookmarkEnd w:id="15"/>
    </w:p>
    <w:p w14:paraId="69EF9050">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时间：</w:t>
      </w:r>
      <w:r>
        <w:rPr>
          <w:rFonts w:hint="eastAsia" w:ascii="仿宋" w:hAnsi="仿宋" w:eastAsia="仿宋" w:cs="仿宋"/>
          <w:sz w:val="27"/>
          <w:szCs w:val="27"/>
          <w:u w:val="single"/>
        </w:rPr>
        <w:t>202</w:t>
      </w:r>
      <w:r>
        <w:rPr>
          <w:rFonts w:hint="eastAsia" w:ascii="仿宋" w:hAnsi="仿宋" w:eastAsia="仿宋" w:cs="仿宋"/>
          <w:sz w:val="27"/>
          <w:szCs w:val="27"/>
          <w:u w:val="single"/>
          <w:lang w:val="en-US" w:eastAsia="zh-CN"/>
        </w:rPr>
        <w:t>6</w:t>
      </w:r>
      <w:r>
        <w:rPr>
          <w:rFonts w:hint="eastAsia" w:ascii="仿宋" w:hAnsi="仿宋" w:eastAsia="仿宋" w:cs="仿宋"/>
          <w:sz w:val="27"/>
          <w:szCs w:val="27"/>
          <w:u w:val="single"/>
        </w:rPr>
        <w:t>年</w:t>
      </w:r>
      <w:r>
        <w:rPr>
          <w:rFonts w:hint="eastAsia" w:ascii="仿宋" w:hAnsi="仿宋" w:eastAsia="仿宋" w:cs="仿宋"/>
          <w:sz w:val="27"/>
          <w:szCs w:val="27"/>
          <w:u w:val="single"/>
          <w:lang w:val="en-US" w:eastAsia="zh-CN"/>
        </w:rPr>
        <w:t>06</w:t>
      </w:r>
      <w:r>
        <w:rPr>
          <w:rFonts w:hint="eastAsia" w:ascii="仿宋" w:hAnsi="仿宋" w:eastAsia="仿宋" w:cs="仿宋"/>
          <w:sz w:val="27"/>
          <w:szCs w:val="27"/>
          <w:u w:val="single"/>
        </w:rPr>
        <w:t>月</w:t>
      </w:r>
      <w:r>
        <w:rPr>
          <w:rFonts w:hint="eastAsia" w:ascii="仿宋" w:hAnsi="仿宋" w:eastAsia="仿宋" w:cs="仿宋"/>
          <w:sz w:val="27"/>
          <w:szCs w:val="27"/>
          <w:u w:val="single"/>
          <w:lang w:val="en-US" w:eastAsia="zh-CN"/>
        </w:rPr>
        <w:t>04</w:t>
      </w:r>
      <w:r>
        <w:rPr>
          <w:rFonts w:hint="eastAsia" w:ascii="仿宋" w:hAnsi="仿宋" w:eastAsia="仿宋" w:cs="仿宋"/>
          <w:sz w:val="27"/>
          <w:szCs w:val="27"/>
          <w:u w:val="single"/>
        </w:rPr>
        <w:t>日</w:t>
      </w:r>
      <w:r>
        <w:rPr>
          <w:rFonts w:hint="eastAsia" w:ascii="仿宋" w:hAnsi="仿宋" w:eastAsia="仿宋" w:cs="仿宋"/>
          <w:sz w:val="27"/>
          <w:szCs w:val="27"/>
          <w:u w:val="single"/>
          <w:lang w:val="en-US" w:eastAsia="zh-CN"/>
        </w:rPr>
        <w:t>10</w:t>
      </w:r>
      <w:r>
        <w:rPr>
          <w:rFonts w:hint="eastAsia" w:ascii="仿宋" w:hAnsi="仿宋" w:eastAsia="仿宋" w:cs="仿宋"/>
          <w:sz w:val="27"/>
          <w:szCs w:val="27"/>
          <w:u w:val="single"/>
        </w:rPr>
        <w:t>点</w:t>
      </w:r>
      <w:r>
        <w:rPr>
          <w:rFonts w:hint="eastAsia" w:ascii="仿宋" w:hAnsi="仿宋" w:eastAsia="仿宋" w:cs="仿宋"/>
          <w:sz w:val="27"/>
          <w:szCs w:val="27"/>
          <w:u w:val="single"/>
          <w:lang w:val="en-US" w:eastAsia="zh-CN"/>
        </w:rPr>
        <w:t>3</w:t>
      </w:r>
      <w:r>
        <w:rPr>
          <w:rFonts w:hint="eastAsia" w:ascii="仿宋" w:hAnsi="仿宋" w:eastAsia="仿宋" w:cs="仿宋"/>
          <w:sz w:val="27"/>
          <w:szCs w:val="27"/>
          <w:u w:val="single"/>
        </w:rPr>
        <w:t>0分</w:t>
      </w:r>
      <w:r>
        <w:rPr>
          <w:rFonts w:hint="eastAsia" w:ascii="仿宋" w:hAnsi="仿宋" w:eastAsia="仿宋" w:cs="仿宋"/>
          <w:sz w:val="27"/>
          <w:szCs w:val="27"/>
        </w:rPr>
        <w:t>（北京时间）</w:t>
      </w:r>
    </w:p>
    <w:p w14:paraId="625F5798">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地点：</w:t>
      </w:r>
      <w:r>
        <w:rPr>
          <w:rFonts w:hint="eastAsia" w:ascii="仿宋" w:hAnsi="仿宋" w:eastAsia="仿宋" w:cs="仿宋"/>
          <w:sz w:val="27"/>
          <w:szCs w:val="27"/>
          <w:lang w:val="en-US" w:eastAsia="zh-CN"/>
        </w:rPr>
        <w:t>赣州市公共资源交易中心南康分中心</w:t>
      </w:r>
      <w:r>
        <w:rPr>
          <w:rFonts w:hint="eastAsia" w:ascii="仿宋" w:hAnsi="仿宋" w:eastAsia="仿宋" w:cs="仿宋"/>
          <w:sz w:val="27"/>
          <w:szCs w:val="27"/>
        </w:rPr>
        <w:t>；本项目采用“不见面开标”系统开标，投标人不需要到场参加开标会。</w:t>
      </w:r>
    </w:p>
    <w:p w14:paraId="1E87DF96">
      <w:pPr>
        <w:pStyle w:val="2"/>
        <w:pageBreakBefore w:val="0"/>
        <w:kinsoku/>
        <w:wordWrap/>
        <w:overflowPunct/>
        <w:topLinePunct w:val="0"/>
        <w:bidi w:val="0"/>
        <w:snapToGrid/>
        <w:spacing w:before="100" w:after="100" w:line="540" w:lineRule="exact"/>
        <w:rPr>
          <w:rFonts w:hint="eastAsia" w:ascii="仿宋" w:hAnsi="仿宋" w:eastAsia="仿宋" w:cs="仿宋"/>
          <w:b/>
          <w:bCs w:val="0"/>
          <w:spacing w:val="17"/>
          <w:sz w:val="27"/>
          <w:szCs w:val="27"/>
        </w:rPr>
      </w:pPr>
      <w:bookmarkStart w:id="16" w:name="_Toc28359017"/>
      <w:bookmarkStart w:id="17" w:name="_Toc35393634"/>
      <w:bookmarkStart w:id="18" w:name="_Toc35393803"/>
      <w:bookmarkStart w:id="19" w:name="_Toc28359094"/>
      <w:r>
        <w:rPr>
          <w:rFonts w:hint="eastAsia" w:ascii="仿宋" w:hAnsi="仿宋" w:eastAsia="仿宋" w:cs="仿宋"/>
          <w:b/>
          <w:bCs w:val="0"/>
          <w:spacing w:val="17"/>
          <w:sz w:val="27"/>
          <w:szCs w:val="27"/>
        </w:rPr>
        <w:t>六、公告期限</w:t>
      </w:r>
      <w:bookmarkEnd w:id="16"/>
      <w:bookmarkEnd w:id="17"/>
      <w:bookmarkEnd w:id="18"/>
      <w:bookmarkEnd w:id="19"/>
    </w:p>
    <w:p w14:paraId="36E13A67">
      <w:pPr>
        <w:pageBreakBefore w:val="0"/>
        <w:kinsoku/>
        <w:wordWrap/>
        <w:overflowPunct/>
        <w:topLinePunct w:val="0"/>
        <w:bidi w:val="0"/>
        <w:snapToGrid/>
        <w:spacing w:line="540" w:lineRule="exact"/>
        <w:ind w:firstLine="608" w:firstLineChars="200"/>
        <w:rPr>
          <w:rFonts w:hint="eastAsia" w:ascii="仿宋" w:hAnsi="仿宋" w:eastAsia="仿宋" w:cs="仿宋"/>
          <w:spacing w:val="17"/>
          <w:sz w:val="27"/>
          <w:szCs w:val="27"/>
        </w:rPr>
      </w:pPr>
      <w:r>
        <w:rPr>
          <w:rFonts w:hint="eastAsia" w:ascii="仿宋" w:hAnsi="仿宋" w:eastAsia="仿宋" w:cs="仿宋"/>
          <w:spacing w:val="17"/>
          <w:kern w:val="0"/>
          <w:sz w:val="27"/>
          <w:szCs w:val="27"/>
        </w:rPr>
        <w:t>自本公告发布之日起5个工作日。</w:t>
      </w:r>
    </w:p>
    <w:p w14:paraId="271B53E0">
      <w:pPr>
        <w:pStyle w:val="2"/>
        <w:pageBreakBefore w:val="0"/>
        <w:numPr>
          <w:ilvl w:val="0"/>
          <w:numId w:val="0"/>
        </w:numPr>
        <w:kinsoku/>
        <w:wordWrap/>
        <w:overflowPunct/>
        <w:topLinePunct w:val="0"/>
        <w:bidi w:val="0"/>
        <w:snapToGrid/>
        <w:spacing w:before="100" w:after="100" w:line="540" w:lineRule="exact"/>
        <w:rPr>
          <w:rFonts w:hint="eastAsia" w:ascii="仿宋" w:hAnsi="仿宋" w:eastAsia="仿宋" w:cs="仿宋"/>
          <w:b/>
          <w:bCs w:val="0"/>
          <w:spacing w:val="17"/>
          <w:sz w:val="27"/>
          <w:szCs w:val="27"/>
        </w:rPr>
      </w:pPr>
      <w:bookmarkStart w:id="20" w:name="_Toc35393635"/>
      <w:bookmarkStart w:id="21" w:name="_Toc35393804"/>
      <w:r>
        <w:rPr>
          <w:rFonts w:hint="eastAsia" w:ascii="仿宋" w:hAnsi="仿宋" w:eastAsia="仿宋" w:cs="仿宋"/>
          <w:b/>
          <w:bCs w:val="0"/>
          <w:spacing w:val="17"/>
          <w:sz w:val="27"/>
          <w:szCs w:val="27"/>
          <w:lang w:eastAsia="zh-CN"/>
        </w:rPr>
        <w:t>七、</w:t>
      </w:r>
      <w:r>
        <w:rPr>
          <w:rFonts w:hint="eastAsia" w:ascii="仿宋" w:hAnsi="仿宋" w:eastAsia="仿宋" w:cs="仿宋"/>
          <w:b/>
          <w:bCs w:val="0"/>
          <w:spacing w:val="17"/>
          <w:sz w:val="27"/>
          <w:szCs w:val="27"/>
        </w:rPr>
        <w:t>其他补充事宜</w:t>
      </w:r>
      <w:bookmarkEnd w:id="20"/>
      <w:bookmarkEnd w:id="21"/>
    </w:p>
    <w:p w14:paraId="57357B6C">
      <w:pPr>
        <w:pageBreakBefore w:val="0"/>
        <w:kinsoku/>
        <w:wordWrap/>
        <w:overflowPunct/>
        <w:topLinePunct w:val="0"/>
        <w:bidi w:val="0"/>
        <w:snapToGrid/>
        <w:spacing w:line="540" w:lineRule="exact"/>
        <w:ind w:firstLine="540" w:firstLineChars="200"/>
        <w:rPr>
          <w:rFonts w:hint="eastAsia" w:ascii="仿宋" w:hAnsi="仿宋" w:eastAsia="仿宋" w:cs="仿宋"/>
          <w:kern w:val="0"/>
          <w:sz w:val="27"/>
          <w:szCs w:val="27"/>
          <w:lang w:eastAsia="zh-CN"/>
        </w:rPr>
      </w:pPr>
      <w:r>
        <w:rPr>
          <w:rFonts w:hint="eastAsia" w:ascii="仿宋" w:hAnsi="仿宋" w:eastAsia="仿宋" w:cs="仿宋"/>
          <w:sz w:val="27"/>
          <w:szCs w:val="27"/>
        </w:rPr>
        <w:t>1、投标保证金：</w:t>
      </w:r>
      <w:r>
        <w:rPr>
          <w:rFonts w:hint="eastAsia" w:ascii="仿宋" w:hAnsi="仿宋" w:eastAsia="仿宋" w:cs="仿宋"/>
          <w:sz w:val="27"/>
          <w:szCs w:val="27"/>
          <w:lang w:eastAsia="zh-CN"/>
        </w:rPr>
        <w:t>本项目不收取投标保证金</w:t>
      </w:r>
      <w:r>
        <w:rPr>
          <w:rFonts w:hint="eastAsia" w:ascii="仿宋" w:hAnsi="仿宋" w:eastAsia="仿宋" w:cs="仿宋"/>
          <w:kern w:val="0"/>
          <w:sz w:val="27"/>
          <w:szCs w:val="27"/>
          <w:lang w:eastAsia="zh-CN"/>
        </w:rPr>
        <w:t>。</w:t>
      </w:r>
    </w:p>
    <w:p w14:paraId="1FB8F0A6">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eastAsia="zh-CN"/>
        </w:rPr>
      </w:pPr>
      <w:r>
        <w:rPr>
          <w:rFonts w:hint="eastAsia" w:ascii="仿宋" w:hAnsi="仿宋" w:eastAsia="仿宋" w:cs="仿宋"/>
          <w:sz w:val="27"/>
          <w:szCs w:val="27"/>
        </w:rPr>
        <w:t>2、招标代理服务费：本项目将向中标人收取招标代理服务费，具体收费标准详见电子化招标文件</w:t>
      </w:r>
      <w:r>
        <w:rPr>
          <w:rFonts w:hint="eastAsia" w:ascii="仿宋" w:hAnsi="仿宋" w:eastAsia="仿宋" w:cs="仿宋"/>
          <w:sz w:val="27"/>
          <w:szCs w:val="27"/>
          <w:lang w:eastAsia="zh-CN"/>
        </w:rPr>
        <w:t>。</w:t>
      </w:r>
    </w:p>
    <w:p w14:paraId="57C48244">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3、</w:t>
      </w:r>
      <w:r>
        <w:rPr>
          <w:rFonts w:hint="eastAsia" w:ascii="仿宋" w:hAnsi="仿宋" w:eastAsia="仿宋" w:cs="仿宋"/>
          <w:sz w:val="27"/>
          <w:szCs w:val="27"/>
          <w:lang w:val="en-US" w:eastAsia="zh-CN"/>
        </w:rPr>
        <w:t>有意向的投标人可在江西省公共资源交易网上使用CA 数字证书报名及下载招标文件，如未报名及未下载招标文件则响应无效；本次招标结果将在江西省公共资源交易网上进行中标公示，如招标代理公司在江西省公共资源交易网办理中标公示时，因投标人未入库江西省公共资源交易网或未下载招标文件导致无法获取该候选人公司名称的，将取消其中标排序资格且不对该公司候选资格进行公示，并以围标串标线索移交相关部门处理。</w:t>
      </w:r>
    </w:p>
    <w:p w14:paraId="6E37FF82">
      <w:pPr>
        <w:pageBreakBefore w:val="0"/>
        <w:kinsoku/>
        <w:wordWrap/>
        <w:overflowPunct/>
        <w:topLinePunct w:val="0"/>
        <w:bidi w:val="0"/>
        <w:snapToGrid/>
        <w:spacing w:line="540" w:lineRule="exact"/>
        <w:ind w:firstLine="540" w:firstLineChars="200"/>
        <w:rPr>
          <w:rFonts w:hint="eastAsia" w:ascii="仿宋" w:hAnsi="仿宋" w:eastAsia="仿宋" w:cs="仿宋"/>
          <w:b w:val="0"/>
          <w:bCs w:val="0"/>
          <w:sz w:val="27"/>
          <w:szCs w:val="27"/>
        </w:rPr>
      </w:pPr>
      <w:r>
        <w:rPr>
          <w:rFonts w:hint="eastAsia" w:ascii="仿宋" w:hAnsi="仿宋" w:eastAsia="仿宋" w:cs="仿宋"/>
          <w:b w:val="0"/>
          <w:bCs w:val="0"/>
          <w:sz w:val="27"/>
          <w:szCs w:val="27"/>
          <w:lang w:val="en-US" w:eastAsia="zh-CN"/>
        </w:rPr>
        <w:t>4</w:t>
      </w:r>
      <w:r>
        <w:rPr>
          <w:rFonts w:hint="eastAsia" w:ascii="仿宋" w:hAnsi="仿宋" w:eastAsia="仿宋" w:cs="仿宋"/>
          <w:b w:val="0"/>
          <w:bCs w:val="0"/>
          <w:sz w:val="27"/>
          <w:szCs w:val="27"/>
        </w:rPr>
        <w:t>、不见面开标注意事项：</w:t>
      </w:r>
    </w:p>
    <w:p w14:paraId="01971BF7">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1）开标到场要求：本项目采用“不见面开标”系统开标，各投标人不需要到开标现场出席开标会，各投标人可通过登陆“不见面开标”系统观看开标现场视频。政府采购领域“不见面开标”使用操作培训将通过线上方式进行，如有疑问请拨打江苏国泰新点软件有限公司客服电话400-998-0000。</w:t>
      </w:r>
    </w:p>
    <w:p w14:paraId="4D8C433B">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2）本项目采用“不见面开标”系统开标，现场环节全部转为不见面开标系统线上操作（现场环节包括但不限于现场签到、递交原件、现场解锁、纸质保函、回避情形的确认等）。各投标人应自行确保自己的电脑环境、CA锁、网络等状况良好，以免影响参与交易活动。各投标人负责进行本项目投标活动的系统操作和办理投标相关事宜。投标人在开标、评标活动中因质疑、询标签署的澄清和补正，以及在系统操作过程中所签署的一切文件和处理与之有关的一切事务，投标人均予承认，其法律后果由投标人承担。（注：投标人的系统操作人员必须能够熟练的操作新点系统，因业务不熟悉而导致的一切后果由投标人自行承担。）</w:t>
      </w:r>
    </w:p>
    <w:p w14:paraId="6C109270">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（3）系统签到：在投标截止时间前，各投标人必须在不见面开标系统页面进行在线签到，否则无法进入后续的开标环节。如投标人未在投标截止时间前在线签到，按放弃投标处理。</w:t>
      </w:r>
    </w:p>
    <w:p w14:paraId="46677A90">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（4）投标文件解锁：按规定完成系统签到的投标人自行对本单位的投标文件进行解锁，在采购代理机构宣布开始解锁后</w:t>
      </w:r>
      <w:r>
        <w:rPr>
          <w:rFonts w:hint="eastAsia" w:ascii="仿宋" w:hAnsi="仿宋" w:eastAsia="仿宋" w:cs="仿宋"/>
          <w:sz w:val="27"/>
          <w:szCs w:val="27"/>
          <w:lang w:val="en-US" w:eastAsia="zh-CN"/>
        </w:rPr>
        <w:t>30</w:t>
      </w:r>
      <w:r>
        <w:rPr>
          <w:rFonts w:hint="eastAsia" w:ascii="仿宋" w:hAnsi="仿宋" w:eastAsia="仿宋" w:cs="仿宋"/>
          <w:sz w:val="27"/>
          <w:szCs w:val="27"/>
        </w:rPr>
        <w:t>分钟内必须完成解锁。在规定的解锁时间结束后投标人未解锁的，作放弃投标处理，系统将其投标文件退回。</w:t>
      </w:r>
    </w:p>
    <w:p w14:paraId="637F9456">
      <w:pPr>
        <w:keepNext w:val="0"/>
        <w:keepLines w:val="0"/>
        <w:pageBreakBefore w:val="0"/>
        <w:widowControl w:val="0"/>
        <w:kinsoku/>
        <w:wordWrap/>
        <w:overflowPunct/>
        <w:topLinePunct w:val="0"/>
        <w:autoSpaceDE/>
        <w:autoSpaceDN/>
        <w:bidi w:val="0"/>
        <w:adjustRightInd/>
        <w:snapToGrid/>
        <w:spacing w:line="540" w:lineRule="exact"/>
        <w:ind w:firstLine="810" w:firstLineChars="300"/>
        <w:textAlignment w:val="auto"/>
        <w:rPr>
          <w:rFonts w:hint="eastAsia" w:ascii="仿宋" w:hAnsi="仿宋" w:eastAsia="仿宋" w:cs="仿宋"/>
          <w:sz w:val="27"/>
          <w:szCs w:val="27"/>
        </w:rPr>
      </w:pPr>
      <w:r>
        <w:rPr>
          <w:rFonts w:hint="eastAsia" w:ascii="仿宋" w:hAnsi="仿宋" w:eastAsia="仿宋" w:cs="仿宋"/>
          <w:b w:val="0"/>
          <w:bCs w:val="0"/>
          <w:sz w:val="27"/>
          <w:szCs w:val="27"/>
          <w:lang w:val="en-US" w:eastAsia="zh-CN"/>
        </w:rPr>
        <w:t>5</w:t>
      </w:r>
      <w:r>
        <w:rPr>
          <w:rFonts w:hint="eastAsia" w:ascii="仿宋" w:hAnsi="仿宋" w:eastAsia="仿宋" w:cs="仿宋"/>
          <w:b w:val="0"/>
          <w:bCs w:val="0"/>
          <w:sz w:val="27"/>
          <w:szCs w:val="27"/>
        </w:rPr>
        <w:t>、</w:t>
      </w:r>
      <w:r>
        <w:rPr>
          <w:rFonts w:hint="eastAsia" w:ascii="仿宋" w:hAnsi="仿宋" w:eastAsia="仿宋" w:cs="仿宋"/>
          <w:b w:val="0"/>
          <w:bCs w:val="0"/>
          <w:sz w:val="27"/>
          <w:szCs w:val="27"/>
          <w:lang w:eastAsia="zh-CN"/>
        </w:rPr>
        <w:t>温馨提示：</w:t>
      </w:r>
      <w:r>
        <w:rPr>
          <w:rFonts w:hint="eastAsia" w:ascii="仿宋" w:hAnsi="仿宋" w:eastAsia="仿宋" w:cs="仿宋"/>
          <w:sz w:val="27"/>
          <w:szCs w:val="27"/>
        </w:rPr>
        <w:t>本项目支持政府采购合同线上融资，政府采购合同线上融资，是指在“江西省公共资源交易平台电子交易系统”与人民银行征信中心“中征应收账款融资服务平台”实现对接后，利用政采平台参与赣州市政府采购活动并中标（成交）的供应商，在取得政府采购中标（成交）通知书后，通过政采平台或中征平台向赣州辖区内金融机构提出申请，金融机构在政策范围内，依托相关信息数据为政府采购供应商提供的一站式免抵押融资服务。具体规定详见赣州市财政局赣州市人民政府金融工作办公室人民银行赣州市中心支行关于印发《关于深入推进赣州市政府采购合同线上融资工作的通知》的通知（赣市财购字[2022]20号）。</w:t>
      </w:r>
    </w:p>
    <w:p w14:paraId="210DE55B">
      <w:pPr>
        <w:pageBreakBefore w:val="0"/>
        <w:kinsoku/>
        <w:wordWrap/>
        <w:overflowPunct/>
        <w:topLinePunct w:val="0"/>
        <w:bidi w:val="0"/>
        <w:snapToGrid/>
        <w:spacing w:line="540" w:lineRule="exact"/>
        <w:rPr>
          <w:rFonts w:hint="eastAsia" w:ascii="仿宋" w:hAnsi="仿宋" w:eastAsia="仿宋" w:cs="仿宋"/>
          <w:b/>
          <w:bCs/>
          <w:sz w:val="27"/>
          <w:szCs w:val="27"/>
          <w:lang w:val="en-US" w:eastAsia="zh-CN"/>
        </w:rPr>
      </w:pPr>
      <w:r>
        <w:rPr>
          <w:rFonts w:hint="eastAsia" w:ascii="仿宋" w:hAnsi="仿宋" w:eastAsia="仿宋" w:cs="仿宋"/>
          <w:b/>
          <w:bCs/>
          <w:sz w:val="27"/>
          <w:szCs w:val="27"/>
          <w:lang w:val="en-US" w:eastAsia="zh-CN"/>
        </w:rPr>
        <w:t>八、对本次招标提出询问，请按以下方式联系：</w:t>
      </w:r>
    </w:p>
    <w:p w14:paraId="0AB8FC8B">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1、采购人信息</w:t>
      </w:r>
    </w:p>
    <w:p w14:paraId="137D5AF5">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名    称：会昌县筠门岭镇人民政府</w:t>
      </w:r>
    </w:p>
    <w:p w14:paraId="47E80C15">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地    址：</w:t>
      </w:r>
      <w:bookmarkStart w:id="22" w:name="EB4676c8b3a6674ad7a6d6556fad31c280"/>
      <w:r>
        <w:rPr>
          <w:rFonts w:hint="eastAsia" w:ascii="仿宋" w:hAnsi="仿宋" w:eastAsia="仿宋" w:cs="仿宋"/>
          <w:sz w:val="27"/>
          <w:szCs w:val="27"/>
          <w:lang w:val="en-US" w:eastAsia="zh-CN"/>
        </w:rPr>
        <w:t>会昌县</w:t>
      </w:r>
      <w:bookmarkEnd w:id="22"/>
      <w:r>
        <w:rPr>
          <w:rFonts w:hint="eastAsia" w:ascii="仿宋" w:hAnsi="仿宋" w:eastAsia="仿宋" w:cs="仿宋"/>
          <w:sz w:val="27"/>
          <w:szCs w:val="27"/>
          <w:lang w:val="en-US" w:eastAsia="zh-CN"/>
        </w:rPr>
        <w:t>筠门岭镇交通路113号</w:t>
      </w:r>
    </w:p>
    <w:p w14:paraId="1563E86E">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联系人：曾先生</w:t>
      </w:r>
    </w:p>
    <w:p w14:paraId="77A307E2">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电    话：15180113212</w:t>
      </w:r>
    </w:p>
    <w:p w14:paraId="63294F73">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2、采购代理机构信息</w:t>
      </w:r>
    </w:p>
    <w:p w14:paraId="72D44374">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 xml:space="preserve">名   称：江西省赣优工程咨询有限公司 </w:t>
      </w:r>
    </w:p>
    <w:p w14:paraId="71BE99B3">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地   址：江西省赣州市会昌县红旗大道1号</w:t>
      </w:r>
    </w:p>
    <w:p w14:paraId="014BF838">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电   话：0797-2021998</w:t>
      </w:r>
    </w:p>
    <w:p w14:paraId="0B4C204C">
      <w:pPr>
        <w:pageBreakBefore w:val="0"/>
        <w:kinsoku/>
        <w:wordWrap/>
        <w:overflowPunct/>
        <w:topLinePunct w:val="0"/>
        <w:bidi w:val="0"/>
        <w:snapToGrid/>
        <w:spacing w:line="540" w:lineRule="exact"/>
        <w:ind w:firstLine="540" w:firstLineChars="200"/>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邮   箱:  gygczxzbdl@163.com</w:t>
      </w:r>
    </w:p>
    <w:p w14:paraId="02318451">
      <w:pPr>
        <w:pageBreakBefore w:val="0"/>
        <w:kinsoku/>
        <w:wordWrap/>
        <w:overflowPunct/>
        <w:topLinePunct w:val="0"/>
        <w:bidi w:val="0"/>
        <w:snapToGrid/>
        <w:spacing w:line="540" w:lineRule="exact"/>
        <w:ind w:firstLine="540" w:firstLineChars="200"/>
        <w:rPr>
          <w:rFonts w:hint="default" w:ascii="仿宋" w:hAnsi="仿宋" w:eastAsia="仿宋" w:cs="仿宋"/>
          <w:sz w:val="27"/>
          <w:szCs w:val="27"/>
          <w:lang w:val="en-US" w:eastAsia="zh-CN"/>
        </w:rPr>
      </w:pPr>
      <w:r>
        <w:rPr>
          <w:rFonts w:hint="eastAsia" w:ascii="仿宋" w:hAnsi="仿宋" w:eastAsia="仿宋" w:cs="仿宋"/>
          <w:sz w:val="27"/>
          <w:szCs w:val="27"/>
          <w:lang w:val="en-US" w:eastAsia="zh-CN"/>
        </w:rPr>
        <w:t>联系人：邹女士</w:t>
      </w:r>
    </w:p>
    <w:p w14:paraId="3453230B">
      <w:pPr>
        <w:pageBreakBefore w:val="0"/>
        <w:kinsoku/>
        <w:wordWrap/>
        <w:overflowPunct/>
        <w:topLinePunct w:val="0"/>
        <w:bidi w:val="0"/>
        <w:snapToGrid/>
        <w:spacing w:line="540" w:lineRule="exact"/>
        <w:rPr>
          <w:rFonts w:hint="eastAsia" w:ascii="仿宋" w:hAnsi="仿宋" w:eastAsia="仿宋" w:cs="仿宋"/>
          <w:sz w:val="27"/>
          <w:szCs w:val="27"/>
        </w:rPr>
      </w:pPr>
      <w:bookmarkStart w:id="23" w:name="_GoBack"/>
      <w:bookmarkEnd w:id="2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5063D"/>
    <w:rsid w:val="013D5668"/>
    <w:rsid w:val="03261624"/>
    <w:rsid w:val="03E80687"/>
    <w:rsid w:val="050F4BEB"/>
    <w:rsid w:val="070D6D82"/>
    <w:rsid w:val="07E07FF3"/>
    <w:rsid w:val="086539CF"/>
    <w:rsid w:val="08A76D63"/>
    <w:rsid w:val="08E43B13"/>
    <w:rsid w:val="09265ED9"/>
    <w:rsid w:val="095962AF"/>
    <w:rsid w:val="09C120A6"/>
    <w:rsid w:val="09E0252C"/>
    <w:rsid w:val="0A0D0E47"/>
    <w:rsid w:val="0A327A63"/>
    <w:rsid w:val="0A4E6D03"/>
    <w:rsid w:val="0ACA625B"/>
    <w:rsid w:val="0ACD48C9"/>
    <w:rsid w:val="0B995089"/>
    <w:rsid w:val="0E236E8B"/>
    <w:rsid w:val="0E9B1118"/>
    <w:rsid w:val="0EDE2DB2"/>
    <w:rsid w:val="10357777"/>
    <w:rsid w:val="11072A94"/>
    <w:rsid w:val="1122342A"/>
    <w:rsid w:val="115E01DA"/>
    <w:rsid w:val="12062D4C"/>
    <w:rsid w:val="126006AE"/>
    <w:rsid w:val="12AF0CEE"/>
    <w:rsid w:val="1319260B"/>
    <w:rsid w:val="137912FC"/>
    <w:rsid w:val="13912AE9"/>
    <w:rsid w:val="13DB5B12"/>
    <w:rsid w:val="14247EE5"/>
    <w:rsid w:val="15190FE8"/>
    <w:rsid w:val="152B4878"/>
    <w:rsid w:val="15842905"/>
    <w:rsid w:val="170B670F"/>
    <w:rsid w:val="17887D5F"/>
    <w:rsid w:val="17CF598E"/>
    <w:rsid w:val="192E1AE3"/>
    <w:rsid w:val="1A0814FF"/>
    <w:rsid w:val="1AF75928"/>
    <w:rsid w:val="1B267FBB"/>
    <w:rsid w:val="1BF229FC"/>
    <w:rsid w:val="1CB822D8"/>
    <w:rsid w:val="1DE101C9"/>
    <w:rsid w:val="1E6F1C79"/>
    <w:rsid w:val="224B0307"/>
    <w:rsid w:val="232E523D"/>
    <w:rsid w:val="247E6772"/>
    <w:rsid w:val="2583274E"/>
    <w:rsid w:val="25950217"/>
    <w:rsid w:val="25B53CA1"/>
    <w:rsid w:val="27265B39"/>
    <w:rsid w:val="28D53668"/>
    <w:rsid w:val="291E0523"/>
    <w:rsid w:val="29E277A3"/>
    <w:rsid w:val="2AAE58D7"/>
    <w:rsid w:val="2B0C26D7"/>
    <w:rsid w:val="2BBD2276"/>
    <w:rsid w:val="2CD77367"/>
    <w:rsid w:val="2DE47F8D"/>
    <w:rsid w:val="2ED61BC3"/>
    <w:rsid w:val="2EF10C23"/>
    <w:rsid w:val="2F8F3F29"/>
    <w:rsid w:val="2FE75B13"/>
    <w:rsid w:val="300264A9"/>
    <w:rsid w:val="31745184"/>
    <w:rsid w:val="31C37EBA"/>
    <w:rsid w:val="32ED0B50"/>
    <w:rsid w:val="33185FE3"/>
    <w:rsid w:val="33833DA5"/>
    <w:rsid w:val="344D10D1"/>
    <w:rsid w:val="347A51A8"/>
    <w:rsid w:val="34821AD6"/>
    <w:rsid w:val="34A83397"/>
    <w:rsid w:val="355E0625"/>
    <w:rsid w:val="362058DB"/>
    <w:rsid w:val="365E6403"/>
    <w:rsid w:val="368045CB"/>
    <w:rsid w:val="37046FAB"/>
    <w:rsid w:val="3776777C"/>
    <w:rsid w:val="37AD13F0"/>
    <w:rsid w:val="38F31085"/>
    <w:rsid w:val="38FA68B7"/>
    <w:rsid w:val="3A127C30"/>
    <w:rsid w:val="3A242178"/>
    <w:rsid w:val="3A777A93"/>
    <w:rsid w:val="3A824DB6"/>
    <w:rsid w:val="3AA840F1"/>
    <w:rsid w:val="3B4E14F1"/>
    <w:rsid w:val="3B53405D"/>
    <w:rsid w:val="3B7B5B6E"/>
    <w:rsid w:val="3C2459F9"/>
    <w:rsid w:val="3E824F32"/>
    <w:rsid w:val="3EAF1EF2"/>
    <w:rsid w:val="3EDB2CE7"/>
    <w:rsid w:val="3F32595B"/>
    <w:rsid w:val="3F5D194E"/>
    <w:rsid w:val="3F61717C"/>
    <w:rsid w:val="3FC7326B"/>
    <w:rsid w:val="41D61543"/>
    <w:rsid w:val="423F17DF"/>
    <w:rsid w:val="43560B8E"/>
    <w:rsid w:val="44D37FBC"/>
    <w:rsid w:val="452B2ECA"/>
    <w:rsid w:val="45346A17"/>
    <w:rsid w:val="456F4189"/>
    <w:rsid w:val="45774DEB"/>
    <w:rsid w:val="47B2035D"/>
    <w:rsid w:val="47F40975"/>
    <w:rsid w:val="485B6C46"/>
    <w:rsid w:val="49425734"/>
    <w:rsid w:val="4A2B08DE"/>
    <w:rsid w:val="4A5676C5"/>
    <w:rsid w:val="4A5D6CA6"/>
    <w:rsid w:val="4AE72A13"/>
    <w:rsid w:val="4B0F6354"/>
    <w:rsid w:val="4DD252B5"/>
    <w:rsid w:val="4DE94B4B"/>
    <w:rsid w:val="4F165675"/>
    <w:rsid w:val="4F5F0DCA"/>
    <w:rsid w:val="509B0528"/>
    <w:rsid w:val="50CB0A7E"/>
    <w:rsid w:val="5147420C"/>
    <w:rsid w:val="51734070"/>
    <w:rsid w:val="51DC2BA6"/>
    <w:rsid w:val="525F10E1"/>
    <w:rsid w:val="527032EE"/>
    <w:rsid w:val="52FB3500"/>
    <w:rsid w:val="53794425"/>
    <w:rsid w:val="53C262BA"/>
    <w:rsid w:val="540208BE"/>
    <w:rsid w:val="55B31E70"/>
    <w:rsid w:val="567C13E7"/>
    <w:rsid w:val="56CA76C4"/>
    <w:rsid w:val="5753390A"/>
    <w:rsid w:val="578872A1"/>
    <w:rsid w:val="58286142"/>
    <w:rsid w:val="58535244"/>
    <w:rsid w:val="58BA52C3"/>
    <w:rsid w:val="596079F4"/>
    <w:rsid w:val="599D060F"/>
    <w:rsid w:val="5A320DE1"/>
    <w:rsid w:val="5B6559BA"/>
    <w:rsid w:val="5B864D19"/>
    <w:rsid w:val="5C5D0A1B"/>
    <w:rsid w:val="5CF27722"/>
    <w:rsid w:val="5FA665A1"/>
    <w:rsid w:val="60076D0D"/>
    <w:rsid w:val="60B92304"/>
    <w:rsid w:val="60DF7FBD"/>
    <w:rsid w:val="614819AF"/>
    <w:rsid w:val="615F10FE"/>
    <w:rsid w:val="616A195A"/>
    <w:rsid w:val="619113E4"/>
    <w:rsid w:val="61C176C2"/>
    <w:rsid w:val="62145A44"/>
    <w:rsid w:val="621D52B5"/>
    <w:rsid w:val="62FA7330"/>
    <w:rsid w:val="63260125"/>
    <w:rsid w:val="633F11E7"/>
    <w:rsid w:val="6342777B"/>
    <w:rsid w:val="63473BF7"/>
    <w:rsid w:val="665F4C47"/>
    <w:rsid w:val="66D32372"/>
    <w:rsid w:val="66F127F8"/>
    <w:rsid w:val="66FE3167"/>
    <w:rsid w:val="675F3C06"/>
    <w:rsid w:val="67760F4F"/>
    <w:rsid w:val="698A35C5"/>
    <w:rsid w:val="6A356EA0"/>
    <w:rsid w:val="6B182A49"/>
    <w:rsid w:val="6B8F25DF"/>
    <w:rsid w:val="6BA8544F"/>
    <w:rsid w:val="6C755C79"/>
    <w:rsid w:val="6D5D5560"/>
    <w:rsid w:val="6D683B68"/>
    <w:rsid w:val="6D6C0E2A"/>
    <w:rsid w:val="6D7E46BA"/>
    <w:rsid w:val="6D9F7933"/>
    <w:rsid w:val="6DA560EA"/>
    <w:rsid w:val="6DBE3230"/>
    <w:rsid w:val="6FDB0FB3"/>
    <w:rsid w:val="70394450"/>
    <w:rsid w:val="72442376"/>
    <w:rsid w:val="739E5AB6"/>
    <w:rsid w:val="752E4C17"/>
    <w:rsid w:val="754B7577"/>
    <w:rsid w:val="757F1917"/>
    <w:rsid w:val="762450A2"/>
    <w:rsid w:val="76764AC8"/>
    <w:rsid w:val="770B16B4"/>
    <w:rsid w:val="77244524"/>
    <w:rsid w:val="7845349C"/>
    <w:rsid w:val="7A1E63BC"/>
    <w:rsid w:val="7BB254C1"/>
    <w:rsid w:val="7BD27A5D"/>
    <w:rsid w:val="7C9F63FA"/>
    <w:rsid w:val="7CEC56BC"/>
    <w:rsid w:val="7D20753B"/>
    <w:rsid w:val="7D8F646F"/>
    <w:rsid w:val="7DD21170"/>
    <w:rsid w:val="7E0172C3"/>
    <w:rsid w:val="7F6B34AF"/>
    <w:rsid w:val="7F8F6BFA"/>
    <w:rsid w:val="7F9E3089"/>
    <w:rsid w:val="7FBE6C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1"/>
    <w:pPr>
      <w:spacing w:after="120"/>
    </w:pPr>
    <w:rPr>
      <w:kern w:val="0"/>
      <w:sz w:val="20"/>
      <w:szCs w:val="24"/>
    </w:rPr>
  </w:style>
  <w:style w:type="paragraph" w:styleId="4">
    <w:name w:val="toc 2"/>
    <w:basedOn w:val="1"/>
    <w:next w:val="1"/>
    <w:qFormat/>
    <w:uiPriority w:val="39"/>
    <w:pPr>
      <w:ind w:left="210"/>
      <w:jc w:val="left"/>
    </w:pPr>
    <w:rPr>
      <w:rFonts w:ascii="Times New Roman" w:hAnsi="Times New Roman"/>
      <w:smallCaps/>
      <w:szCs w:val="20"/>
    </w:rPr>
  </w:style>
  <w:style w:type="paragraph" w:styleId="5">
    <w:name w:val="Plain Text"/>
    <w:basedOn w:val="1"/>
    <w:next w:val="1"/>
    <w:qFormat/>
    <w:uiPriority w:val="0"/>
    <w:rPr>
      <w:rFonts w:ascii="宋体" w:hAnsi="Courier New"/>
      <w:kern w:val="0"/>
      <w:sz w:val="20"/>
      <w:szCs w:val="24"/>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styleId="9">
    <w:name w:val="Strong"/>
    <w:qFormat/>
    <w:uiPriority w:val="0"/>
    <w:rPr>
      <w:b/>
    </w:rPr>
  </w:style>
  <w:style w:type="paragraph" w:customStyle="1" w:styleId="1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2515</Words>
  <Characters>2757</Characters>
  <Lines>0</Lines>
  <Paragraphs>0</Paragraphs>
  <TotalTime>23</TotalTime>
  <ScaleCrop>false</ScaleCrop>
  <LinksUpToDate>false</LinksUpToDate>
  <CharactersWithSpaces>2792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2025-08-26T07:10:00Z</dcterms:created>
  <dc:creator>Administrator</dc:creator>
  <cp:lastModifiedBy>。</cp:lastModifiedBy>
  <cp:lastPrinted>2025-12-08T07:24:00Z</cp:lastPrinted>
  <dcterms:modified xsi:type="dcterms:W3CDTF">2026-05-13T07:25:39Z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eyJoZGlkIjoiNDRmMDcwYmI1YjAxZGY5MTAxODg4MGY5MWNkYzlkNTkiLCJ1c2VySWQiOiIxODA4MDUwMDI0In0=</vt:lpwstr>
  </property>
  <property fmtid="{D5CDD505-2E9C-101B-9397-08002B2CF9AE}" pid="4" name="ICV">
    <vt:lpwstr>840FA051044F4225A0E41072C11923B8_12</vt:lpwstr>
  </property>
</Properties>
</file>