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3CACA0">
      <w:pPr>
        <w:pStyle w:val="2"/>
        <w:pageBreakBefore w:val="0"/>
        <w:kinsoku w:val="0"/>
        <w:wordWrap/>
        <w:overflowPunct/>
        <w:topLinePunct w:val="0"/>
        <w:autoSpaceDE w:val="0"/>
        <w:autoSpaceDN w:val="0"/>
        <w:bidi w:val="0"/>
        <w:adjustRightInd w:val="0"/>
        <w:snapToGrid w:val="0"/>
        <w:spacing w:before="0" w:after="0" w:line="360" w:lineRule="auto"/>
        <w:ind w:left="0" w:right="0" w:firstLine="883" w:firstLineChars="200"/>
        <w:jc w:val="center"/>
        <w:textAlignment w:val="baseline"/>
        <w:outlineLvl w:val="0"/>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采购需求</w:t>
      </w:r>
    </w:p>
    <w:p w14:paraId="5650F99C">
      <w:pPr>
        <w:pStyle w:val="4"/>
        <w:pageBreakBefore w:val="0"/>
        <w:kinsoku w:val="0"/>
        <w:wordWrap/>
        <w:overflowPunct/>
        <w:topLinePunct w:val="0"/>
        <w:autoSpaceDE w:val="0"/>
        <w:autoSpaceDN w:val="0"/>
        <w:bidi w:val="0"/>
        <w:adjustRightInd w:val="0"/>
        <w:snapToGrid w:val="0"/>
        <w:spacing w:before="0" w:after="0" w:line="360" w:lineRule="auto"/>
        <w:ind w:left="0" w:right="0" w:firstLine="560" w:firstLineChars="200"/>
        <w:textAlignment w:val="baseline"/>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（一）本招标文件提出的是最低限度的要求，响应供应商的方案应达到或优于本招标文件要求，且符合国家有关标准和规范要求。</w:t>
      </w:r>
    </w:p>
    <w:p w14:paraId="28E6D71A">
      <w:pPr>
        <w:pStyle w:val="4"/>
        <w:keepNext w:val="0"/>
        <w:keepLines w:val="0"/>
        <w:pageBreakBefore w:val="0"/>
        <w:kinsoku w:val="0"/>
        <w:wordWrap/>
        <w:overflowPunct/>
        <w:topLinePunct w:val="0"/>
        <w:autoSpaceDE w:val="0"/>
        <w:autoSpaceDN w:val="0"/>
        <w:bidi w:val="0"/>
        <w:adjustRightInd w:val="0"/>
        <w:snapToGrid w:val="0"/>
        <w:spacing w:before="0" w:after="0" w:line="360" w:lineRule="auto"/>
        <w:ind w:left="0" w:right="0" w:firstLine="560" w:firstLineChars="200"/>
        <w:textAlignment w:val="baseline"/>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（二）主要服务内容：</w:t>
      </w:r>
    </w:p>
    <w:p w14:paraId="11EBD127">
      <w:pPr>
        <w:pStyle w:val="3"/>
        <w:keepNext w:val="0"/>
        <w:keepLines w:val="0"/>
        <w:pageBreakBefore w:val="0"/>
        <w:wordWrap/>
        <w:overflowPunct/>
        <w:topLinePunct w:val="0"/>
        <w:bidi w:val="0"/>
        <w:spacing w:before="0" w:after="0" w:line="360" w:lineRule="auto"/>
        <w:ind w:firstLine="560" w:firstLineChars="200"/>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1.服务范围：</w:t>
      </w:r>
      <w:r>
        <w:rPr>
          <w:rFonts w:hint="eastAsia" w:ascii="宋体" w:hAnsi="宋体" w:cs="宋体"/>
          <w:snapToGrid w:val="0"/>
          <w:color w:val="auto"/>
          <w:sz w:val="28"/>
          <w:szCs w:val="28"/>
          <w:highlight w:val="none"/>
          <w:lang w:val="en-US" w:eastAsia="zh-CN" w:bidi="ar-SA"/>
        </w:rPr>
        <w:t>本次服务为</w:t>
      </w:r>
      <w:r>
        <w:rPr>
          <w:rFonts w:hint="eastAsia" w:ascii="宋体" w:hAnsi="宋体" w:eastAsia="宋体" w:cs="宋体"/>
          <w:snapToGrid w:val="0"/>
          <w:color w:val="auto"/>
          <w:sz w:val="28"/>
          <w:szCs w:val="28"/>
          <w:highlight w:val="none"/>
          <w:lang w:val="en-US" w:eastAsia="zh-CN" w:bidi="ar-SA"/>
        </w:rPr>
        <w:t>章贡区内全部</w:t>
      </w:r>
      <w:bookmarkStart w:id="0" w:name="_GoBack"/>
      <w:bookmarkEnd w:id="0"/>
      <w:r>
        <w:rPr>
          <w:rFonts w:hint="eastAsia" w:ascii="宋体" w:hAnsi="宋体" w:eastAsia="宋体" w:cs="宋体"/>
          <w:snapToGrid w:val="0"/>
          <w:color w:val="auto"/>
          <w:sz w:val="28"/>
          <w:szCs w:val="28"/>
          <w:highlight w:val="none"/>
          <w:lang w:val="en-US" w:eastAsia="zh-CN" w:bidi="ar-SA"/>
        </w:rPr>
        <w:t>市政夜景亮化设施（含庭院灯）的一年管养服务，管养范围包括区内楼宇建筑、各类桥梁、和谐钟塔、长征广场、城市中央公园</w:t>
      </w:r>
      <w:r>
        <w:rPr>
          <w:rFonts w:hint="eastAsia" w:ascii="宋体" w:hAnsi="宋体" w:cs="宋体"/>
          <w:snapToGrid w:val="0"/>
          <w:color w:val="auto"/>
          <w:sz w:val="28"/>
          <w:szCs w:val="28"/>
          <w:highlight w:val="none"/>
          <w:lang w:val="en-US" w:eastAsia="zh-CN" w:bidi="ar-SA"/>
        </w:rPr>
        <w:t>、</w:t>
      </w:r>
      <w:r>
        <w:rPr>
          <w:rFonts w:hint="eastAsia" w:ascii="宋体" w:hAnsi="宋体" w:eastAsia="宋体" w:cs="宋体"/>
          <w:snapToGrid w:val="0"/>
          <w:color w:val="auto"/>
          <w:sz w:val="28"/>
          <w:szCs w:val="28"/>
          <w:highlight w:val="none"/>
          <w:lang w:val="en-US" w:eastAsia="zh-CN" w:bidi="ar-SA"/>
        </w:rPr>
        <w:t>好人主题公园等</w:t>
      </w:r>
      <w:r>
        <w:rPr>
          <w:rFonts w:hint="eastAsia" w:ascii="宋体" w:hAnsi="宋体" w:cs="宋体"/>
          <w:snapToGrid w:val="0"/>
          <w:color w:val="auto"/>
          <w:sz w:val="28"/>
          <w:szCs w:val="28"/>
          <w:highlight w:val="none"/>
          <w:lang w:val="en-US" w:eastAsia="zh-CN" w:bidi="ar-SA"/>
        </w:rPr>
        <w:t>场所</w:t>
      </w:r>
      <w:r>
        <w:rPr>
          <w:rFonts w:hint="eastAsia" w:ascii="宋体" w:hAnsi="宋体" w:eastAsia="宋体" w:cs="宋体"/>
          <w:snapToGrid w:val="0"/>
          <w:color w:val="auto"/>
          <w:sz w:val="28"/>
          <w:szCs w:val="28"/>
          <w:highlight w:val="none"/>
          <w:lang w:val="en-US" w:eastAsia="zh-CN" w:bidi="ar-SA"/>
        </w:rPr>
        <w:t>的夜景亮化设施，以及章江两岸章贡区段沿岸的庭院灯</w:t>
      </w:r>
      <w:r>
        <w:rPr>
          <w:rFonts w:hint="eastAsia" w:ascii="宋体" w:hAnsi="宋体" w:cs="宋体"/>
          <w:snapToGrid w:val="0"/>
          <w:color w:val="auto"/>
          <w:sz w:val="28"/>
          <w:szCs w:val="28"/>
          <w:highlight w:val="none"/>
          <w:lang w:val="en-US" w:eastAsia="zh-CN" w:bidi="ar-SA"/>
        </w:rPr>
        <w:t>、</w:t>
      </w:r>
      <w:r>
        <w:rPr>
          <w:rFonts w:hint="eastAsia" w:ascii="宋体" w:hAnsi="宋体" w:eastAsia="宋体" w:cs="宋体"/>
          <w:snapToGrid w:val="0"/>
          <w:color w:val="auto"/>
          <w:sz w:val="28"/>
          <w:szCs w:val="28"/>
          <w:highlight w:val="none"/>
          <w:lang w:val="en-US" w:eastAsia="zh-CN" w:bidi="ar-SA"/>
        </w:rPr>
        <w:t>草坪灯等亮化设施</w:t>
      </w:r>
      <w:r>
        <w:rPr>
          <w:rFonts w:hint="eastAsia" w:ascii="宋体" w:hAnsi="宋体" w:cs="宋体"/>
          <w:snapToGrid w:val="0"/>
          <w:color w:val="auto"/>
          <w:sz w:val="28"/>
          <w:szCs w:val="28"/>
          <w:highlight w:val="none"/>
          <w:lang w:val="en-US" w:eastAsia="zh-CN" w:bidi="ar-SA"/>
        </w:rPr>
        <w:t>（详见下表）</w:t>
      </w:r>
      <w:r>
        <w:rPr>
          <w:rFonts w:hint="eastAsia" w:ascii="宋体" w:hAnsi="宋体" w:eastAsia="宋体" w:cs="宋体"/>
          <w:snapToGrid w:val="0"/>
          <w:color w:val="auto"/>
          <w:sz w:val="28"/>
          <w:szCs w:val="28"/>
          <w:highlight w:val="none"/>
          <w:lang w:val="en-US" w:eastAsia="zh-CN" w:bidi="ar-SA"/>
        </w:rPr>
        <w:t>。</w:t>
      </w:r>
    </w:p>
    <w:p w14:paraId="7FB238A5">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center"/>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服务范围清单表</w:t>
      </w:r>
    </w:p>
    <w:tbl>
      <w:tblPr>
        <w:tblStyle w:val="5"/>
        <w:tblW w:w="956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2"/>
        <w:gridCol w:w="6850"/>
        <w:gridCol w:w="1888"/>
      </w:tblGrid>
      <w:tr w14:paraId="5ECE3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8" w:hRule="atLeast"/>
        </w:trPr>
        <w:tc>
          <w:tcPr>
            <w:tcW w:w="9560" w:type="dxa"/>
            <w:gridSpan w:val="3"/>
            <w:tcBorders>
              <w:top w:val="nil"/>
              <w:left w:val="nil"/>
              <w:bottom w:val="nil"/>
              <w:right w:val="nil"/>
            </w:tcBorders>
            <w:shd w:val="clear" w:color="auto" w:fill="auto"/>
            <w:vAlign w:val="center"/>
          </w:tcPr>
          <w:p w14:paraId="6BFAA8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中心城区基础照明工程</w:t>
            </w:r>
          </w:p>
        </w:tc>
      </w:tr>
      <w:tr w14:paraId="18025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EB50E">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6C422">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亮化楼宇</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20139">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栋数/米数</w:t>
            </w:r>
          </w:p>
        </w:tc>
      </w:tr>
      <w:tr w14:paraId="79E9A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4A3C7E04">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shd w:val="clear" w:color="auto" w:fill="auto"/>
              </w:rPr>
            </w:pPr>
            <w: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t>一</w:t>
            </w:r>
          </w:p>
        </w:tc>
        <w:tc>
          <w:tcPr>
            <w:tcW w:w="6850"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1ADFA8D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shd w:val="clear" w:color="auto" w:fill="auto"/>
              </w:rPr>
            </w:pPr>
            <w: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t>桥梁亮化</w:t>
            </w:r>
          </w:p>
        </w:tc>
        <w:tc>
          <w:tcPr>
            <w:tcW w:w="1888"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27B58A6D">
            <w:pPr>
              <w:jc w:val="center"/>
              <w:rPr>
                <w:rFonts w:hint="eastAsia" w:ascii="宋体" w:hAnsi="宋体" w:eastAsia="宋体" w:cs="宋体"/>
                <w:i w:val="0"/>
                <w:iCs w:val="0"/>
                <w:color w:val="auto"/>
                <w:sz w:val="24"/>
                <w:szCs w:val="24"/>
                <w:highlight w:val="none"/>
                <w:u w:val="none"/>
                <w:shd w:val="clear" w:color="auto" w:fill="auto"/>
              </w:rPr>
            </w:pPr>
          </w:p>
        </w:tc>
      </w:tr>
      <w:tr w14:paraId="56AFF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E485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602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武陵大桥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450F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05D2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92D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C23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新世纪大桥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062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029E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666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8C54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沙石大桥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2A72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28D5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D8E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9E5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武龙大桥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D08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2F9B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6B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0F3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全球通大桥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EE1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A3A3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7BA9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31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飞龙大桥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BDF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F775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0277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54E2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西河大桥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AFB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5AB8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B436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5222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赣州大桥亮化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2EF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2024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E2F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A0F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章江大桥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D41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CCF0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5BAE9">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小计</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DD5F2">
            <w:pPr>
              <w:jc w:val="center"/>
              <w:rPr>
                <w:rFonts w:hint="eastAsia" w:ascii="宋体" w:hAnsi="宋体" w:eastAsia="宋体" w:cs="宋体"/>
                <w:b/>
                <w:bCs/>
                <w:i w:val="0"/>
                <w:iCs w:val="0"/>
                <w:color w:val="auto"/>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4B1B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9</w:t>
            </w:r>
          </w:p>
        </w:tc>
      </w:tr>
      <w:tr w14:paraId="6407B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78F7C45C">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pPr>
            <w: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t>二</w:t>
            </w:r>
          </w:p>
        </w:tc>
        <w:tc>
          <w:tcPr>
            <w:tcW w:w="6850"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78E96B5D">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pPr>
            <w: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t>塔、公园和广场</w:t>
            </w:r>
          </w:p>
        </w:tc>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007E42B2">
            <w:pPr>
              <w:keepNext w:val="0"/>
              <w:keepLines w:val="0"/>
              <w:widowControl/>
              <w:suppressLineNumbers w:val="0"/>
              <w:jc w:val="center"/>
              <w:textAlignment w:val="center"/>
              <w:rPr>
                <w:rFonts w:hint="eastAsia" w:ascii="宋体" w:hAnsi="宋体" w:eastAsia="宋体" w:cs="宋体"/>
                <w:b/>
                <w:bCs/>
                <w:i w:val="0"/>
                <w:iCs w:val="0"/>
                <w:snapToGrid w:val="0"/>
                <w:color w:val="auto"/>
                <w:kern w:val="0"/>
                <w:sz w:val="24"/>
                <w:szCs w:val="24"/>
                <w:highlight w:val="none"/>
                <w:u w:val="none"/>
                <w:shd w:val="clear" w:color="auto" w:fill="auto"/>
                <w:lang w:val="en-US" w:eastAsia="zh-CN" w:bidi="ar"/>
              </w:rPr>
            </w:pPr>
          </w:p>
        </w:tc>
      </w:tr>
      <w:tr w14:paraId="7D811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0509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CB8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和谐钟塔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D5F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0D6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51E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DB7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中央公园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7CFB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6122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69B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C1A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红军广场（现长征广场）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0B6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33F9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642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16F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左岸岸线（杨梅渡公园A区-飞龙岛大桥）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EDF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1200米</w:t>
            </w:r>
          </w:p>
        </w:tc>
      </w:tr>
      <w:tr w14:paraId="2233F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AC5B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AC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左岸岸线（好人公园）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35F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300米</w:t>
            </w:r>
          </w:p>
        </w:tc>
      </w:tr>
      <w:tr w14:paraId="2BBF8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1F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26B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左岸岸线（好人主题公园）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3108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500米</w:t>
            </w:r>
          </w:p>
        </w:tc>
      </w:tr>
      <w:tr w14:paraId="0E326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44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3A47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右岸岸线（杨梅渡大桥-蓝波湾门前）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D55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2500米</w:t>
            </w:r>
          </w:p>
        </w:tc>
      </w:tr>
      <w:tr w14:paraId="1125D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C430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C47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章江右岸（交汇口平台至武龙大桥）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AFD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1400米</w:t>
            </w:r>
          </w:p>
        </w:tc>
      </w:tr>
      <w:tr w14:paraId="01970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386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FF1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章江北岸线（交汇口平台至章江大桥）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99B9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1100米</w:t>
            </w:r>
          </w:p>
        </w:tc>
      </w:tr>
      <w:tr w14:paraId="6FDD8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8466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6B1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理工大学前公园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9049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800米</w:t>
            </w:r>
          </w:p>
        </w:tc>
      </w:tr>
      <w:tr w14:paraId="0D095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FCA9E">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小计</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A962C">
            <w:pPr>
              <w:jc w:val="center"/>
              <w:rPr>
                <w:rFonts w:hint="eastAsia" w:ascii="宋体" w:hAnsi="宋体" w:eastAsia="宋体" w:cs="宋体"/>
                <w:b/>
                <w:bCs/>
                <w:i w:val="0"/>
                <w:iCs w:val="0"/>
                <w:color w:val="auto"/>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0063C">
            <w:pPr>
              <w:jc w:val="center"/>
              <w:rPr>
                <w:rFonts w:hint="eastAsia" w:ascii="宋体" w:hAnsi="宋体" w:eastAsia="宋体" w:cs="宋体"/>
                <w:b/>
                <w:bCs/>
                <w:i w:val="0"/>
                <w:iCs w:val="0"/>
                <w:color w:val="auto"/>
                <w:sz w:val="24"/>
                <w:szCs w:val="24"/>
                <w:highlight w:val="none"/>
                <w:u w:val="none"/>
              </w:rPr>
            </w:pPr>
          </w:p>
        </w:tc>
      </w:tr>
      <w:tr w14:paraId="078FF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1CCDAAEF">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三</w:t>
            </w:r>
          </w:p>
        </w:tc>
        <w:tc>
          <w:tcPr>
            <w:tcW w:w="6850"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12192042">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章江左岸</w:t>
            </w:r>
          </w:p>
        </w:tc>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491087B2">
            <w:pPr>
              <w:jc w:val="center"/>
              <w:rPr>
                <w:rFonts w:hint="eastAsia" w:ascii="宋体" w:hAnsi="宋体" w:eastAsia="宋体" w:cs="宋体"/>
                <w:i w:val="0"/>
                <w:iCs w:val="0"/>
                <w:color w:val="auto"/>
                <w:sz w:val="24"/>
                <w:szCs w:val="24"/>
                <w:highlight w:val="none"/>
                <w:u w:val="none"/>
              </w:rPr>
            </w:pPr>
          </w:p>
        </w:tc>
      </w:tr>
      <w:tr w14:paraId="561A0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D8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C2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理工大学（现赣南科技学院）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9401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54B04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4CF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7A7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博德名苑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56B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D029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A0EC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A1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金域蓝湾A区B区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F21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696C6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00ED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3BB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人和人力（现人力资源中心）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B48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0AD7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793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CE1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天际华庭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471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02466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E1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A506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森林公馆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BFB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77A1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5FD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E98F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中航城公寓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E178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ECB6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3F01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62A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格兰云天酒店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AFE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E867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E7F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A1B4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中航城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F299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r>
      <w:tr w14:paraId="2959B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ABE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976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科技馆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B3F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154F6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B72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8A8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财富港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BC7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07CB5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075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6D7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宝申花苑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5C1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440B4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2B9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5C33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银庭花园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C84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7B5DD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C9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E3A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豪德银座A.B座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276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029A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F79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D7E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豪力中岛明珠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200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E600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E9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791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豪德水岸新天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1B9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r>
      <w:tr w14:paraId="7A554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23B5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CFD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华源丽景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3154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3E55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8AB4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1171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赣州天翼华庭（云计算）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F0A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6D3F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6F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23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外滩一号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624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4FFB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295F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81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赣州农商银行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E7E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0B5C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A8F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D597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章江豪园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4E5A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374E3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BBD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85E7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路福江韵华府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B42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6F241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158F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D1A4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丽江豪庭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3FD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180D1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3972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0A9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瑞电苑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9D8C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2DCF2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393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F5C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龙湾上河城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353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29EA1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59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47F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返迁房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2BC6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74779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F7F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EF1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丽水华庭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66F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50A5F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8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78A39">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小计</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55899">
            <w:pPr>
              <w:jc w:val="center"/>
              <w:rPr>
                <w:rFonts w:hint="eastAsia" w:ascii="宋体" w:hAnsi="宋体" w:eastAsia="宋体" w:cs="宋体"/>
                <w:b/>
                <w:bCs/>
                <w:i w:val="0"/>
                <w:iCs w:val="0"/>
                <w:color w:val="auto"/>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34E7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89</w:t>
            </w:r>
          </w:p>
        </w:tc>
      </w:tr>
      <w:tr w14:paraId="58D51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7CEBC1E9">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四</w:t>
            </w:r>
          </w:p>
        </w:tc>
        <w:tc>
          <w:tcPr>
            <w:tcW w:w="6850"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35E783EE">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章江右岸</w:t>
            </w:r>
          </w:p>
        </w:tc>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4CE9C232">
            <w:pPr>
              <w:jc w:val="center"/>
              <w:rPr>
                <w:rFonts w:hint="eastAsia" w:ascii="宋体" w:hAnsi="宋体" w:eastAsia="宋体" w:cs="宋体"/>
                <w:i w:val="0"/>
                <w:iCs w:val="0"/>
                <w:color w:val="auto"/>
                <w:sz w:val="24"/>
                <w:szCs w:val="24"/>
                <w:highlight w:val="none"/>
                <w:u w:val="none"/>
              </w:rPr>
            </w:pPr>
          </w:p>
        </w:tc>
      </w:tr>
      <w:tr w14:paraId="1B7F9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928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D56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赣州商贸城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C7D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5203E2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AFE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75A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御澜湾（江湾一号）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8917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0052D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06D5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608D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江湾一号2期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713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BC2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EB3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B72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轩雅居</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0E1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1F83F1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146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C23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铁路三区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399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r>
      <w:tr w14:paraId="354CF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4C0E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D22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滨江相府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F2E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5369F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A77F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E53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碧水蓝庭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32A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2C831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C03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3F1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沁园小区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D8D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F23F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D37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52D9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鹭江新城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4FDF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775DF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39F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BA1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东方红广场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032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ABA4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B18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0D02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瑞景苑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0F3B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1C6E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96BF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535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通利商住楼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4B46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8694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378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E5C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建设工程检测大楼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E801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97E8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2DD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21DE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百户超市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038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466A7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B25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F6B0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丽江花园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B76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0E523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BA7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1113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汇福名苑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ABFF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973E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BE0A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7B9C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赣州疾控中心防控中心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7BEF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3535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DFD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E8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赣州市人民第三医院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EA79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46D56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02E9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A3C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老年医院亮化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445B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F71E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AC1A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5DAC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瑞康苑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AFF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7F6D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24B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6350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瑞恒·蓝波湾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167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r>
      <w:tr w14:paraId="5CD3E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9D39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652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金泰大酒店（现全季酒店）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126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71E1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348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AA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滨江西苑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DB3D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41213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C155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3253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全球通大厦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864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ECFC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AF7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BB7E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联创城市花园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9DD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7E55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86B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7D46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金水小区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069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36E7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9AF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CAB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滨江紫荆花园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BF2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85D1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2C32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E6CA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景江德威园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F68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2B23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6FC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E5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金海岸花园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7049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5B257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60A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89B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锦路苑小区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B46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035F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6AF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0513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香江湾酒店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F2E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C0EA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60E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20DB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赣州市公安局交警支队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844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3F04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F48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732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联谊新村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91A5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9505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C5FF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D84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君家万福楼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DCA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D773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9282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727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C4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6460A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D929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36</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D4F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抚元堂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BDF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D0C5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8F33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840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汇钠新村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F61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1DDF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EE29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00A8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园林管理用房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1F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2A7B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7750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C13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迎宾花园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32D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13408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75A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74E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万德世纪园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489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5805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003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D69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江湾花苑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1B7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27413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045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C759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滨江东苑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DB12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1981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F2A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7921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稼轩路农贸市场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1AB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1D62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4D71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709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银盛花园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30A7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93D0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845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B781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金龙花园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3551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CB69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889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BB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江压厂宿舍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3821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60D79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9A9C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E47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怡景嘉园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50B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42C1C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213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02D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章江花园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5966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r>
      <w:tr w14:paraId="487E4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969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FEC0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滨江豪园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0967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AC16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2283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552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龙江苑小区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A331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D903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BB7F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6B0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滨江大酒店（现桔子酒店）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24E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CCA8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F4F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3A8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景祥花园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C45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58F5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059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B83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蓝天苑小区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3BF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B238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7633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54</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EFD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市公路管理局直属分局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3EC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72F2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E17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041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江洲花园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81E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164D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028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4DD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永康华庭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C1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2231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E8B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903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正银花苑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7377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C8E9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C70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187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阳光花园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14D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6805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D99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975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国土资源局小区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F8A5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6FEA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5F1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62D9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赣州中级人民法院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367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3FDB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FD15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E266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中级人民法院副楼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3BB1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BABB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795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0CF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法律援助法院工作站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606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0418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AC4C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F2E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瑞丽佳园（原飞龙苑）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DA0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FFEF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7B2A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BC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帝景豪园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28A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D136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8070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ECC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国土局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4A9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2A14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493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97D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农业局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3C89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E24F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B8A5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602E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江西南芳律师事务所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548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6160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A76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56D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金湾花苑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D69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140D7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ED8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4E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锦绣家园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360D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9692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F5ED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8F3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蔚蓝半岛G2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5A1F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085F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16F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A85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蔚蓝半岛（南北区）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8CD3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7C37A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0D11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5C6F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绍兴饭店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0D4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918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556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F1F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越秀百货（现国际时代）</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F2D6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7027D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6356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42F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赣州春江花月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1A8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r>
      <w:tr w14:paraId="0544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377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8BA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滨江苑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4515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099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D709F">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小计</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A49BD">
            <w:pPr>
              <w:jc w:val="center"/>
              <w:rPr>
                <w:rFonts w:hint="eastAsia" w:ascii="宋体" w:hAnsi="宋体" w:eastAsia="宋体" w:cs="宋体"/>
                <w:b/>
                <w:bCs/>
                <w:i w:val="0"/>
                <w:iCs w:val="0"/>
                <w:color w:val="auto"/>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1BD7E">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156</w:t>
            </w:r>
          </w:p>
        </w:tc>
      </w:tr>
      <w:tr w14:paraId="1C562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080D4B3A">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五</w:t>
            </w:r>
          </w:p>
        </w:tc>
        <w:tc>
          <w:tcPr>
            <w:tcW w:w="6850" w:type="dxa"/>
            <w:tcBorders>
              <w:top w:val="single" w:color="000000" w:sz="4" w:space="0"/>
              <w:left w:val="single" w:color="000000" w:sz="4" w:space="0"/>
              <w:bottom w:val="single" w:color="000000" w:sz="4" w:space="0"/>
              <w:right w:val="single" w:color="000000" w:sz="4" w:space="0"/>
            </w:tcBorders>
            <w:shd w:val="clear" w:color="auto" w:fill="D7D7D7" w:themeFill="background1" w:themeFillShade="D8"/>
            <w:vAlign w:val="center"/>
          </w:tcPr>
          <w:p w14:paraId="3902005A">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兴国路及中央公园周边建筑</w:t>
            </w:r>
          </w:p>
        </w:tc>
        <w:tc>
          <w:tcPr>
            <w:tcW w:w="0" w:type="auto"/>
            <w:tcBorders>
              <w:top w:val="single" w:color="000000" w:sz="4" w:space="0"/>
              <w:left w:val="single" w:color="000000" w:sz="4" w:space="0"/>
              <w:bottom w:val="single" w:color="000000" w:sz="4" w:space="0"/>
              <w:right w:val="single" w:color="000000" w:sz="4" w:space="0"/>
            </w:tcBorders>
            <w:shd w:val="clear" w:color="auto" w:fill="D7D7D7" w:themeFill="background1" w:themeFillShade="D8"/>
            <w:noWrap/>
            <w:vAlign w:val="center"/>
          </w:tcPr>
          <w:p w14:paraId="059854FA">
            <w:pPr>
              <w:jc w:val="center"/>
              <w:rPr>
                <w:rFonts w:hint="eastAsia" w:ascii="宋体" w:hAnsi="宋体" w:eastAsia="宋体" w:cs="宋体"/>
                <w:i w:val="0"/>
                <w:iCs w:val="0"/>
                <w:color w:val="auto"/>
                <w:sz w:val="24"/>
                <w:szCs w:val="24"/>
                <w:highlight w:val="none"/>
                <w:u w:val="none"/>
              </w:rPr>
            </w:pPr>
          </w:p>
        </w:tc>
      </w:tr>
      <w:tr w14:paraId="42EDD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DC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328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自然博物馆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96C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F9E7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6B2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4D6E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中央城亮化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124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23C40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A715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3BB1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馨安家园（现泰安家园）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F02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56F85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9E0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035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中央城一期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1D9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E343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C78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588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中祥公园首府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596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7ECD6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95F9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8D5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赣州创业家园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85F4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7C528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543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AD2C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赣州发展投资控股有限公司（总部经济大楼西座）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00F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3BBE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1"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E8C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C3A5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赣州总部经济区大楼</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东座及裙楼（含海天大酒店）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8B8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44C9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377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4F1F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城市家园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348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67AA8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62A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58DE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人力资源中心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2F53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8635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9A2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A8C0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卫生计生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0318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B770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DF5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5F8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城央一品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B3D1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1474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1A72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5E5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赣州城央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51F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r>
      <w:tr w14:paraId="78240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A23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6FC2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武装部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613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D7CA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FB4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CE5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中国人寿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2D7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705E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A9E6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11CF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文苑家园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18A1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r>
      <w:tr w14:paraId="68DD1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40FB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FA9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江南明珠</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41C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0AC8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4E41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18</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032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赣州历史博物馆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84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7850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0C4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1F0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有色地金鹏（现金鹏大厦）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872C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3E19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74B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51A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怡和园（现金鹏怡和园）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5FB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1B292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B4F6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CB7E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中庭广场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07D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3A11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EE3B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22</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7172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盛世江南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A0D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E1A0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B99F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AF6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万盛购物中心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367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648F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3581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BEC2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起点壹中心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91C1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280AC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93E6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25</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7A4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华润幸福里A区（现幸福里一期）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B10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229ED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B993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129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华润幸福里C1区（现幸福里三期）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575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46B2C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956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EDE7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赣州万象城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6530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007BE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4DA8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5BAA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华润大厦B，BC之间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88CB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E2B8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77F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29</w:t>
            </w:r>
          </w:p>
        </w:tc>
        <w:tc>
          <w:tcPr>
            <w:tcW w:w="68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0BD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鹏欣水游城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8313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r>
      <w:tr w14:paraId="25C96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7"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CB07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C0F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保利中航公元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E391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5F95B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96E54">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5FC90">
            <w:pPr>
              <w:jc w:val="center"/>
              <w:rPr>
                <w:rFonts w:hint="eastAsia" w:ascii="宋体" w:hAnsi="宋体" w:eastAsia="宋体" w:cs="宋体"/>
                <w:b/>
                <w:bCs/>
                <w:i w:val="0"/>
                <w:iCs w:val="0"/>
                <w:color w:val="auto"/>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53A92">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61</w:t>
            </w:r>
          </w:p>
        </w:tc>
      </w:tr>
    </w:tbl>
    <w:p w14:paraId="36BA3327">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480" w:firstLineChars="200"/>
        <w:jc w:val="left"/>
        <w:textAlignment w:val="auto"/>
        <w:rPr>
          <w:rFonts w:hint="eastAsia" w:ascii="宋体" w:hAnsi="宋体" w:eastAsia="宋体" w:cs="宋体"/>
          <w:snapToGrid w:val="0"/>
          <w:color w:val="auto"/>
          <w:sz w:val="24"/>
          <w:szCs w:val="21"/>
          <w:highlight w:val="none"/>
          <w:lang w:val="en-US" w:eastAsia="zh-CN" w:bidi="ar-SA"/>
        </w:rPr>
      </w:pPr>
    </w:p>
    <w:tbl>
      <w:tblPr>
        <w:tblStyle w:val="5"/>
        <w:tblW w:w="96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10"/>
        <w:gridCol w:w="6867"/>
        <w:gridCol w:w="1963"/>
      </w:tblGrid>
      <w:tr w14:paraId="0ED0F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9" w:hRule="atLeast"/>
        </w:trPr>
        <w:tc>
          <w:tcPr>
            <w:tcW w:w="9640" w:type="dxa"/>
            <w:gridSpan w:val="3"/>
            <w:tcBorders>
              <w:top w:val="nil"/>
              <w:left w:val="nil"/>
              <w:bottom w:val="nil"/>
              <w:right w:val="nil"/>
            </w:tcBorders>
            <w:shd w:val="clear" w:color="auto" w:fill="auto"/>
            <w:noWrap/>
            <w:vAlign w:val="center"/>
          </w:tcPr>
          <w:p w14:paraId="309CCCC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8"/>
                <w:szCs w:val="28"/>
                <w:highlight w:val="none"/>
                <w:u w:val="none"/>
                <w:lang w:val="en-US" w:eastAsia="zh-CN" w:bidi="ar"/>
              </w:rPr>
              <w:t>四贤坊周边基础照明工程</w:t>
            </w:r>
          </w:p>
        </w:tc>
      </w:tr>
      <w:tr w14:paraId="6C598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810" w:type="dxa"/>
            <w:tcBorders>
              <w:top w:val="double" w:color="000000" w:sz="4" w:space="0"/>
              <w:left w:val="double" w:color="000000" w:sz="4" w:space="0"/>
              <w:bottom w:val="single" w:color="000000" w:sz="4" w:space="0"/>
              <w:right w:val="single" w:color="000000" w:sz="4" w:space="0"/>
            </w:tcBorders>
            <w:shd w:val="clear" w:color="auto" w:fill="auto"/>
            <w:vAlign w:val="center"/>
          </w:tcPr>
          <w:p w14:paraId="50D3C875">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6867" w:type="dxa"/>
            <w:tcBorders>
              <w:top w:val="double" w:color="000000" w:sz="4" w:space="0"/>
              <w:left w:val="single" w:color="000000" w:sz="4" w:space="0"/>
              <w:bottom w:val="single" w:color="000000" w:sz="4" w:space="0"/>
              <w:right w:val="single" w:color="000000" w:sz="4" w:space="0"/>
            </w:tcBorders>
            <w:shd w:val="clear" w:color="auto" w:fill="auto"/>
            <w:vAlign w:val="center"/>
          </w:tcPr>
          <w:p w14:paraId="1D9DD372">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亮化楼宇</w:t>
            </w:r>
          </w:p>
        </w:tc>
        <w:tc>
          <w:tcPr>
            <w:tcW w:w="1963" w:type="dxa"/>
            <w:tcBorders>
              <w:top w:val="double" w:color="000000" w:sz="4" w:space="0"/>
              <w:left w:val="single" w:color="000000" w:sz="4" w:space="0"/>
              <w:bottom w:val="single" w:color="000000" w:sz="4" w:space="0"/>
              <w:right w:val="single" w:color="000000" w:sz="4" w:space="0"/>
            </w:tcBorders>
            <w:shd w:val="clear" w:color="auto" w:fill="auto"/>
            <w:vAlign w:val="center"/>
          </w:tcPr>
          <w:p w14:paraId="20350400">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栋数</w:t>
            </w:r>
          </w:p>
        </w:tc>
      </w:tr>
      <w:tr w14:paraId="3F105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2CD9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A4D0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基督教会旁边1#、2#</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BF60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3A952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7945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1670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基督教会</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B97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6E98E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273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05C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西津路建国路交汇口右</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C4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6EB57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65AF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2C5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西津路建国路交汇口</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B9EB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7BA5E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8BCF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AD1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阳明路交汇口</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6251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1848A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1D9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220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章贡区图书馆组团</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C64D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5548C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50C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93DC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中医院</w:t>
            </w: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898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389F0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9"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4736C">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汇总</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00A19">
            <w:pPr>
              <w:jc w:val="center"/>
              <w:rPr>
                <w:rFonts w:hint="eastAsia" w:ascii="宋体" w:hAnsi="宋体" w:eastAsia="宋体" w:cs="宋体"/>
                <w:b/>
                <w:bCs/>
                <w:i w:val="0"/>
                <w:iCs w:val="0"/>
                <w:color w:val="auto"/>
                <w:sz w:val="24"/>
                <w:szCs w:val="24"/>
                <w:highlight w:val="none"/>
                <w:u w:val="none"/>
              </w:rPr>
            </w:pPr>
          </w:p>
        </w:tc>
        <w:tc>
          <w:tcPr>
            <w:tcW w:w="1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A804D">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14</w:t>
            </w:r>
          </w:p>
        </w:tc>
      </w:tr>
    </w:tbl>
    <w:p w14:paraId="59B708D7">
      <w:pPr>
        <w:rPr>
          <w:rFonts w:hint="eastAsia" w:ascii="宋体" w:hAnsi="宋体" w:eastAsia="宋体" w:cs="宋体"/>
          <w:snapToGrid w:val="0"/>
          <w:color w:val="auto"/>
          <w:sz w:val="24"/>
          <w:szCs w:val="21"/>
          <w:highlight w:val="none"/>
          <w:lang w:val="en-US" w:eastAsia="zh-CN" w:bidi="ar-SA"/>
        </w:rPr>
      </w:pPr>
    </w:p>
    <w:tbl>
      <w:tblPr>
        <w:tblStyle w:val="5"/>
        <w:tblW w:w="966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0"/>
        <w:gridCol w:w="6867"/>
        <w:gridCol w:w="1983"/>
      </w:tblGrid>
      <w:tr w14:paraId="0963C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8" w:hRule="atLeast"/>
        </w:trPr>
        <w:tc>
          <w:tcPr>
            <w:tcW w:w="9660" w:type="dxa"/>
            <w:gridSpan w:val="3"/>
            <w:tcBorders>
              <w:top w:val="nil"/>
              <w:left w:val="nil"/>
              <w:bottom w:val="nil"/>
              <w:right w:val="nil"/>
            </w:tcBorders>
            <w:shd w:val="clear" w:color="auto" w:fill="auto"/>
            <w:noWrap/>
            <w:vAlign w:val="center"/>
          </w:tcPr>
          <w:p w14:paraId="55ED008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8"/>
                <w:szCs w:val="28"/>
                <w:highlight w:val="none"/>
                <w:u w:val="none"/>
                <w:lang w:val="en-US" w:eastAsia="zh-CN" w:bidi="ar"/>
              </w:rPr>
              <w:t>福寿沟博物馆周边基础照明工程</w:t>
            </w:r>
          </w:p>
        </w:tc>
      </w:tr>
      <w:tr w14:paraId="5433D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trPr>
        <w:tc>
          <w:tcPr>
            <w:tcW w:w="810" w:type="dxa"/>
            <w:tcBorders>
              <w:top w:val="double" w:color="000000" w:sz="4" w:space="0"/>
              <w:left w:val="double" w:color="000000" w:sz="4" w:space="0"/>
              <w:bottom w:val="single" w:color="000000" w:sz="4" w:space="0"/>
              <w:right w:val="single" w:color="000000" w:sz="4" w:space="0"/>
            </w:tcBorders>
            <w:shd w:val="clear" w:color="auto" w:fill="auto"/>
            <w:vAlign w:val="center"/>
          </w:tcPr>
          <w:p w14:paraId="2BB6714F">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序号</w:t>
            </w:r>
          </w:p>
        </w:tc>
        <w:tc>
          <w:tcPr>
            <w:tcW w:w="6867" w:type="dxa"/>
            <w:tcBorders>
              <w:top w:val="double" w:color="000000" w:sz="4" w:space="0"/>
              <w:left w:val="single" w:color="000000" w:sz="4" w:space="0"/>
              <w:bottom w:val="single" w:color="000000" w:sz="4" w:space="0"/>
              <w:right w:val="single" w:color="000000" w:sz="4" w:space="0"/>
            </w:tcBorders>
            <w:shd w:val="clear" w:color="auto" w:fill="auto"/>
            <w:vAlign w:val="center"/>
          </w:tcPr>
          <w:p w14:paraId="02C2D43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亮化楼宇</w:t>
            </w:r>
          </w:p>
        </w:tc>
        <w:tc>
          <w:tcPr>
            <w:tcW w:w="1983" w:type="dxa"/>
            <w:tcBorders>
              <w:top w:val="double" w:color="000000" w:sz="4" w:space="0"/>
              <w:left w:val="single" w:color="000000" w:sz="4" w:space="0"/>
              <w:bottom w:val="single" w:color="000000" w:sz="4" w:space="0"/>
              <w:right w:val="single" w:color="000000" w:sz="4" w:space="0"/>
            </w:tcBorders>
            <w:shd w:val="clear" w:color="auto" w:fill="auto"/>
            <w:vAlign w:val="center"/>
          </w:tcPr>
          <w:p w14:paraId="747A67F7">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栋数</w:t>
            </w:r>
          </w:p>
        </w:tc>
      </w:tr>
      <w:tr w14:paraId="2AA18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41D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83A0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厚德路（1-5栋）</w:t>
            </w:r>
          </w:p>
        </w:tc>
        <w:tc>
          <w:tcPr>
            <w:tcW w:w="1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450B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3EE91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C625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E5C5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厚德路（6-7栋）</w:t>
            </w:r>
          </w:p>
        </w:tc>
        <w:tc>
          <w:tcPr>
            <w:tcW w:w="1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0F39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r>
      <w:tr w14:paraId="049E8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39E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0C7D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厚德路（8-12栋）</w:t>
            </w:r>
          </w:p>
        </w:tc>
        <w:tc>
          <w:tcPr>
            <w:tcW w:w="1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DF6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r>
      <w:tr w14:paraId="4B315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A6C1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CC7F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长征医院</w:t>
            </w:r>
          </w:p>
        </w:tc>
        <w:tc>
          <w:tcPr>
            <w:tcW w:w="1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E846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r>
      <w:tr w14:paraId="57031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4" w:hRule="atLeast"/>
        </w:trPr>
        <w:tc>
          <w:tcPr>
            <w:tcW w:w="8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596BD">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汇总</w:t>
            </w:r>
          </w:p>
        </w:tc>
        <w:tc>
          <w:tcPr>
            <w:tcW w:w="68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72721">
            <w:pPr>
              <w:jc w:val="center"/>
              <w:rPr>
                <w:rFonts w:hint="eastAsia" w:ascii="宋体" w:hAnsi="宋体" w:eastAsia="宋体" w:cs="宋体"/>
                <w:b/>
                <w:bCs/>
                <w:i w:val="0"/>
                <w:iCs w:val="0"/>
                <w:color w:val="auto"/>
                <w:sz w:val="24"/>
                <w:szCs w:val="24"/>
                <w:highlight w:val="none"/>
                <w:u w:val="none"/>
              </w:rPr>
            </w:pPr>
          </w:p>
        </w:tc>
        <w:tc>
          <w:tcPr>
            <w:tcW w:w="19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44BFC">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snapToGrid w:val="0"/>
                <w:color w:val="auto"/>
                <w:kern w:val="0"/>
                <w:sz w:val="24"/>
                <w:szCs w:val="24"/>
                <w:highlight w:val="none"/>
                <w:u w:val="none"/>
                <w:lang w:val="en-US" w:eastAsia="zh-CN" w:bidi="ar"/>
              </w:rPr>
              <w:t>13</w:t>
            </w:r>
          </w:p>
        </w:tc>
      </w:tr>
    </w:tbl>
    <w:p w14:paraId="243B04F7">
      <w:pPr>
        <w:rPr>
          <w:rFonts w:hint="eastAsia" w:ascii="宋体" w:hAnsi="宋体" w:eastAsia="宋体" w:cs="宋体"/>
          <w:snapToGrid w:val="0"/>
          <w:color w:val="auto"/>
          <w:sz w:val="24"/>
          <w:szCs w:val="21"/>
          <w:highlight w:val="none"/>
          <w:lang w:val="en-US" w:eastAsia="zh-CN" w:bidi="ar-SA"/>
        </w:rPr>
      </w:pPr>
    </w:p>
    <w:tbl>
      <w:tblPr>
        <w:tblStyle w:val="5"/>
        <w:tblW w:w="9856"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44"/>
        <w:gridCol w:w="3000"/>
        <w:gridCol w:w="2800"/>
        <w:gridCol w:w="3112"/>
      </w:tblGrid>
      <w:tr w14:paraId="2D6BC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8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D39D0">
            <w:pPr>
              <w:keepNext w:val="0"/>
              <w:keepLines w:val="0"/>
              <w:widowControl/>
              <w:suppressLineNumbers w:val="0"/>
              <w:jc w:val="center"/>
              <w:textAlignment w:val="center"/>
              <w:rPr>
                <w:rFonts w:hint="eastAsia" w:ascii="宋体" w:hAnsi="宋体" w:eastAsia="宋体" w:cs="宋体"/>
                <w:i w:val="0"/>
                <w:iCs w:val="0"/>
                <w:color w:val="auto"/>
                <w:sz w:val="36"/>
                <w:szCs w:val="36"/>
                <w:highlight w:val="none"/>
                <w:u w:val="none"/>
              </w:rPr>
            </w:pPr>
            <w:r>
              <w:rPr>
                <w:rFonts w:hint="eastAsia" w:ascii="宋体" w:hAnsi="宋体" w:eastAsia="宋体" w:cs="宋体"/>
                <w:i w:val="0"/>
                <w:iCs w:val="0"/>
                <w:snapToGrid w:val="0"/>
                <w:color w:val="auto"/>
                <w:kern w:val="0"/>
                <w:sz w:val="28"/>
                <w:szCs w:val="28"/>
                <w:highlight w:val="none"/>
                <w:u w:val="none"/>
                <w:lang w:val="en-US" w:eastAsia="zh-CN" w:bidi="ar"/>
              </w:rPr>
              <w:t>中心城区庭院灯、草坪灯等亮化设施统计表</w:t>
            </w:r>
          </w:p>
        </w:tc>
      </w:tr>
      <w:tr w14:paraId="40489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B6A3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cs="宋体"/>
                <w:i w:val="0"/>
                <w:iCs w:val="0"/>
                <w:snapToGrid w:val="0"/>
                <w:color w:val="auto"/>
                <w:kern w:val="0"/>
                <w:sz w:val="22"/>
                <w:szCs w:val="22"/>
                <w:highlight w:val="none"/>
                <w:u w:val="none"/>
                <w:lang w:val="en-US" w:eastAsia="zh-CN" w:bidi="ar"/>
              </w:rPr>
              <w:t>序</w:t>
            </w:r>
            <w:r>
              <w:rPr>
                <w:rFonts w:hint="eastAsia" w:ascii="宋体" w:hAnsi="宋体" w:eastAsia="宋体" w:cs="宋体"/>
                <w:i w:val="0"/>
                <w:iCs w:val="0"/>
                <w:snapToGrid w:val="0"/>
                <w:color w:val="auto"/>
                <w:kern w:val="0"/>
                <w:sz w:val="22"/>
                <w:szCs w:val="22"/>
                <w:highlight w:val="none"/>
                <w:u w:val="none"/>
                <w:lang w:val="en-US" w:eastAsia="zh-CN" w:bidi="ar"/>
              </w:rPr>
              <w:t>号</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73E3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位置</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407E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庭院灯</w:t>
            </w:r>
            <w:r>
              <w:rPr>
                <w:rFonts w:hint="eastAsia" w:ascii="宋体" w:hAnsi="宋体" w:cs="宋体"/>
                <w:i w:val="0"/>
                <w:iCs w:val="0"/>
                <w:snapToGrid w:val="0"/>
                <w:color w:val="auto"/>
                <w:kern w:val="0"/>
                <w:sz w:val="22"/>
                <w:szCs w:val="22"/>
                <w:highlight w:val="none"/>
                <w:u w:val="none"/>
                <w:lang w:val="en-US" w:eastAsia="zh-CN" w:bidi="ar"/>
              </w:rPr>
              <w:t>盏数</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143E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草坪灯</w:t>
            </w:r>
            <w:r>
              <w:rPr>
                <w:rFonts w:hint="eastAsia" w:ascii="宋体" w:hAnsi="宋体" w:cs="宋体"/>
                <w:i w:val="0"/>
                <w:iCs w:val="0"/>
                <w:snapToGrid w:val="0"/>
                <w:color w:val="auto"/>
                <w:kern w:val="0"/>
                <w:sz w:val="22"/>
                <w:szCs w:val="22"/>
                <w:highlight w:val="none"/>
                <w:u w:val="none"/>
                <w:lang w:val="en-US" w:eastAsia="zh-CN" w:bidi="ar"/>
              </w:rPr>
              <w:t>盏数</w:t>
            </w:r>
          </w:p>
        </w:tc>
      </w:tr>
      <w:tr w14:paraId="4778E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8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1CB38">
            <w:pPr>
              <w:keepNext w:val="0"/>
              <w:keepLines w:val="0"/>
              <w:widowControl/>
              <w:suppressLineNumbers w:val="0"/>
              <w:jc w:val="left"/>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snapToGrid w:val="0"/>
                <w:color w:val="auto"/>
                <w:kern w:val="0"/>
                <w:sz w:val="32"/>
                <w:szCs w:val="32"/>
                <w:highlight w:val="none"/>
                <w:u w:val="none"/>
                <w:lang w:val="en-US" w:eastAsia="zh-CN" w:bidi="ar"/>
              </w:rPr>
              <w:t>章江南岸</w:t>
            </w:r>
          </w:p>
        </w:tc>
      </w:tr>
      <w:tr w14:paraId="29DB0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7B86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478B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营前路路口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40AD8">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49</w:t>
            </w:r>
          </w:p>
        </w:tc>
        <w:tc>
          <w:tcPr>
            <w:tcW w:w="3112" w:type="dxa"/>
            <w:vMerge w:val="restart"/>
            <w:tcBorders>
              <w:top w:val="single" w:color="000000" w:sz="4" w:space="0"/>
              <w:left w:val="single" w:color="000000" w:sz="4" w:space="0"/>
              <w:right w:val="single" w:color="000000" w:sz="4" w:space="0"/>
            </w:tcBorders>
            <w:shd w:val="clear" w:color="auto" w:fill="auto"/>
            <w:noWrap/>
            <w:vAlign w:val="center"/>
          </w:tcPr>
          <w:p w14:paraId="6F6E7A1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新装草坪灯未编号</w:t>
            </w:r>
            <w:r>
              <w:rPr>
                <w:rFonts w:hint="eastAsia" w:ascii="宋体" w:hAnsi="宋体" w:cs="宋体"/>
                <w:i w:val="0"/>
                <w:iCs w:val="0"/>
                <w:snapToGrid w:val="0"/>
                <w:color w:val="auto"/>
                <w:kern w:val="0"/>
                <w:sz w:val="22"/>
                <w:szCs w:val="22"/>
                <w:highlight w:val="none"/>
                <w:u w:val="none"/>
                <w:lang w:val="en-US" w:eastAsia="zh-CN" w:bidi="ar"/>
              </w:rPr>
              <w:t>的共有</w:t>
            </w:r>
            <w:r>
              <w:rPr>
                <w:rFonts w:hint="eastAsia" w:ascii="宋体" w:hAnsi="宋体" w:eastAsia="宋体" w:cs="宋体"/>
                <w:i w:val="0"/>
                <w:iCs w:val="0"/>
                <w:snapToGrid w:val="0"/>
                <w:color w:val="auto"/>
                <w:kern w:val="0"/>
                <w:sz w:val="22"/>
                <w:szCs w:val="22"/>
                <w:highlight w:val="none"/>
                <w:u w:val="none"/>
                <w:lang w:val="en-US" w:eastAsia="zh-CN" w:bidi="ar"/>
              </w:rPr>
              <w:t>142盏</w:t>
            </w:r>
          </w:p>
        </w:tc>
      </w:tr>
      <w:tr w14:paraId="729D4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00DE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83E5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五指峰路口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7651B">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55</w:t>
            </w:r>
          </w:p>
        </w:tc>
        <w:tc>
          <w:tcPr>
            <w:tcW w:w="3112" w:type="dxa"/>
            <w:vMerge w:val="continue"/>
            <w:tcBorders>
              <w:left w:val="single" w:color="000000" w:sz="4" w:space="0"/>
              <w:right w:val="single" w:color="000000" w:sz="4" w:space="0"/>
            </w:tcBorders>
            <w:shd w:val="clear" w:color="auto" w:fill="auto"/>
            <w:noWrap/>
            <w:vAlign w:val="center"/>
          </w:tcPr>
          <w:p w14:paraId="604CAD81">
            <w:pPr>
              <w:jc w:val="center"/>
              <w:rPr>
                <w:rFonts w:hint="eastAsia" w:ascii="宋体" w:hAnsi="宋体" w:eastAsia="宋体" w:cs="宋体"/>
                <w:i w:val="0"/>
                <w:iCs w:val="0"/>
                <w:color w:val="auto"/>
                <w:sz w:val="22"/>
                <w:szCs w:val="22"/>
                <w:highlight w:val="none"/>
                <w:u w:val="none"/>
              </w:rPr>
            </w:pPr>
          </w:p>
        </w:tc>
      </w:tr>
      <w:tr w14:paraId="675E9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044F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BBBA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人民医院前</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A169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47</w:t>
            </w:r>
          </w:p>
        </w:tc>
        <w:tc>
          <w:tcPr>
            <w:tcW w:w="3112" w:type="dxa"/>
            <w:vMerge w:val="continue"/>
            <w:tcBorders>
              <w:left w:val="single" w:color="000000" w:sz="4" w:space="0"/>
              <w:right w:val="single" w:color="000000" w:sz="4" w:space="0"/>
            </w:tcBorders>
            <w:shd w:val="clear" w:color="auto" w:fill="auto"/>
            <w:noWrap/>
            <w:vAlign w:val="center"/>
          </w:tcPr>
          <w:p w14:paraId="0F6448C6">
            <w:pPr>
              <w:jc w:val="center"/>
              <w:rPr>
                <w:rFonts w:hint="eastAsia" w:ascii="宋体" w:hAnsi="宋体" w:eastAsia="宋体" w:cs="宋体"/>
                <w:i w:val="0"/>
                <w:iCs w:val="0"/>
                <w:color w:val="auto"/>
                <w:sz w:val="22"/>
                <w:szCs w:val="22"/>
                <w:highlight w:val="none"/>
                <w:u w:val="none"/>
              </w:rPr>
            </w:pPr>
          </w:p>
        </w:tc>
      </w:tr>
      <w:tr w14:paraId="664E0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4095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FD5C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瑞电苑前</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3FAE8">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76</w:t>
            </w:r>
          </w:p>
        </w:tc>
        <w:tc>
          <w:tcPr>
            <w:tcW w:w="3112" w:type="dxa"/>
            <w:vMerge w:val="continue"/>
            <w:tcBorders>
              <w:left w:val="single" w:color="000000" w:sz="4" w:space="0"/>
              <w:bottom w:val="single" w:color="000000" w:sz="4" w:space="0"/>
              <w:right w:val="single" w:color="000000" w:sz="4" w:space="0"/>
            </w:tcBorders>
            <w:shd w:val="clear" w:color="auto" w:fill="auto"/>
            <w:noWrap/>
            <w:vAlign w:val="center"/>
          </w:tcPr>
          <w:p w14:paraId="72342564">
            <w:pPr>
              <w:jc w:val="center"/>
              <w:rPr>
                <w:rFonts w:hint="eastAsia" w:ascii="宋体" w:hAnsi="宋体" w:eastAsia="宋体" w:cs="宋体"/>
                <w:i w:val="0"/>
                <w:iCs w:val="0"/>
                <w:color w:val="auto"/>
                <w:sz w:val="22"/>
                <w:szCs w:val="22"/>
                <w:highlight w:val="none"/>
                <w:u w:val="none"/>
              </w:rPr>
            </w:pPr>
          </w:p>
        </w:tc>
      </w:tr>
      <w:tr w14:paraId="33611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9AFA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9E07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章江豪园前</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B6A84">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75</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770DA">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71</w:t>
            </w:r>
          </w:p>
        </w:tc>
      </w:tr>
      <w:tr w14:paraId="69030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CD12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54D0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章江大桥下游</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AFC90">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51</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F3645">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75</w:t>
            </w:r>
          </w:p>
        </w:tc>
      </w:tr>
      <w:tr w14:paraId="6C8D2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97F8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96BA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伸宝花园</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55A08">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52</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6AE24">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68</w:t>
            </w:r>
          </w:p>
        </w:tc>
      </w:tr>
      <w:tr w14:paraId="69A6D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9059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D34D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南河大桥</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C4F46">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38</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0C3F30D8">
            <w:pPr>
              <w:jc w:val="center"/>
              <w:rPr>
                <w:rFonts w:hint="eastAsia" w:ascii="宋体" w:hAnsi="宋体" w:eastAsia="宋体" w:cs="宋体"/>
                <w:i w:val="0"/>
                <w:iCs w:val="0"/>
                <w:color w:val="auto"/>
                <w:sz w:val="22"/>
                <w:szCs w:val="22"/>
                <w:highlight w:val="none"/>
                <w:u w:val="none"/>
              </w:rPr>
            </w:pPr>
          </w:p>
        </w:tc>
      </w:tr>
      <w:tr w14:paraId="3BB1C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A502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5B8D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飞龙大桥</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8C02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52</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4DB9FDDB">
            <w:pPr>
              <w:jc w:val="center"/>
              <w:rPr>
                <w:rFonts w:hint="eastAsia" w:ascii="宋体" w:hAnsi="宋体" w:eastAsia="宋体" w:cs="宋体"/>
                <w:i w:val="0"/>
                <w:iCs w:val="0"/>
                <w:color w:val="auto"/>
                <w:sz w:val="22"/>
                <w:szCs w:val="22"/>
                <w:highlight w:val="none"/>
                <w:u w:val="none"/>
              </w:rPr>
            </w:pPr>
          </w:p>
        </w:tc>
      </w:tr>
      <w:tr w14:paraId="798F8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383E2">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合计</w:t>
            </w:r>
          </w:p>
        </w:tc>
        <w:tc>
          <w:tcPr>
            <w:tcW w:w="891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3D8E1">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共计庭院灯495盏、草坪灯35</w:t>
            </w:r>
            <w:r>
              <w:rPr>
                <w:rFonts w:hint="eastAsia" w:ascii="宋体" w:hAnsi="宋体" w:cs="宋体"/>
                <w:b/>
                <w:bCs/>
                <w:i w:val="0"/>
                <w:iCs w:val="0"/>
                <w:snapToGrid w:val="0"/>
                <w:color w:val="auto"/>
                <w:kern w:val="0"/>
                <w:sz w:val="22"/>
                <w:szCs w:val="22"/>
                <w:highlight w:val="none"/>
                <w:u w:val="none"/>
                <w:lang w:val="en-US" w:eastAsia="zh-CN" w:bidi="ar"/>
              </w:rPr>
              <w:t>6</w:t>
            </w:r>
            <w:r>
              <w:rPr>
                <w:rFonts w:hint="eastAsia" w:ascii="宋体" w:hAnsi="宋体" w:eastAsia="宋体" w:cs="宋体"/>
                <w:b/>
                <w:bCs/>
                <w:i w:val="0"/>
                <w:iCs w:val="0"/>
                <w:snapToGrid w:val="0"/>
                <w:color w:val="auto"/>
                <w:kern w:val="0"/>
                <w:sz w:val="22"/>
                <w:szCs w:val="22"/>
                <w:highlight w:val="none"/>
                <w:u w:val="none"/>
                <w:lang w:val="en-US" w:eastAsia="zh-CN" w:bidi="ar"/>
              </w:rPr>
              <w:t>盏</w:t>
            </w:r>
          </w:p>
        </w:tc>
      </w:tr>
      <w:tr w14:paraId="77365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8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AA35">
            <w:pPr>
              <w:keepNext w:val="0"/>
              <w:keepLines w:val="0"/>
              <w:widowControl/>
              <w:suppressLineNumbers w:val="0"/>
              <w:jc w:val="left"/>
              <w:textAlignment w:val="center"/>
              <w:rPr>
                <w:rFonts w:hint="eastAsia" w:ascii="宋体" w:hAnsi="宋体" w:eastAsia="宋体" w:cs="宋体"/>
                <w:i w:val="0"/>
                <w:iCs w:val="0"/>
                <w:color w:val="auto"/>
                <w:sz w:val="32"/>
                <w:szCs w:val="32"/>
                <w:highlight w:val="none"/>
                <w:u w:val="none"/>
              </w:rPr>
            </w:pPr>
            <w:r>
              <w:rPr>
                <w:rFonts w:hint="eastAsia" w:ascii="宋体" w:hAnsi="宋体" w:eastAsia="宋体" w:cs="宋体"/>
                <w:i w:val="0"/>
                <w:iCs w:val="0"/>
                <w:snapToGrid w:val="0"/>
                <w:color w:val="auto"/>
                <w:kern w:val="0"/>
                <w:sz w:val="32"/>
                <w:szCs w:val="32"/>
                <w:highlight w:val="none"/>
                <w:u w:val="none"/>
                <w:lang w:val="en-US" w:eastAsia="zh-CN" w:bidi="ar"/>
              </w:rPr>
              <w:t>章江北岸</w:t>
            </w:r>
          </w:p>
        </w:tc>
      </w:tr>
      <w:tr w14:paraId="26B36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7701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613E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东河大桥城外下游</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6B9E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3C01688A">
            <w:pPr>
              <w:jc w:val="center"/>
              <w:rPr>
                <w:rFonts w:hint="eastAsia" w:ascii="宋体" w:hAnsi="宋体" w:eastAsia="宋体" w:cs="宋体"/>
                <w:i w:val="0"/>
                <w:iCs w:val="0"/>
                <w:color w:val="auto"/>
                <w:sz w:val="22"/>
                <w:szCs w:val="22"/>
                <w:highlight w:val="none"/>
                <w:u w:val="none"/>
              </w:rPr>
            </w:pPr>
          </w:p>
        </w:tc>
      </w:tr>
      <w:tr w14:paraId="25740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118A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24D0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东河大桥 城外下游</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291A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23</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1135564D">
            <w:pPr>
              <w:jc w:val="center"/>
              <w:rPr>
                <w:rFonts w:hint="eastAsia" w:ascii="宋体" w:hAnsi="宋体" w:eastAsia="宋体" w:cs="宋体"/>
                <w:i w:val="0"/>
                <w:iCs w:val="0"/>
                <w:color w:val="auto"/>
                <w:sz w:val="22"/>
                <w:szCs w:val="22"/>
                <w:highlight w:val="none"/>
                <w:u w:val="none"/>
              </w:rPr>
            </w:pPr>
          </w:p>
        </w:tc>
      </w:tr>
      <w:tr w14:paraId="1A2C6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79CD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1A85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建春门城外侧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13D7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hemeFill="background1"/>
            <w:noWrap/>
            <w:vAlign w:val="center"/>
          </w:tcPr>
          <w:p w14:paraId="50F0B31F">
            <w:pPr>
              <w:jc w:val="center"/>
              <w:rPr>
                <w:rFonts w:hint="eastAsia" w:ascii="宋体" w:hAnsi="宋体" w:eastAsia="宋体" w:cs="宋体"/>
                <w:i w:val="0"/>
                <w:iCs w:val="0"/>
                <w:color w:val="auto"/>
                <w:sz w:val="22"/>
                <w:szCs w:val="22"/>
                <w:highlight w:val="none"/>
                <w:u w:val="none"/>
              </w:rPr>
            </w:pPr>
          </w:p>
        </w:tc>
      </w:tr>
      <w:tr w14:paraId="7722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EEBA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1164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建春门-永金门</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5324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19</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hemeFill="background1"/>
            <w:noWrap/>
            <w:vAlign w:val="center"/>
          </w:tcPr>
          <w:p w14:paraId="4D780589">
            <w:pPr>
              <w:jc w:val="center"/>
              <w:rPr>
                <w:rFonts w:hint="eastAsia" w:ascii="宋体" w:hAnsi="宋体" w:eastAsia="宋体" w:cs="宋体"/>
                <w:i w:val="0"/>
                <w:iCs w:val="0"/>
                <w:color w:val="auto"/>
                <w:sz w:val="22"/>
                <w:szCs w:val="22"/>
                <w:highlight w:val="none"/>
                <w:u w:val="none"/>
              </w:rPr>
            </w:pPr>
          </w:p>
        </w:tc>
      </w:tr>
      <w:tr w14:paraId="78DDD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C1E9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DBCE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建春门-永金门</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3A6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29</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hemeFill="background1"/>
            <w:noWrap/>
            <w:vAlign w:val="center"/>
          </w:tcPr>
          <w:p w14:paraId="590B2242">
            <w:pPr>
              <w:jc w:val="center"/>
              <w:rPr>
                <w:rFonts w:hint="eastAsia" w:ascii="宋体" w:hAnsi="宋体" w:eastAsia="宋体" w:cs="宋体"/>
                <w:i w:val="0"/>
                <w:iCs w:val="0"/>
                <w:color w:val="auto"/>
                <w:sz w:val="22"/>
                <w:szCs w:val="22"/>
                <w:highlight w:val="none"/>
                <w:u w:val="none"/>
              </w:rPr>
            </w:pPr>
          </w:p>
        </w:tc>
      </w:tr>
      <w:tr w14:paraId="1B847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AD97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35F1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永金门-北门</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33C1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30</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CDACF1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八镜台投光灯</w:t>
            </w:r>
            <w:r>
              <w:rPr>
                <w:rFonts w:hint="eastAsia" w:ascii="宋体" w:hAnsi="宋体" w:cs="宋体"/>
                <w:i w:val="0"/>
                <w:iCs w:val="0"/>
                <w:snapToGrid w:val="0"/>
                <w:color w:val="auto"/>
                <w:kern w:val="0"/>
                <w:sz w:val="22"/>
                <w:szCs w:val="22"/>
                <w:highlight w:val="none"/>
                <w:u w:val="none"/>
                <w:lang w:val="en-US" w:eastAsia="zh-CN" w:bidi="ar"/>
              </w:rPr>
              <w:t>一盏</w:t>
            </w:r>
          </w:p>
        </w:tc>
      </w:tr>
      <w:tr w14:paraId="1B821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CFD1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0A37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北门城外侧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30DC1">
            <w:pPr>
              <w:jc w:val="center"/>
              <w:rPr>
                <w:rFonts w:hint="eastAsia" w:ascii="宋体" w:hAnsi="宋体" w:eastAsia="宋体" w:cs="宋体"/>
                <w:i w:val="0"/>
                <w:iCs w:val="0"/>
                <w:color w:val="auto"/>
                <w:sz w:val="22"/>
                <w:szCs w:val="22"/>
                <w:highlight w:val="none"/>
                <w:u w:val="none"/>
                <w:lang w:val="en-US" w:eastAsia="zh-CN"/>
              </w:rPr>
            </w:pPr>
            <w:r>
              <w:rPr>
                <w:rFonts w:hint="eastAsia" w:ascii="宋体" w:hAnsi="宋体" w:eastAsia="宋体" w:cs="宋体"/>
                <w:i w:val="0"/>
                <w:iCs w:val="0"/>
                <w:color w:val="auto"/>
                <w:sz w:val="22"/>
                <w:szCs w:val="22"/>
                <w:highlight w:val="none"/>
                <w:u w:val="none"/>
                <w:lang w:val="en-US" w:eastAsia="zh-CN"/>
              </w:rPr>
              <w:t>0</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966D2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八镜台瓮城投光灯</w:t>
            </w:r>
            <w:r>
              <w:rPr>
                <w:rFonts w:hint="eastAsia" w:ascii="宋体" w:hAnsi="宋体" w:cs="宋体"/>
                <w:i w:val="0"/>
                <w:iCs w:val="0"/>
                <w:snapToGrid w:val="0"/>
                <w:color w:val="auto"/>
                <w:kern w:val="0"/>
                <w:sz w:val="22"/>
                <w:szCs w:val="22"/>
                <w:highlight w:val="none"/>
                <w:u w:val="none"/>
                <w:lang w:val="en-US" w:eastAsia="zh-CN" w:bidi="ar"/>
              </w:rPr>
              <w:t>一盏</w:t>
            </w:r>
          </w:p>
        </w:tc>
      </w:tr>
      <w:tr w14:paraId="3A476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C133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B83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橡胶坝</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BB7C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hemeFill="background1"/>
            <w:noWrap/>
            <w:vAlign w:val="center"/>
          </w:tcPr>
          <w:p w14:paraId="14A021C7">
            <w:pPr>
              <w:jc w:val="center"/>
              <w:rPr>
                <w:rFonts w:hint="eastAsia" w:ascii="宋体" w:hAnsi="宋体" w:eastAsia="宋体" w:cs="宋体"/>
                <w:i w:val="0"/>
                <w:iCs w:val="0"/>
                <w:color w:val="auto"/>
                <w:sz w:val="22"/>
                <w:szCs w:val="22"/>
                <w:highlight w:val="none"/>
                <w:u w:val="none"/>
              </w:rPr>
            </w:pPr>
          </w:p>
        </w:tc>
      </w:tr>
      <w:tr w14:paraId="08A74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4486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FFFC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西河人行桥下游</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1E23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69</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D48200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cs="宋体"/>
                <w:i w:val="0"/>
                <w:iCs w:val="0"/>
                <w:snapToGrid w:val="0"/>
                <w:color w:val="auto"/>
                <w:kern w:val="0"/>
                <w:sz w:val="22"/>
                <w:szCs w:val="22"/>
                <w:highlight w:val="none"/>
                <w:u w:val="none"/>
                <w:lang w:val="en-US" w:eastAsia="zh-CN" w:bidi="ar"/>
              </w:rPr>
              <w:t>8</w:t>
            </w:r>
          </w:p>
        </w:tc>
      </w:tr>
      <w:tr w14:paraId="42F09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1F315">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A88E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北门城内侧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B73F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8</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BC6B48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城内侧投光灯</w:t>
            </w:r>
            <w:r>
              <w:rPr>
                <w:rFonts w:hint="eastAsia" w:ascii="宋体" w:hAnsi="宋体" w:cs="宋体"/>
                <w:i w:val="0"/>
                <w:iCs w:val="0"/>
                <w:snapToGrid w:val="0"/>
                <w:color w:val="auto"/>
                <w:kern w:val="0"/>
                <w:sz w:val="22"/>
                <w:szCs w:val="22"/>
                <w:highlight w:val="none"/>
                <w:u w:val="none"/>
                <w:lang w:val="en-US" w:eastAsia="zh-CN" w:bidi="ar"/>
              </w:rPr>
              <w:t>一盏</w:t>
            </w:r>
          </w:p>
        </w:tc>
      </w:tr>
      <w:tr w14:paraId="0676B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DAAEB">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A881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北门城外侧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A185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67</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hemeFill="background1"/>
            <w:noWrap/>
            <w:vAlign w:val="center"/>
          </w:tcPr>
          <w:p w14:paraId="4991977E">
            <w:pPr>
              <w:jc w:val="center"/>
              <w:rPr>
                <w:rFonts w:hint="eastAsia" w:ascii="宋体" w:hAnsi="宋体" w:eastAsia="宋体" w:cs="宋体"/>
                <w:i w:val="0"/>
                <w:iCs w:val="0"/>
                <w:color w:val="auto"/>
                <w:sz w:val="22"/>
                <w:szCs w:val="22"/>
                <w:highlight w:val="none"/>
                <w:u w:val="none"/>
              </w:rPr>
            </w:pPr>
          </w:p>
        </w:tc>
      </w:tr>
      <w:tr w14:paraId="0A5AB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0C012">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233A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涌金门城内南侧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76C2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18A061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城内侧投光灯</w:t>
            </w:r>
            <w:r>
              <w:rPr>
                <w:rFonts w:hint="eastAsia" w:ascii="宋体" w:hAnsi="宋体" w:cs="宋体"/>
                <w:i w:val="0"/>
                <w:iCs w:val="0"/>
                <w:snapToGrid w:val="0"/>
                <w:color w:val="auto"/>
                <w:kern w:val="0"/>
                <w:sz w:val="22"/>
                <w:szCs w:val="22"/>
                <w:highlight w:val="none"/>
                <w:u w:val="none"/>
                <w:lang w:val="en-US" w:eastAsia="zh-CN" w:bidi="ar"/>
              </w:rPr>
              <w:t>一盏</w:t>
            </w:r>
          </w:p>
        </w:tc>
      </w:tr>
      <w:tr w14:paraId="13F82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1EA2B">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5812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城内解放路对应点</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57F78">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20</w:t>
            </w:r>
          </w:p>
        </w:tc>
        <w:tc>
          <w:tcPr>
            <w:tcW w:w="3112" w:type="dxa"/>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51F945E">
            <w:pPr>
              <w:jc w:val="center"/>
              <w:rPr>
                <w:rFonts w:hint="eastAsia" w:ascii="宋体" w:hAnsi="宋体" w:eastAsia="宋体" w:cs="宋体"/>
                <w:i w:val="0"/>
                <w:iCs w:val="0"/>
                <w:snapToGrid w:val="0"/>
                <w:color w:val="auto"/>
                <w:sz w:val="22"/>
                <w:szCs w:val="22"/>
                <w:highlight w:val="none"/>
                <w:u w:val="none"/>
                <w:lang w:val="en-US" w:eastAsia="en-US" w:bidi="ar-SA"/>
              </w:rPr>
            </w:pPr>
          </w:p>
        </w:tc>
      </w:tr>
      <w:tr w14:paraId="0CEC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28C5">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AF96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建春门城内南侧</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5E7A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12A0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cs="宋体"/>
                <w:i w:val="0"/>
                <w:iCs w:val="0"/>
                <w:snapToGrid w:val="0"/>
                <w:color w:val="auto"/>
                <w:kern w:val="0"/>
                <w:sz w:val="22"/>
                <w:szCs w:val="22"/>
                <w:highlight w:val="none"/>
                <w:u w:val="none"/>
                <w:lang w:val="en-US" w:eastAsia="zh-CN" w:bidi="ar"/>
              </w:rPr>
              <w:t>8</w:t>
            </w:r>
          </w:p>
        </w:tc>
      </w:tr>
      <w:tr w14:paraId="7DBCD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A9FA9">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AF6AF">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环城路口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61F14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27</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49E27EA5">
            <w:pPr>
              <w:jc w:val="center"/>
              <w:rPr>
                <w:rFonts w:hint="eastAsia" w:ascii="宋体" w:hAnsi="宋体" w:eastAsia="宋体" w:cs="宋体"/>
                <w:i w:val="0"/>
                <w:iCs w:val="0"/>
                <w:color w:val="auto"/>
                <w:sz w:val="22"/>
                <w:szCs w:val="22"/>
                <w:highlight w:val="none"/>
                <w:u w:val="none"/>
              </w:rPr>
            </w:pPr>
          </w:p>
        </w:tc>
      </w:tr>
      <w:tr w14:paraId="61B4E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D9A2A">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16</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629D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春江花月B区</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F87A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32</w:t>
            </w:r>
          </w:p>
        </w:tc>
        <w:tc>
          <w:tcPr>
            <w:tcW w:w="3112"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14:paraId="6FD0BC27">
            <w:pPr>
              <w:jc w:val="center"/>
              <w:rPr>
                <w:rFonts w:hint="eastAsia" w:ascii="宋体" w:hAnsi="宋体" w:eastAsia="宋体" w:cs="宋体"/>
                <w:i w:val="0"/>
                <w:iCs w:val="0"/>
                <w:color w:val="auto"/>
                <w:sz w:val="22"/>
                <w:szCs w:val="22"/>
                <w:highlight w:val="none"/>
                <w:u w:val="none"/>
              </w:rPr>
            </w:pPr>
          </w:p>
        </w:tc>
      </w:tr>
      <w:tr w14:paraId="66C2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395BE">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17</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58F9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章江瑶厨前</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AEAA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53</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A05E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249</w:t>
            </w:r>
          </w:p>
        </w:tc>
      </w:tr>
      <w:tr w14:paraId="2526F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9B959">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18</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4287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高琰路口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116C6">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49</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3EB2">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33</w:t>
            </w:r>
          </w:p>
        </w:tc>
      </w:tr>
      <w:tr w14:paraId="6154A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3776C">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19</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1522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福寿路口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28CD7">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65</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994F7">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11</w:t>
            </w:r>
          </w:p>
        </w:tc>
      </w:tr>
      <w:tr w14:paraId="79FAA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12FF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20</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CC20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红环路路口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3001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47</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72EF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15</w:t>
            </w:r>
          </w:p>
        </w:tc>
      </w:tr>
      <w:tr w14:paraId="4E30A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26E8E">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21</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BECE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稼轩路口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75A8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37</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EE188">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20</w:t>
            </w:r>
          </w:p>
        </w:tc>
      </w:tr>
      <w:tr w14:paraId="5CB84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D6E42">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22</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09E3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黄屋坪路口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C148A">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56</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B0BC0">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48</w:t>
            </w:r>
          </w:p>
        </w:tc>
      </w:tr>
      <w:tr w14:paraId="5C7C1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1080">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23</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D2734">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水务泵房旁</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83D3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75</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0A929">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10</w:t>
            </w:r>
          </w:p>
        </w:tc>
      </w:tr>
      <w:tr w14:paraId="2A091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7FD8D">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24</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3830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八一四交汇口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EBCE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52</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9E9CF">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52</w:t>
            </w:r>
          </w:p>
        </w:tc>
      </w:tr>
      <w:tr w14:paraId="2F95E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A1C17">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25</w:t>
            </w:r>
          </w:p>
        </w:tc>
        <w:tc>
          <w:tcPr>
            <w:tcW w:w="3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4F412">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碧水蓝庭门口</w:t>
            </w:r>
          </w:p>
        </w:tc>
        <w:tc>
          <w:tcPr>
            <w:tcW w:w="2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22876">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eastAsia="宋体" w:cs="宋体"/>
                <w:i w:val="0"/>
                <w:iCs w:val="0"/>
                <w:snapToGrid w:val="0"/>
                <w:color w:val="auto"/>
                <w:kern w:val="0"/>
                <w:sz w:val="22"/>
                <w:szCs w:val="22"/>
                <w:highlight w:val="none"/>
                <w:u w:val="none"/>
                <w:lang w:val="en-US" w:eastAsia="zh-CN" w:bidi="ar"/>
              </w:rPr>
              <w:t>38</w:t>
            </w:r>
          </w:p>
        </w:tc>
        <w:tc>
          <w:tcPr>
            <w:tcW w:w="31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1CBE1">
            <w:pPr>
              <w:keepNext w:val="0"/>
              <w:keepLines w:val="0"/>
              <w:widowControl/>
              <w:suppressLineNumbers w:val="0"/>
              <w:jc w:val="center"/>
              <w:textAlignment w:val="center"/>
              <w:rPr>
                <w:rFonts w:hint="default" w:ascii="宋体" w:hAnsi="宋体" w:eastAsia="宋体" w:cs="宋体"/>
                <w:i w:val="0"/>
                <w:iCs w:val="0"/>
                <w:color w:val="auto"/>
                <w:sz w:val="22"/>
                <w:szCs w:val="22"/>
                <w:highlight w:val="none"/>
                <w:u w:val="none"/>
                <w:lang w:val="en-US"/>
              </w:rPr>
            </w:pPr>
            <w:r>
              <w:rPr>
                <w:rFonts w:hint="eastAsia" w:ascii="宋体" w:hAnsi="宋体" w:cs="宋体"/>
                <w:i w:val="0"/>
                <w:iCs w:val="0"/>
                <w:snapToGrid w:val="0"/>
                <w:color w:val="auto"/>
                <w:kern w:val="0"/>
                <w:sz w:val="22"/>
                <w:szCs w:val="22"/>
                <w:highlight w:val="none"/>
                <w:u w:val="none"/>
                <w:lang w:val="en-US" w:eastAsia="zh-CN" w:bidi="ar"/>
              </w:rPr>
              <w:t>20</w:t>
            </w:r>
          </w:p>
        </w:tc>
      </w:tr>
      <w:tr w14:paraId="73CEA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3EE75">
            <w:pPr>
              <w:keepNext w:val="0"/>
              <w:keepLines w:val="0"/>
              <w:widowControl/>
              <w:suppressLineNumbers w:val="0"/>
              <w:jc w:val="center"/>
              <w:textAlignment w:val="center"/>
              <w:rPr>
                <w:rFonts w:hint="eastAsia" w:ascii="宋体" w:hAnsi="宋体" w:eastAsia="宋体" w:cs="宋体"/>
                <w:b/>
                <w:bCs/>
                <w:i w:val="0"/>
                <w:iCs w:val="0"/>
                <w:color w:val="auto"/>
                <w:sz w:val="22"/>
                <w:szCs w:val="22"/>
                <w:highlight w:val="none"/>
                <w:u w:val="none"/>
              </w:rPr>
            </w:pPr>
            <w:r>
              <w:rPr>
                <w:rFonts w:hint="eastAsia" w:ascii="宋体" w:hAnsi="宋体" w:eastAsia="宋体" w:cs="宋体"/>
                <w:b/>
                <w:bCs/>
                <w:i w:val="0"/>
                <w:iCs w:val="0"/>
                <w:snapToGrid w:val="0"/>
                <w:color w:val="auto"/>
                <w:kern w:val="0"/>
                <w:sz w:val="22"/>
                <w:szCs w:val="22"/>
                <w:highlight w:val="none"/>
                <w:u w:val="none"/>
                <w:lang w:val="en-US" w:eastAsia="zh-CN" w:bidi="ar"/>
              </w:rPr>
              <w:t>合计</w:t>
            </w:r>
          </w:p>
        </w:tc>
        <w:tc>
          <w:tcPr>
            <w:tcW w:w="89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5B2097">
            <w:pPr>
              <w:keepNext w:val="0"/>
              <w:keepLines w:val="0"/>
              <w:widowControl/>
              <w:suppressLineNumbers w:val="0"/>
              <w:jc w:val="center"/>
              <w:textAlignment w:val="center"/>
              <w:rPr>
                <w:rFonts w:hint="default" w:ascii="宋体" w:hAnsi="宋体" w:eastAsia="宋体" w:cs="宋体"/>
                <w:b/>
                <w:bCs/>
                <w:i w:val="0"/>
                <w:iCs w:val="0"/>
                <w:color w:val="auto"/>
                <w:sz w:val="22"/>
                <w:szCs w:val="22"/>
                <w:highlight w:val="none"/>
                <w:u w:val="none"/>
                <w:lang w:val="en-US"/>
              </w:rPr>
            </w:pPr>
            <w:r>
              <w:rPr>
                <w:rFonts w:hint="eastAsia" w:ascii="宋体" w:hAnsi="宋体" w:eastAsia="宋体" w:cs="宋体"/>
                <w:b/>
                <w:bCs/>
                <w:i w:val="0"/>
                <w:iCs w:val="0"/>
                <w:snapToGrid w:val="0"/>
                <w:color w:val="auto"/>
                <w:kern w:val="0"/>
                <w:sz w:val="22"/>
                <w:szCs w:val="22"/>
                <w:highlight w:val="none"/>
                <w:u w:val="none"/>
                <w:lang w:val="en-US" w:eastAsia="zh-CN" w:bidi="ar"/>
              </w:rPr>
              <w:t>共计庭院灯</w:t>
            </w:r>
            <w:r>
              <w:rPr>
                <w:rFonts w:hint="eastAsia" w:ascii="宋体" w:hAnsi="宋体" w:cs="宋体"/>
                <w:b/>
                <w:bCs/>
                <w:i w:val="0"/>
                <w:iCs w:val="0"/>
                <w:snapToGrid w:val="0"/>
                <w:color w:val="auto"/>
                <w:kern w:val="0"/>
                <w:sz w:val="22"/>
                <w:szCs w:val="22"/>
                <w:highlight w:val="none"/>
                <w:u w:val="none"/>
                <w:lang w:val="en-US" w:eastAsia="zh-CN" w:bidi="ar"/>
              </w:rPr>
              <w:t>879</w:t>
            </w:r>
            <w:r>
              <w:rPr>
                <w:rFonts w:hint="eastAsia" w:ascii="宋体" w:hAnsi="宋体" w:eastAsia="宋体" w:cs="宋体"/>
                <w:b/>
                <w:bCs/>
                <w:i w:val="0"/>
                <w:iCs w:val="0"/>
                <w:snapToGrid w:val="0"/>
                <w:color w:val="auto"/>
                <w:kern w:val="0"/>
                <w:sz w:val="22"/>
                <w:szCs w:val="22"/>
                <w:highlight w:val="none"/>
                <w:u w:val="none"/>
                <w:lang w:val="en-US" w:eastAsia="zh-CN" w:bidi="ar"/>
              </w:rPr>
              <w:t>盏、草坪灯</w:t>
            </w:r>
            <w:r>
              <w:rPr>
                <w:rFonts w:hint="eastAsia" w:ascii="宋体" w:hAnsi="宋体" w:cs="宋体"/>
                <w:b/>
                <w:bCs/>
                <w:i w:val="0"/>
                <w:iCs w:val="0"/>
                <w:snapToGrid w:val="0"/>
                <w:color w:val="auto"/>
                <w:kern w:val="0"/>
                <w:sz w:val="22"/>
                <w:szCs w:val="22"/>
                <w:highlight w:val="none"/>
                <w:u w:val="none"/>
                <w:lang w:val="en-US" w:eastAsia="zh-CN" w:bidi="ar"/>
              </w:rPr>
              <w:t>474</w:t>
            </w:r>
            <w:r>
              <w:rPr>
                <w:rFonts w:hint="eastAsia" w:ascii="宋体" w:hAnsi="宋体" w:eastAsia="宋体" w:cs="宋体"/>
                <w:b/>
                <w:bCs/>
                <w:i w:val="0"/>
                <w:iCs w:val="0"/>
                <w:snapToGrid w:val="0"/>
                <w:color w:val="auto"/>
                <w:kern w:val="0"/>
                <w:sz w:val="22"/>
                <w:szCs w:val="22"/>
                <w:highlight w:val="none"/>
                <w:u w:val="none"/>
                <w:lang w:val="en-US" w:eastAsia="zh-CN" w:bidi="ar"/>
              </w:rPr>
              <w:t>盏</w:t>
            </w:r>
            <w:r>
              <w:rPr>
                <w:rFonts w:hint="eastAsia" w:ascii="宋体" w:hAnsi="宋体" w:cs="宋体"/>
                <w:b/>
                <w:bCs/>
                <w:i w:val="0"/>
                <w:iCs w:val="0"/>
                <w:snapToGrid w:val="0"/>
                <w:color w:val="auto"/>
                <w:kern w:val="0"/>
                <w:sz w:val="22"/>
                <w:szCs w:val="22"/>
                <w:highlight w:val="none"/>
                <w:u w:val="none"/>
                <w:lang w:val="en-US" w:eastAsia="zh-CN" w:bidi="ar"/>
              </w:rPr>
              <w:t>、投光灯4盏</w:t>
            </w:r>
          </w:p>
        </w:tc>
      </w:tr>
    </w:tbl>
    <w:p w14:paraId="30200E79">
      <w:pPr>
        <w:pStyle w:val="7"/>
        <w:keepNext w:val="0"/>
        <w:keepLines w:val="0"/>
        <w:pageBreakBefore w:val="0"/>
        <w:wordWrap/>
        <w:overflowPunct/>
        <w:topLinePunct w:val="0"/>
        <w:bidi w:val="0"/>
        <w:spacing w:before="0" w:after="0" w:line="360" w:lineRule="auto"/>
        <w:ind w:left="0" w:right="0" w:firstLine="539"/>
        <w:rPr>
          <w:rFonts w:hint="eastAsia" w:ascii="宋体" w:hAnsi="宋体" w:eastAsia="宋体" w:cs="宋体"/>
          <w:snapToGrid w:val="0"/>
          <w:color w:val="auto"/>
          <w:sz w:val="24"/>
          <w:szCs w:val="21"/>
          <w:highlight w:val="none"/>
          <w:lang w:val="en-US" w:eastAsia="zh-CN" w:bidi="ar-SA"/>
        </w:rPr>
      </w:pPr>
    </w:p>
    <w:p w14:paraId="6419D515">
      <w:pPr>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br w:type="page"/>
      </w:r>
    </w:p>
    <w:p w14:paraId="634F8E24">
      <w:pPr>
        <w:pStyle w:val="7"/>
        <w:keepNext w:val="0"/>
        <w:keepLines w:val="0"/>
        <w:pageBreakBefore w:val="0"/>
        <w:wordWrap/>
        <w:overflowPunct/>
        <w:topLinePunct w:val="0"/>
        <w:bidi w:val="0"/>
        <w:spacing w:before="0" w:after="0" w:line="360" w:lineRule="auto"/>
        <w:ind w:left="0" w:right="0" w:firstLine="539"/>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2.响应供应商须配备技术人员</w:t>
      </w:r>
    </w:p>
    <w:tbl>
      <w:tblPr>
        <w:tblStyle w:val="5"/>
        <w:tblW w:w="498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06"/>
        <w:gridCol w:w="903"/>
        <w:gridCol w:w="556"/>
        <w:gridCol w:w="588"/>
        <w:gridCol w:w="845"/>
        <w:gridCol w:w="5525"/>
      </w:tblGrid>
      <w:tr w14:paraId="0CAB6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7" w:hRule="atLeast"/>
        </w:trPr>
        <w:tc>
          <w:tcPr>
            <w:tcW w:w="5000" w:type="pct"/>
            <w:gridSpan w:val="6"/>
            <w:tcBorders>
              <w:top w:val="nil"/>
              <w:left w:val="nil"/>
              <w:bottom w:val="nil"/>
              <w:right w:val="nil"/>
            </w:tcBorders>
            <w:shd w:val="clear" w:color="auto" w:fill="auto"/>
            <w:noWrap/>
            <w:vAlign w:val="center"/>
          </w:tcPr>
          <w:p w14:paraId="487087D8">
            <w:pPr>
              <w:keepNext w:val="0"/>
              <w:keepLines w:val="0"/>
              <w:widowControl/>
              <w:suppressLineNumbers w:val="0"/>
              <w:jc w:val="center"/>
              <w:rPr>
                <w:rFonts w:hint="eastAsia" w:ascii="宋体" w:hAnsi="宋体" w:eastAsia="宋体" w:cs="宋体"/>
                <w:b/>
                <w:bCs/>
                <w:i w:val="0"/>
                <w:iCs w:val="0"/>
                <w:color w:val="auto"/>
                <w:sz w:val="36"/>
                <w:szCs w:val="36"/>
                <w:highlight w:val="none"/>
                <w:u w:val="none"/>
              </w:rPr>
            </w:pPr>
            <w:r>
              <w:rPr>
                <w:rFonts w:hint="eastAsia" w:ascii="宋体" w:hAnsi="宋体" w:eastAsia="宋体" w:cs="宋体"/>
                <w:b/>
                <w:bCs/>
                <w:snapToGrid w:val="0"/>
                <w:color w:val="auto"/>
                <w:kern w:val="0"/>
                <w:sz w:val="28"/>
                <w:szCs w:val="28"/>
                <w:highlight w:val="none"/>
                <w:lang w:val="en-US" w:eastAsia="zh-CN" w:bidi="ar"/>
              </w:rPr>
              <w:t>中心城区亮化设施及两岸庭院灯等亮化设施劳务服务清单表</w:t>
            </w:r>
          </w:p>
        </w:tc>
      </w:tr>
      <w:tr w14:paraId="3AB7B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2" w:hRule="atLeast"/>
        </w:trPr>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0BA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序号</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D5ED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名称</w:t>
            </w:r>
          </w:p>
        </w:tc>
        <w:tc>
          <w:tcPr>
            <w:tcW w:w="3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589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单位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763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数量</w:t>
            </w:r>
          </w:p>
        </w:tc>
        <w:tc>
          <w:tcPr>
            <w:tcW w:w="478" w:type="pct"/>
            <w:tcBorders>
              <w:top w:val="single" w:color="000000" w:sz="4" w:space="0"/>
              <w:left w:val="single" w:color="000000" w:sz="4" w:space="0"/>
              <w:bottom w:val="nil"/>
              <w:right w:val="single" w:color="000000" w:sz="4" w:space="0"/>
            </w:tcBorders>
            <w:shd w:val="clear" w:color="auto" w:fill="auto"/>
            <w:vAlign w:val="center"/>
          </w:tcPr>
          <w:p w14:paraId="379260D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维护时间</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（月）</w:t>
            </w:r>
          </w:p>
        </w:tc>
        <w:tc>
          <w:tcPr>
            <w:tcW w:w="31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8D02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备注</w:t>
            </w:r>
          </w:p>
        </w:tc>
      </w:tr>
      <w:tr w14:paraId="43891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5" w:hRule="atLeast"/>
        </w:trPr>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0F5A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1DD5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低空电工</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BD4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35D39">
            <w:pPr>
              <w:keepNext w:val="0"/>
              <w:keepLines w:val="0"/>
              <w:widowControl/>
              <w:suppressLineNumbers w:val="0"/>
              <w:jc w:val="center"/>
              <w:textAlignment w:val="center"/>
              <w:rPr>
                <w:rFonts w:hint="eastAsia" w:ascii="宋体" w:hAnsi="宋体" w:eastAsia="宋体" w:cs="宋体"/>
                <w:i w:val="0"/>
                <w:iCs w:val="0"/>
                <w:color w:val="FF0000"/>
                <w:sz w:val="24"/>
                <w:szCs w:val="24"/>
                <w:highlight w:val="none"/>
                <w:u w:val="none"/>
              </w:rPr>
            </w:pPr>
            <w:r>
              <w:rPr>
                <w:rFonts w:hint="eastAsia" w:ascii="宋体" w:hAnsi="宋体" w:cs="宋体"/>
                <w:i w:val="0"/>
                <w:iCs w:val="0"/>
                <w:snapToGrid w:val="0"/>
                <w:color w:val="FF0000"/>
                <w:kern w:val="0"/>
                <w:sz w:val="24"/>
                <w:szCs w:val="24"/>
                <w:highlight w:val="none"/>
                <w:u w:val="none"/>
                <w:lang w:val="en-US" w:eastAsia="zh-CN" w:bidi="ar"/>
              </w:rPr>
              <w:t>≥</w:t>
            </w:r>
            <w:r>
              <w:rPr>
                <w:rFonts w:hint="eastAsia" w:ascii="宋体" w:hAnsi="宋体" w:eastAsia="宋体" w:cs="宋体"/>
                <w:i w:val="0"/>
                <w:iCs w:val="0"/>
                <w:snapToGrid w:val="0"/>
                <w:color w:val="FF0000"/>
                <w:kern w:val="0"/>
                <w:sz w:val="24"/>
                <w:szCs w:val="24"/>
                <w:highlight w:val="none"/>
                <w:u w:val="none"/>
                <w:lang w:val="en-US" w:eastAsia="zh-CN" w:bidi="ar"/>
              </w:rPr>
              <w:t>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E18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1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F0EE7">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工作人员需配备：特种作业操作证（低压电工证） </w:t>
            </w:r>
          </w:p>
          <w:p w14:paraId="600CE7A0">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相关工作经验：3年以上 </w:t>
            </w:r>
          </w:p>
          <w:p w14:paraId="02C9B6B8">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对辖区内亮化设施设备实施日常巡查、维护及其他业主安排的工作等</w:t>
            </w:r>
          </w:p>
        </w:tc>
      </w:tr>
      <w:tr w14:paraId="65390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195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5244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高空电工</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B63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5298C">
            <w:pPr>
              <w:keepNext w:val="0"/>
              <w:keepLines w:val="0"/>
              <w:widowControl/>
              <w:suppressLineNumbers w:val="0"/>
              <w:jc w:val="center"/>
              <w:textAlignment w:val="center"/>
              <w:rPr>
                <w:rFonts w:hint="eastAsia" w:ascii="宋体" w:hAnsi="宋体" w:eastAsia="宋体" w:cs="宋体"/>
                <w:i w:val="0"/>
                <w:iCs w:val="0"/>
                <w:color w:val="FF0000"/>
                <w:sz w:val="24"/>
                <w:szCs w:val="24"/>
                <w:highlight w:val="none"/>
                <w:u w:val="none"/>
              </w:rPr>
            </w:pPr>
            <w:r>
              <w:rPr>
                <w:rFonts w:hint="eastAsia" w:ascii="宋体" w:hAnsi="宋体" w:cs="宋体"/>
                <w:i w:val="0"/>
                <w:iCs w:val="0"/>
                <w:snapToGrid w:val="0"/>
                <w:color w:val="FF0000"/>
                <w:kern w:val="0"/>
                <w:sz w:val="24"/>
                <w:szCs w:val="24"/>
                <w:highlight w:val="none"/>
                <w:u w:val="none"/>
                <w:lang w:val="en-US" w:eastAsia="zh-CN" w:bidi="ar"/>
              </w:rPr>
              <w:t>≥</w:t>
            </w:r>
            <w:r>
              <w:rPr>
                <w:rFonts w:hint="eastAsia" w:ascii="宋体" w:hAnsi="宋体" w:eastAsia="宋体" w:cs="宋体"/>
                <w:i w:val="0"/>
                <w:iCs w:val="0"/>
                <w:snapToGrid w:val="0"/>
                <w:color w:val="FF0000"/>
                <w:kern w:val="0"/>
                <w:sz w:val="24"/>
                <w:szCs w:val="24"/>
                <w:highlight w:val="none"/>
                <w:u w:val="none"/>
                <w:lang w:val="en-US" w:eastAsia="zh-CN" w:bidi="ar"/>
              </w:rPr>
              <w:t>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8FC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1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039B49">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高空电工（外墙亮化作业）岗位职责 </w:t>
            </w:r>
          </w:p>
          <w:p w14:paraId="7C43987B">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1、持证上岗：必须持有特种作业操作证（低压电工证）、高处作业证，具备 3 年以上相关工作经验。 </w:t>
            </w:r>
          </w:p>
          <w:p w14:paraId="6C46956C">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2、作业性质：以外墙高空悬吊作业为主，采用安全绳、吊板、安全带等专业装备，从建筑楼顶悬吊至外墙作业区域，类似蜘蛛人高空作业模式。 </w:t>
            </w:r>
          </w:p>
          <w:p w14:paraId="6D511428">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3、核心工作： </w:t>
            </w:r>
          </w:p>
          <w:p w14:paraId="1BA4A342">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负责建筑外墙、楼体立面亮化灯具、灯带、配电箱、线路等电气设施的安装、调试、维修、抢修； </w:t>
            </w:r>
          </w:p>
          <w:p w14:paraId="265B2DAF">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开展高空悬吊状态下日常巡检、故障排查、部件更换、线路维护，保障亮化系统正常运行； </w:t>
            </w:r>
          </w:p>
          <w:p w14:paraId="41BE78B8">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处理突发故障，完成外墙灯具、管线等高空应急抢修任务； </w:t>
            </w:r>
          </w:p>
          <w:p w14:paraId="4F8A0F61">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严格遵守高空作业安全规范，做好作业前安全检查、现场防护及作业后收尾工作。 </w:t>
            </w:r>
          </w:p>
          <w:p w14:paraId="48BAEAD7">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4、工作场景：建筑外墙高空、户外立面、高空设备区域，全程在坠落高度≥2 米的高空环境下开展电气作业。 </w:t>
            </w:r>
          </w:p>
          <w:p w14:paraId="2A77D5A3">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5、其他任务：完成辖区内亮化设施运维及业主安排的相关工作。</w:t>
            </w:r>
          </w:p>
        </w:tc>
      </w:tr>
      <w:tr w14:paraId="61FC7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1" w:hRule="atLeast"/>
        </w:trPr>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29AD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F295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网络工程师</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874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648F4">
            <w:pPr>
              <w:keepNext w:val="0"/>
              <w:keepLines w:val="0"/>
              <w:widowControl/>
              <w:suppressLineNumbers w:val="0"/>
              <w:jc w:val="center"/>
              <w:textAlignment w:val="center"/>
              <w:rPr>
                <w:rFonts w:hint="eastAsia" w:ascii="宋体" w:hAnsi="宋体" w:eastAsia="宋体" w:cs="宋体"/>
                <w:i w:val="0"/>
                <w:iCs w:val="0"/>
                <w:color w:val="FF0000"/>
                <w:sz w:val="24"/>
                <w:szCs w:val="24"/>
                <w:highlight w:val="none"/>
                <w:u w:val="none"/>
              </w:rPr>
            </w:pPr>
            <w:r>
              <w:rPr>
                <w:rFonts w:hint="eastAsia" w:ascii="宋体" w:hAnsi="宋体" w:cs="宋体"/>
                <w:i w:val="0"/>
                <w:iCs w:val="0"/>
                <w:snapToGrid w:val="0"/>
                <w:color w:val="FF0000"/>
                <w:kern w:val="0"/>
                <w:sz w:val="24"/>
                <w:szCs w:val="24"/>
                <w:highlight w:val="none"/>
                <w:u w:val="none"/>
                <w:lang w:val="en-US" w:eastAsia="zh-CN" w:bidi="ar"/>
              </w:rPr>
              <w:t>≥</w:t>
            </w:r>
            <w:r>
              <w:rPr>
                <w:rFonts w:hint="eastAsia" w:ascii="宋体" w:hAnsi="宋体" w:eastAsia="宋体" w:cs="宋体"/>
                <w:i w:val="0"/>
                <w:iCs w:val="0"/>
                <w:snapToGrid w:val="0"/>
                <w:color w:val="FF0000"/>
                <w:kern w:val="0"/>
                <w:sz w:val="24"/>
                <w:szCs w:val="24"/>
                <w:highlight w:val="none"/>
                <w:u w:val="none"/>
                <w:lang w:val="en-US" w:eastAsia="zh-CN" w:bidi="ar"/>
              </w:rPr>
              <w:t>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F21E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1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4AA8F">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工作人员需配备：中级及以上网络工程师证 </w:t>
            </w:r>
          </w:p>
          <w:p w14:paraId="7BF38280">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相关工作经验：3年以上 </w:t>
            </w:r>
          </w:p>
          <w:p w14:paraId="27318210">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工作内容：日常运维与故障排查（“网络的日常管家”）保障网络7×24 小时稳定运行，快速解决突发问题，是最基础且高频的工作； </w:t>
            </w:r>
          </w:p>
          <w:p w14:paraId="24DEF9F6">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日常巡检：定期登录设备检查配置日志、接口状态（是否 down 机）、路由表稳定性，清理无用配置，备份设备配置文件（防止配置丢失）； </w:t>
            </w:r>
          </w:p>
          <w:p w14:paraId="2AE82A78">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故障排查：网络中断、卡顿、无法上网、访问延迟高等问题时，按 “分层排查法” </w:t>
            </w:r>
          </w:p>
          <w:p w14:paraId="20AE71A5">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物理层：检查网线、光纤是否断裂，端口是否松动； </w:t>
            </w:r>
          </w:p>
          <w:p w14:paraId="043719B8">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数据链路层：排查 VLAN 划分错误、交换机端口禁用、MAC 地址绑定问题； </w:t>
            </w:r>
          </w:p>
          <w:p w14:paraId="00C0EDE7">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网络层：检查 IP 地址冲突、路由协议故障、网关不可达； </w:t>
            </w:r>
          </w:p>
          <w:p w14:paraId="0BB30AE9">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应用层：确认防火墙策略是否拦截、端口是否被占用； </w:t>
            </w:r>
          </w:p>
          <w:p w14:paraId="7615ECD2">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对辖区内设施设备实施日常巡查、维护及其他业主安排的工作等。</w:t>
            </w:r>
          </w:p>
        </w:tc>
      </w:tr>
      <w:tr w14:paraId="2380F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51" w:hRule="atLeast"/>
        </w:trPr>
        <w:tc>
          <w:tcPr>
            <w:tcW w:w="2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E401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BDC6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资料员</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7C9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286A3">
            <w:pPr>
              <w:keepNext w:val="0"/>
              <w:keepLines w:val="0"/>
              <w:widowControl/>
              <w:suppressLineNumbers w:val="0"/>
              <w:jc w:val="center"/>
              <w:textAlignment w:val="center"/>
              <w:rPr>
                <w:rFonts w:hint="eastAsia" w:ascii="宋体" w:hAnsi="宋体" w:eastAsia="宋体" w:cs="宋体"/>
                <w:i w:val="0"/>
                <w:iCs w:val="0"/>
                <w:color w:val="FF0000"/>
                <w:sz w:val="24"/>
                <w:szCs w:val="24"/>
                <w:highlight w:val="none"/>
                <w:u w:val="none"/>
              </w:rPr>
            </w:pPr>
            <w:r>
              <w:rPr>
                <w:rFonts w:hint="eastAsia" w:ascii="宋体" w:hAnsi="宋体" w:cs="宋体"/>
                <w:i w:val="0"/>
                <w:iCs w:val="0"/>
                <w:snapToGrid w:val="0"/>
                <w:color w:val="FF0000"/>
                <w:kern w:val="0"/>
                <w:sz w:val="24"/>
                <w:szCs w:val="24"/>
                <w:highlight w:val="none"/>
                <w:u w:val="none"/>
                <w:lang w:val="en-US" w:eastAsia="zh-CN" w:bidi="ar"/>
              </w:rPr>
              <w:t>≥</w:t>
            </w:r>
            <w:r>
              <w:rPr>
                <w:rFonts w:hint="eastAsia" w:ascii="宋体" w:hAnsi="宋体" w:eastAsia="宋体" w:cs="宋体"/>
                <w:i w:val="0"/>
                <w:iCs w:val="0"/>
                <w:snapToGrid w:val="0"/>
                <w:color w:val="FF0000"/>
                <w:kern w:val="0"/>
                <w:sz w:val="24"/>
                <w:szCs w:val="24"/>
                <w:highlight w:val="none"/>
                <w:u w:val="none"/>
                <w:lang w:val="en-US" w:eastAsia="zh-CN" w:bidi="ar"/>
              </w:rPr>
              <w:t>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A37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12</w:t>
            </w:r>
          </w:p>
        </w:tc>
        <w:tc>
          <w:tcPr>
            <w:tcW w:w="31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B761">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line="240" w:lineRule="auto"/>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相关工作经验：2年以上 </w:t>
            </w:r>
          </w:p>
          <w:p w14:paraId="7382F504">
            <w:pPr>
              <w:keepNext w:val="0"/>
              <w:keepLines w:val="0"/>
              <w:pageBreakBefore w:val="0"/>
              <w:widowControl/>
              <w:suppressLineNumbers w:val="0"/>
              <w:kinsoku w:val="0"/>
              <w:wordWrap/>
              <w:overflowPunct/>
              <w:topLinePunct w:val="0"/>
              <w:autoSpaceDE w:val="0"/>
              <w:autoSpaceDN w:val="0"/>
              <w:bidi w:val="0"/>
              <w:adjustRightInd w:val="0"/>
              <w:snapToGrid w:val="0"/>
              <w:spacing w:before="0" w:after="0" w:line="24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对该项目收集维修过程前中后对比影像资料，负责收集需对辖区内亮化设施设备实施日常巡查打卡记录资料及其他业主安排的工作等（所有影像资料需水印相机自带二维码定位功能、每月按时向委托单位提交巡查、维护等台账资料）</w:t>
            </w:r>
          </w:p>
        </w:tc>
      </w:tr>
      <w:tr w14:paraId="44FFE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65"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9D133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注：服务过程必须符合当地相关主管部门对安全文明作业的要求，包括但不限于围挡、排污措施、清洗路面等所有的安全文明费、其他总价措施费、单价措施费、扬尘治理措施费。此项费用已综合考虑在内，由成交单位负责，不再另外计取。</w:t>
            </w:r>
          </w:p>
        </w:tc>
      </w:tr>
      <w:tr w14:paraId="1819E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5" w:hRule="atLeast"/>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2E259F">
            <w:pPr>
              <w:keepNext w:val="0"/>
              <w:keepLines w:val="0"/>
              <w:widowControl/>
              <w:suppressLineNumbers w:val="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b/>
                <w:bCs/>
                <w:snapToGrid w:val="0"/>
                <w:color w:val="auto"/>
                <w:sz w:val="24"/>
                <w:szCs w:val="21"/>
                <w:highlight w:val="none"/>
                <w:lang w:val="en-US" w:eastAsia="zh-CN" w:bidi="ar-SA"/>
              </w:rPr>
              <w:t>响应文件中提供（拟派项目技术人员花名册含姓名、岗位、职责、联系方式）电工、高空作业、网络工程师须提供相关有效证件复印件</w:t>
            </w:r>
            <w:r>
              <w:rPr>
                <w:rFonts w:hint="eastAsia" w:ascii="宋体" w:hAnsi="宋体" w:cs="宋体"/>
                <w:b/>
                <w:bCs/>
                <w:snapToGrid w:val="0"/>
                <w:color w:val="auto"/>
                <w:sz w:val="24"/>
                <w:szCs w:val="21"/>
                <w:highlight w:val="none"/>
                <w:lang w:val="en-US" w:eastAsia="zh-CN" w:bidi="ar-SA"/>
              </w:rPr>
              <w:t>（证书以首次颁发的时间为准）</w:t>
            </w:r>
            <w:r>
              <w:rPr>
                <w:rFonts w:hint="eastAsia" w:ascii="宋体" w:hAnsi="宋体" w:eastAsia="宋体" w:cs="宋体"/>
                <w:b/>
                <w:bCs/>
                <w:snapToGrid w:val="0"/>
                <w:color w:val="auto"/>
                <w:sz w:val="24"/>
                <w:szCs w:val="21"/>
                <w:highlight w:val="none"/>
                <w:lang w:val="en-US" w:eastAsia="zh-CN" w:bidi="ar-SA"/>
              </w:rPr>
              <w:t>，</w:t>
            </w:r>
            <w:r>
              <w:rPr>
                <w:rFonts w:hint="eastAsia" w:ascii="宋体" w:hAnsi="宋体" w:cs="宋体"/>
                <w:b/>
                <w:bCs/>
                <w:snapToGrid w:val="0"/>
                <w:color w:val="FF0000"/>
                <w:sz w:val="24"/>
                <w:szCs w:val="21"/>
                <w:highlight w:val="none"/>
                <w:lang w:val="en-US" w:eastAsia="zh-CN" w:bidi="ar-SA"/>
              </w:rPr>
              <w:t>资料员提供劳务合同（能够体现工作年限）</w:t>
            </w:r>
            <w:r>
              <w:rPr>
                <w:rFonts w:hint="eastAsia" w:ascii="宋体" w:hAnsi="宋体" w:eastAsia="宋体" w:cs="宋体"/>
                <w:b/>
                <w:bCs/>
                <w:snapToGrid w:val="0"/>
                <w:color w:val="auto"/>
                <w:sz w:val="24"/>
                <w:szCs w:val="21"/>
                <w:highlight w:val="none"/>
                <w:lang w:val="en-US" w:eastAsia="zh-CN" w:bidi="ar-SA"/>
              </w:rPr>
              <w:t>及响应供应商为其缴纳的开标前六个月内(不含开标当月)任意一个月的社保证明，提供清晰扫描件，并加盖响应供应商公章。</w:t>
            </w:r>
          </w:p>
        </w:tc>
      </w:tr>
    </w:tbl>
    <w:p w14:paraId="3D01B32A">
      <w:pPr>
        <w:pStyle w:val="7"/>
        <w:keepNext w:val="0"/>
        <w:keepLines w:val="0"/>
        <w:pageBreakBefore w:val="0"/>
        <w:wordWrap/>
        <w:overflowPunct/>
        <w:topLinePunct w:val="0"/>
        <w:bidi w:val="0"/>
        <w:spacing w:before="0" w:after="0" w:line="360" w:lineRule="auto"/>
        <w:ind w:left="0" w:right="0" w:firstLine="539"/>
        <w:rPr>
          <w:rFonts w:hint="eastAsia" w:ascii="宋体" w:hAnsi="宋体" w:eastAsia="宋体" w:cs="宋体"/>
          <w:snapToGrid w:val="0"/>
          <w:color w:val="auto"/>
          <w:sz w:val="24"/>
          <w:szCs w:val="21"/>
          <w:highlight w:val="none"/>
          <w:lang w:val="en-US" w:eastAsia="zh-CN" w:bidi="ar-SA"/>
        </w:rPr>
      </w:pPr>
    </w:p>
    <w:p w14:paraId="55395D02">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3.成交供应商须每天至少派一名亮化巡查人员在晚上开灯后对所有规定范围内夜景亮化设施进行巡查。</w:t>
      </w:r>
    </w:p>
    <w:p w14:paraId="7DDC1F7D">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4.投标人须为本项目提供适用于本项目的方案：包含但不限于项目管理与后备团队方案；技术维护服务方案：日常巡查方案、巡查制度与计划方案，维护维修方案、响应与处置机制方案，应急抢修预案、突发事件处理方案，质量保障措施、过程控制与创新方案）</w:t>
      </w:r>
    </w:p>
    <w:p w14:paraId="66A400FF">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cs="宋体"/>
          <w:snapToGrid w:val="0"/>
          <w:color w:val="auto"/>
          <w:sz w:val="28"/>
          <w:szCs w:val="28"/>
          <w:highlight w:val="none"/>
          <w:lang w:val="en-US" w:eastAsia="zh-CN" w:bidi="ar-SA"/>
        </w:rPr>
        <w:t>5</w:t>
      </w:r>
      <w:r>
        <w:rPr>
          <w:rFonts w:hint="eastAsia" w:ascii="宋体" w:hAnsi="宋体" w:eastAsia="宋体" w:cs="宋体"/>
          <w:snapToGrid w:val="0"/>
          <w:color w:val="auto"/>
          <w:sz w:val="28"/>
          <w:szCs w:val="28"/>
          <w:highlight w:val="none"/>
          <w:lang w:val="en-US" w:eastAsia="zh-CN" w:bidi="ar-SA"/>
        </w:rPr>
        <w:t>.响应供应商近3年内未被行政主管部门记有不良行为记录。</w:t>
      </w:r>
    </w:p>
    <w:p w14:paraId="52B8FE01">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cs="宋体"/>
          <w:snapToGrid w:val="0"/>
          <w:color w:val="auto"/>
          <w:sz w:val="28"/>
          <w:szCs w:val="28"/>
          <w:highlight w:val="none"/>
          <w:lang w:val="en-US" w:eastAsia="zh-CN" w:bidi="ar-SA"/>
        </w:rPr>
        <w:t>6</w:t>
      </w:r>
      <w:r>
        <w:rPr>
          <w:rFonts w:hint="eastAsia" w:ascii="宋体" w:hAnsi="宋体" w:eastAsia="宋体" w:cs="宋体"/>
          <w:snapToGrid w:val="0"/>
          <w:color w:val="auto"/>
          <w:sz w:val="28"/>
          <w:szCs w:val="28"/>
          <w:highlight w:val="none"/>
          <w:lang w:val="en-US" w:eastAsia="zh-CN" w:bidi="ar-SA"/>
        </w:rPr>
        <w:t>.遵守国家法律、法规和行业规章制度。</w:t>
      </w:r>
    </w:p>
    <w:p w14:paraId="0A0AA524">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cs="宋体"/>
          <w:snapToGrid w:val="0"/>
          <w:color w:val="auto"/>
          <w:sz w:val="28"/>
          <w:szCs w:val="28"/>
          <w:highlight w:val="none"/>
          <w:lang w:val="en-US" w:eastAsia="zh-CN" w:bidi="ar-SA"/>
        </w:rPr>
        <w:t>7</w:t>
      </w:r>
      <w:r>
        <w:rPr>
          <w:rFonts w:hint="eastAsia" w:ascii="宋体" w:hAnsi="宋体" w:eastAsia="宋体" w:cs="宋体"/>
          <w:snapToGrid w:val="0"/>
          <w:color w:val="auto"/>
          <w:sz w:val="28"/>
          <w:szCs w:val="28"/>
          <w:highlight w:val="none"/>
          <w:lang w:val="en-US" w:eastAsia="zh-CN" w:bidi="ar-SA"/>
        </w:rPr>
        <w:t>.如遇重大活动时，为确保设施完好率和亮灯率，成交供应商必须全力保</w:t>
      </w:r>
      <w:r>
        <w:rPr>
          <w:rFonts w:hint="eastAsia" w:ascii="宋体" w:hAnsi="宋体" w:cs="宋体"/>
          <w:snapToGrid w:val="0"/>
          <w:color w:val="auto"/>
          <w:sz w:val="28"/>
          <w:szCs w:val="28"/>
          <w:highlight w:val="none"/>
          <w:lang w:val="en-US" w:eastAsia="zh-CN" w:bidi="ar-SA"/>
        </w:rPr>
        <w:t>障</w:t>
      </w:r>
      <w:r>
        <w:rPr>
          <w:rFonts w:hint="eastAsia" w:ascii="宋体" w:hAnsi="宋体" w:eastAsia="宋体" w:cs="宋体"/>
          <w:snapToGrid w:val="0"/>
          <w:color w:val="auto"/>
          <w:sz w:val="28"/>
          <w:szCs w:val="28"/>
          <w:highlight w:val="none"/>
          <w:lang w:val="en-US" w:eastAsia="zh-CN" w:bidi="ar-SA"/>
        </w:rPr>
        <w:t>达到要求并服从采购单位或路灯管理部门的调度安排。</w:t>
      </w:r>
    </w:p>
    <w:p w14:paraId="47C04111">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42"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b/>
          <w:bCs/>
          <w:snapToGrid w:val="0"/>
          <w:color w:val="auto"/>
          <w:spacing w:val="-5"/>
          <w:sz w:val="28"/>
          <w:szCs w:val="28"/>
          <w:highlight w:val="none"/>
          <w:lang w:val="en-US" w:eastAsia="zh-CN" w:bidi="ar-SA"/>
        </w:rPr>
        <w:t>（三）服务期限：</w:t>
      </w:r>
      <w:r>
        <w:rPr>
          <w:rFonts w:hint="eastAsia" w:ascii="宋体" w:hAnsi="宋体" w:eastAsia="宋体" w:cs="宋体"/>
          <w:color w:val="auto"/>
          <w:spacing w:val="0"/>
          <w:position w:val="0"/>
          <w:sz w:val="28"/>
          <w:szCs w:val="28"/>
          <w:highlight w:val="none"/>
          <w:lang w:eastAsia="zh-CN"/>
        </w:rPr>
        <w:t>合同签订之日起，服务期限为壹年。</w:t>
      </w:r>
    </w:p>
    <w:p w14:paraId="2FB80DD9">
      <w:pPr>
        <w:pStyle w:val="4"/>
        <w:keepNext w:val="0"/>
        <w:keepLines w:val="0"/>
        <w:pageBreakBefore w:val="0"/>
        <w:wordWrap/>
        <w:overflowPunct/>
        <w:topLinePunct w:val="0"/>
        <w:bidi w:val="0"/>
        <w:spacing w:before="0" w:line="360" w:lineRule="auto"/>
        <w:ind w:left="0" w:right="0" w:firstLine="542" w:firstLineChars="200"/>
        <w:rPr>
          <w:rFonts w:hint="eastAsia" w:ascii="宋体" w:hAnsi="宋体" w:eastAsia="宋体" w:cs="宋体"/>
          <w:color w:val="auto"/>
          <w:sz w:val="28"/>
          <w:szCs w:val="28"/>
          <w:highlight w:val="none"/>
        </w:rPr>
      </w:pPr>
      <w:r>
        <w:rPr>
          <w:rFonts w:hint="eastAsia" w:ascii="宋体" w:hAnsi="宋体" w:eastAsia="宋体" w:cs="宋体"/>
          <w:b/>
          <w:bCs/>
          <w:color w:val="auto"/>
          <w:spacing w:val="-5"/>
          <w:sz w:val="28"/>
          <w:szCs w:val="28"/>
          <w:highlight w:val="none"/>
        </w:rPr>
        <w:t>（</w:t>
      </w:r>
      <w:r>
        <w:rPr>
          <w:rFonts w:hint="eastAsia" w:ascii="宋体" w:hAnsi="宋体" w:eastAsia="宋体" w:cs="宋体"/>
          <w:b/>
          <w:bCs/>
          <w:color w:val="auto"/>
          <w:spacing w:val="-5"/>
          <w:sz w:val="28"/>
          <w:szCs w:val="28"/>
          <w:highlight w:val="none"/>
          <w:lang w:val="en-US" w:eastAsia="zh-CN"/>
        </w:rPr>
        <w:t>四</w:t>
      </w:r>
      <w:r>
        <w:rPr>
          <w:rFonts w:hint="eastAsia" w:ascii="宋体" w:hAnsi="宋体" w:eastAsia="宋体" w:cs="宋体"/>
          <w:b/>
          <w:bCs/>
          <w:color w:val="auto"/>
          <w:spacing w:val="-5"/>
          <w:sz w:val="28"/>
          <w:szCs w:val="28"/>
          <w:highlight w:val="none"/>
        </w:rPr>
        <w:t>）服务要求：</w:t>
      </w:r>
    </w:p>
    <w:p w14:paraId="6D3904A1">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1.成交供应商应对整个亮化工程进行系统、科学、有序的循环的维护，</w:t>
      </w:r>
      <w:r>
        <w:rPr>
          <w:rFonts w:hint="eastAsia" w:ascii="宋体" w:hAnsi="宋体" w:cs="宋体"/>
          <w:snapToGrid w:val="0"/>
          <w:color w:val="auto"/>
          <w:sz w:val="28"/>
          <w:szCs w:val="28"/>
          <w:highlight w:val="none"/>
          <w:lang w:val="en-US" w:eastAsia="zh-CN" w:bidi="ar-SA"/>
        </w:rPr>
        <w:t>承诺</w:t>
      </w:r>
      <w:r>
        <w:rPr>
          <w:rFonts w:hint="eastAsia" w:ascii="宋体" w:hAnsi="宋体" w:eastAsia="宋体" w:cs="宋体"/>
          <w:snapToGrid w:val="0"/>
          <w:color w:val="auto"/>
          <w:sz w:val="28"/>
          <w:szCs w:val="28"/>
          <w:highlight w:val="none"/>
          <w:lang w:val="en-US" w:eastAsia="zh-CN" w:bidi="ar-SA"/>
        </w:rPr>
        <w:t>定期巡查调试并对系统进行维护、保养。</w:t>
      </w:r>
    </w:p>
    <w:p w14:paraId="6DF09909">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（1）定期对所有灯具进行检查，维修或更新破损、不正常亮灯、光衰＞30%以上的灯具。</w:t>
      </w:r>
    </w:p>
    <w:p w14:paraId="572FC3DF">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（2）定期检测整个照明线路、控制系统等，及时排解潜在的安全隐患，对电缆、电线采取安全防盗措施，防止电缆、电线被割盗。</w:t>
      </w:r>
    </w:p>
    <w:p w14:paraId="6073B429">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（3）及时检查更换管线卡扣等灯具安排固定件和其他易损件，确保灯具稳固安全和安装的平整度。</w:t>
      </w:r>
    </w:p>
    <w:p w14:paraId="402B6D8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（4）定期查看、检测照明配电箱并有防盗措施防止偷、漏电现象，保持配电箱外观整洁。</w:t>
      </w:r>
    </w:p>
    <w:p w14:paraId="0A931977">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（5）对上述情况进行记录，并及时汇总采购人。</w:t>
      </w:r>
    </w:p>
    <w:p w14:paraId="401B634D">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2.根据采购人要求及时调整亮灯及熄灯时间。</w:t>
      </w:r>
    </w:p>
    <w:p w14:paraId="37CF9EF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3.及时更换损坏的设备、材料，确保正常亮灯。</w:t>
      </w:r>
    </w:p>
    <w:p w14:paraId="46F36BAE">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4.</w:t>
      </w:r>
      <w:r>
        <w:rPr>
          <w:rFonts w:hint="eastAsia" w:ascii="宋体" w:hAnsi="宋体" w:cs="宋体"/>
          <w:snapToGrid w:val="0"/>
          <w:color w:val="auto"/>
          <w:sz w:val="28"/>
          <w:szCs w:val="28"/>
          <w:highlight w:val="none"/>
          <w:lang w:val="en-US" w:eastAsia="zh-CN" w:bidi="ar-SA"/>
        </w:rPr>
        <w:t>做好</w:t>
      </w:r>
      <w:r>
        <w:rPr>
          <w:rFonts w:hint="eastAsia" w:ascii="宋体" w:hAnsi="宋体" w:eastAsia="宋体" w:cs="宋体"/>
          <w:snapToGrid w:val="0"/>
          <w:color w:val="auto"/>
          <w:sz w:val="28"/>
          <w:szCs w:val="28"/>
          <w:highlight w:val="none"/>
          <w:lang w:val="en-US" w:eastAsia="zh-CN" w:bidi="ar-SA"/>
        </w:rPr>
        <w:t>防盗、防人为破坏工作。对盗窃、人为破坏造成的夜景设施、材料损毁，成交供应商应先报警，经公安民警勘察记录，征得公安同意后立即修复。</w:t>
      </w:r>
    </w:p>
    <w:p w14:paraId="46019EDD">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5.成交供应商的所有维修维护活动必须有详细记录供采购人核查。</w:t>
      </w:r>
    </w:p>
    <w:p w14:paraId="49EDFF4B">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6.夜景亮化维修时涉及更换的主要材料由采购人承担</w:t>
      </w:r>
      <w:r>
        <w:rPr>
          <w:rFonts w:hint="eastAsia" w:ascii="宋体" w:hAnsi="宋体" w:cs="宋体"/>
          <w:snapToGrid w:val="0"/>
          <w:color w:val="auto"/>
          <w:sz w:val="28"/>
          <w:szCs w:val="28"/>
          <w:highlight w:val="none"/>
          <w:lang w:val="en-US" w:eastAsia="zh-CN" w:bidi="ar-SA"/>
        </w:rPr>
        <w:t>，维修工具需要成交供应商自行提供</w:t>
      </w:r>
      <w:r>
        <w:rPr>
          <w:rFonts w:hint="eastAsia" w:ascii="宋体" w:hAnsi="宋体" w:eastAsia="宋体" w:cs="宋体"/>
          <w:snapToGrid w:val="0"/>
          <w:color w:val="auto"/>
          <w:sz w:val="28"/>
          <w:szCs w:val="28"/>
          <w:highlight w:val="none"/>
          <w:lang w:val="en-US" w:eastAsia="zh-CN" w:bidi="ar-SA"/>
        </w:rPr>
        <w:t>。成交供应商完善好巡查制度及服务人员的各项责任制度，若因成交供应商的原因导致本项目信息外泄，设施设备等其他物件丢失、被窃等现象的，给采购人造成的损失应全额赔偿，并追究相关责任。</w:t>
      </w:r>
    </w:p>
    <w:p w14:paraId="5442661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7.成交供应商应为本项目配备不少于一辆四轮工具车（如：皮卡车或面包车等）</w:t>
      </w:r>
    </w:p>
    <w:p w14:paraId="6C228D2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2"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b/>
          <w:bCs/>
          <w:snapToGrid w:val="0"/>
          <w:color w:val="auto"/>
          <w:sz w:val="28"/>
          <w:szCs w:val="28"/>
          <w:highlight w:val="none"/>
          <w:lang w:val="en-US" w:eastAsia="zh-CN" w:bidi="ar-SA"/>
        </w:rPr>
        <w:t>（五）对服务单位的要求：</w:t>
      </w:r>
    </w:p>
    <w:p w14:paraId="70E02901">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1.职业操守要求</w:t>
      </w:r>
    </w:p>
    <w:p w14:paraId="6E1BC9EA">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（1）响应供应商不得超越资质等级或范围承揽市政工程业务。</w:t>
      </w:r>
    </w:p>
    <w:p w14:paraId="10D157C4">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（2）响应供应商不得出卖、出借、转让、伪造资质证书、图鉴、图章，以挂靠方式允许他人以本单位或本人名义，采取不正当手段，承接市政工程业务。</w:t>
      </w:r>
    </w:p>
    <w:p w14:paraId="6FE79873">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（3）应组织具有经验的人员担任</w:t>
      </w:r>
      <w:r>
        <w:rPr>
          <w:rFonts w:hint="eastAsia" w:ascii="宋体" w:hAnsi="宋体" w:cs="宋体"/>
          <w:snapToGrid w:val="0"/>
          <w:color w:val="auto"/>
          <w:sz w:val="28"/>
          <w:szCs w:val="28"/>
          <w:highlight w:val="none"/>
          <w:lang w:val="en-US" w:eastAsia="zh-CN" w:bidi="ar-SA"/>
        </w:rPr>
        <w:t>项目负责人</w:t>
      </w:r>
      <w:r>
        <w:rPr>
          <w:rFonts w:hint="eastAsia" w:ascii="宋体" w:hAnsi="宋体" w:eastAsia="宋体" w:cs="宋体"/>
          <w:snapToGrid w:val="0"/>
          <w:color w:val="auto"/>
          <w:sz w:val="28"/>
          <w:szCs w:val="28"/>
          <w:highlight w:val="none"/>
          <w:lang w:val="en-US" w:eastAsia="zh-CN" w:bidi="ar-SA"/>
        </w:rPr>
        <w:t>依法依规进行本项目作业，严禁弄虚作假、高估冒算、敷衍了事等不正当行为。</w:t>
      </w:r>
    </w:p>
    <w:p w14:paraId="3F93D20E">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（4）从业人员应自觉遵守相关部门的管理、监督和检查，廉洁自律，不得利用工作之便谋取个人利益，未经采购人同意不得私下泄露与项目有关的信息，</w:t>
      </w:r>
      <w:r>
        <w:rPr>
          <w:rFonts w:hint="eastAsia" w:ascii="宋体" w:hAnsi="宋体" w:cs="宋体"/>
          <w:snapToGrid w:val="0"/>
          <w:color w:val="auto"/>
          <w:sz w:val="28"/>
          <w:szCs w:val="28"/>
          <w:highlight w:val="none"/>
          <w:lang w:val="en-US" w:eastAsia="zh-CN" w:bidi="ar-SA"/>
        </w:rPr>
        <w:t>项目负责人</w:t>
      </w:r>
      <w:r>
        <w:rPr>
          <w:rFonts w:hint="eastAsia" w:ascii="宋体" w:hAnsi="宋体" w:eastAsia="宋体" w:cs="宋体"/>
          <w:snapToGrid w:val="0"/>
          <w:color w:val="auto"/>
          <w:sz w:val="28"/>
          <w:szCs w:val="28"/>
          <w:highlight w:val="none"/>
          <w:lang w:val="en-US" w:eastAsia="zh-CN" w:bidi="ar-SA"/>
        </w:rPr>
        <w:t>不得同时兼任其他施工工程。</w:t>
      </w:r>
    </w:p>
    <w:p w14:paraId="283BE017">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2.其他说明</w:t>
      </w:r>
    </w:p>
    <w:p w14:paraId="7A9612C7">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（1）成交供应商在本项目服务期限内如接到采购人紧急项目通知，应随叫随到，否则采购人有权终止合同。</w:t>
      </w:r>
    </w:p>
    <w:p w14:paraId="0EFA935F">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b/>
          <w:bCs/>
          <w:color w:val="auto"/>
          <w:sz w:val="28"/>
          <w:szCs w:val="28"/>
          <w:highlight w:val="none"/>
        </w:rPr>
      </w:pPr>
      <w:r>
        <w:rPr>
          <w:rFonts w:hint="eastAsia" w:ascii="宋体" w:hAnsi="宋体" w:eastAsia="宋体" w:cs="宋体"/>
          <w:snapToGrid w:val="0"/>
          <w:color w:val="auto"/>
          <w:sz w:val="28"/>
          <w:szCs w:val="28"/>
          <w:highlight w:val="none"/>
          <w:lang w:val="en-US" w:eastAsia="zh-CN" w:bidi="ar-SA"/>
        </w:rPr>
        <w:t>（2）本项目维护内容部分为高空作业，属于重大危险源。</w:t>
      </w:r>
      <w:r>
        <w:rPr>
          <w:rFonts w:hint="eastAsia" w:ascii="宋体" w:hAnsi="宋体" w:eastAsia="宋体" w:cs="宋体"/>
          <w:b/>
          <w:bCs/>
          <w:color w:val="auto"/>
          <w:spacing w:val="1"/>
          <w:sz w:val="28"/>
          <w:szCs w:val="28"/>
          <w:highlight w:val="none"/>
        </w:rPr>
        <w:t>要求响应供应商</w:t>
      </w:r>
      <w:r>
        <w:rPr>
          <w:rFonts w:hint="eastAsia" w:ascii="宋体" w:hAnsi="宋体" w:eastAsia="宋体" w:cs="宋体"/>
          <w:b/>
          <w:bCs/>
          <w:color w:val="auto"/>
          <w:spacing w:val="-5"/>
          <w:sz w:val="28"/>
          <w:szCs w:val="28"/>
          <w:highlight w:val="none"/>
        </w:rPr>
        <w:t>在承诺函中保证近三年内未发生过较大及以上生产安全事故，并且承诺中标后为</w:t>
      </w:r>
      <w:r>
        <w:rPr>
          <w:rFonts w:hint="eastAsia" w:ascii="宋体" w:hAnsi="宋体" w:eastAsia="宋体" w:cs="宋体"/>
          <w:b/>
          <w:bCs/>
          <w:color w:val="auto"/>
          <w:spacing w:val="-2"/>
          <w:sz w:val="28"/>
          <w:szCs w:val="28"/>
          <w:highlight w:val="none"/>
        </w:rPr>
        <w:t>本项目派出从业人员购买人身意外保险。（提供承诺函加盖公章）</w:t>
      </w:r>
    </w:p>
    <w:p w14:paraId="67E85DC8">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（3）如发现成交供应商有挂靠行为的，一律取消其成交资格。</w:t>
      </w:r>
    </w:p>
    <w:p w14:paraId="5D2AA171">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（4）若在评标期间或成交后发现响应供应商提供了虚假资料，采购人有权取消其成交资格，同时将有关情况上报上级主管部门。</w:t>
      </w:r>
    </w:p>
    <w:p w14:paraId="44699B60">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snapToGrid w:val="0"/>
          <w:color w:val="auto"/>
          <w:sz w:val="28"/>
          <w:szCs w:val="28"/>
          <w:highlight w:val="none"/>
          <w:lang w:val="en-US" w:eastAsia="zh-CN" w:bidi="ar-SA"/>
        </w:rPr>
      </w:pPr>
      <w:r>
        <w:rPr>
          <w:rFonts w:hint="eastAsia" w:ascii="宋体" w:hAnsi="宋体" w:eastAsia="宋体" w:cs="宋体"/>
          <w:snapToGrid w:val="0"/>
          <w:color w:val="auto"/>
          <w:sz w:val="28"/>
          <w:szCs w:val="28"/>
          <w:highlight w:val="none"/>
          <w:lang w:val="en-US" w:eastAsia="zh-CN" w:bidi="ar-SA"/>
        </w:rPr>
        <w:t>（5）参与本次投标的响应供应商，视为认可本采购文件所约定所有内容，成交后不得以任何理由提出异议。</w:t>
      </w:r>
    </w:p>
    <w:p w14:paraId="1715AE33">
      <w:pPr>
        <w:keepNext w:val="0"/>
        <w:keepLines w:val="0"/>
        <w:pageBreakBefore w:val="0"/>
        <w:widowControl w:val="0"/>
        <w:numPr>
          <w:ilvl w:val="0"/>
          <w:numId w:val="0"/>
        </w:numPr>
        <w:kinsoku/>
        <w:wordWrap/>
        <w:overflowPunct/>
        <w:topLinePunct w:val="0"/>
        <w:autoSpaceDE/>
        <w:autoSpaceDN/>
        <w:bidi w:val="0"/>
        <w:adjustRightInd/>
        <w:snapToGrid/>
        <w:spacing w:before="0" w:after="0" w:line="360" w:lineRule="auto"/>
        <w:ind w:left="0" w:right="0" w:firstLine="560" w:firstLineChars="200"/>
        <w:jc w:val="left"/>
        <w:textAlignment w:val="auto"/>
        <w:rPr>
          <w:rFonts w:hint="eastAsia" w:ascii="宋体" w:hAnsi="宋体" w:eastAsia="宋体" w:cs="宋体"/>
          <w:b w:val="0"/>
          <w:bCs w:val="0"/>
          <w:color w:val="auto"/>
          <w:sz w:val="28"/>
          <w:szCs w:val="28"/>
          <w:highlight w:val="none"/>
        </w:rPr>
      </w:pPr>
      <w:r>
        <w:rPr>
          <w:rFonts w:hint="eastAsia" w:ascii="宋体" w:hAnsi="宋体" w:eastAsia="宋体" w:cs="宋体"/>
          <w:snapToGrid w:val="0"/>
          <w:color w:val="auto"/>
          <w:sz w:val="28"/>
          <w:szCs w:val="28"/>
          <w:highlight w:val="none"/>
          <w:lang w:val="en-US" w:eastAsia="zh-CN" w:bidi="ar-SA"/>
        </w:rPr>
        <w:t>（6）</w:t>
      </w:r>
      <w:r>
        <w:rPr>
          <w:rFonts w:hint="eastAsia" w:ascii="宋体" w:hAnsi="宋体" w:cs="宋体"/>
          <w:snapToGrid w:val="0"/>
          <w:color w:val="auto"/>
          <w:sz w:val="28"/>
          <w:szCs w:val="28"/>
          <w:highlight w:val="none"/>
          <w:lang w:val="en-US" w:eastAsia="zh-CN" w:bidi="ar-SA"/>
        </w:rPr>
        <w:t>成交</w:t>
      </w:r>
      <w:r>
        <w:rPr>
          <w:rFonts w:hint="eastAsia" w:ascii="宋体" w:hAnsi="宋体" w:eastAsia="宋体" w:cs="宋体"/>
          <w:snapToGrid w:val="0"/>
          <w:color w:val="auto"/>
          <w:sz w:val="28"/>
          <w:szCs w:val="28"/>
          <w:highlight w:val="none"/>
          <w:lang w:val="en-US" w:eastAsia="zh-CN" w:bidi="ar-SA"/>
        </w:rPr>
        <w:t>供应商投报的拟派人员必须为本项目的项目组基本人员</w:t>
      </w:r>
      <w:r>
        <w:rPr>
          <w:rFonts w:hint="eastAsia" w:ascii="宋体" w:hAnsi="宋体" w:eastAsia="宋体" w:cs="宋体"/>
          <w:color w:val="auto"/>
          <w:spacing w:val="2"/>
          <w:sz w:val="28"/>
          <w:szCs w:val="28"/>
          <w:highlight w:val="none"/>
        </w:rPr>
        <w:t>，</w:t>
      </w:r>
      <w:r>
        <w:rPr>
          <w:rFonts w:hint="eastAsia" w:ascii="宋体" w:hAnsi="宋体" w:eastAsia="宋体" w:cs="宋体"/>
          <w:b/>
          <w:bCs/>
          <w:color w:val="auto"/>
          <w:spacing w:val="1"/>
          <w:sz w:val="28"/>
          <w:szCs w:val="28"/>
          <w:highlight w:val="none"/>
        </w:rPr>
        <w:t>在本项</w:t>
      </w:r>
      <w:r>
        <w:rPr>
          <w:rFonts w:hint="eastAsia" w:ascii="宋体" w:hAnsi="宋体" w:eastAsia="宋体" w:cs="宋体"/>
          <w:b/>
          <w:bCs/>
          <w:color w:val="auto"/>
          <w:spacing w:val="3"/>
          <w:sz w:val="28"/>
          <w:szCs w:val="28"/>
          <w:highlight w:val="none"/>
        </w:rPr>
        <w:t>目服务期间不得擅自更换，未经采购人书面同意，成交供应商变更人员按1000</w:t>
      </w:r>
      <w:r>
        <w:rPr>
          <w:rFonts w:hint="eastAsia" w:ascii="宋体" w:hAnsi="宋体" w:eastAsia="宋体" w:cs="宋体"/>
          <w:b/>
          <w:bCs/>
          <w:color w:val="auto"/>
          <w:spacing w:val="-1"/>
          <w:sz w:val="28"/>
          <w:szCs w:val="28"/>
          <w:highlight w:val="none"/>
        </w:rPr>
        <w:t>元/每人每次进行</w:t>
      </w:r>
      <w:r>
        <w:rPr>
          <w:rFonts w:hint="eastAsia" w:ascii="宋体" w:hAnsi="宋体" w:cs="宋体"/>
          <w:b/>
          <w:bCs/>
          <w:color w:val="auto"/>
          <w:spacing w:val="-1"/>
          <w:sz w:val="28"/>
          <w:szCs w:val="28"/>
          <w:highlight w:val="none"/>
          <w:lang w:val="en-US" w:eastAsia="zh-CN"/>
        </w:rPr>
        <w:t>处罚</w:t>
      </w:r>
      <w:r>
        <w:rPr>
          <w:rFonts w:hint="eastAsia" w:ascii="宋体" w:hAnsi="宋体" w:eastAsia="宋体" w:cs="宋体"/>
          <w:b/>
          <w:bCs/>
          <w:color w:val="auto"/>
          <w:spacing w:val="-1"/>
          <w:sz w:val="28"/>
          <w:szCs w:val="28"/>
          <w:highlight w:val="none"/>
        </w:rPr>
        <w:t>。处罚不设限额，若发生以上费用，</w:t>
      </w:r>
      <w:r>
        <w:rPr>
          <w:rFonts w:hint="eastAsia" w:ascii="宋体" w:hAnsi="宋体" w:cs="宋体"/>
          <w:b/>
          <w:bCs/>
          <w:color w:val="auto"/>
          <w:spacing w:val="-1"/>
          <w:sz w:val="28"/>
          <w:szCs w:val="28"/>
          <w:highlight w:val="none"/>
          <w:lang w:val="en-US" w:eastAsia="zh-CN"/>
        </w:rPr>
        <w:t>从管养费中扣除</w:t>
      </w:r>
      <w:r>
        <w:rPr>
          <w:rFonts w:hint="eastAsia" w:ascii="宋体" w:hAnsi="宋体" w:eastAsia="宋体" w:cs="宋体"/>
          <w:b/>
          <w:bCs/>
          <w:color w:val="auto"/>
          <w:spacing w:val="-5"/>
          <w:sz w:val="28"/>
          <w:szCs w:val="28"/>
          <w:highlight w:val="none"/>
        </w:rPr>
        <w:t>，未按规定及时缴纳</w:t>
      </w:r>
      <w:r>
        <w:rPr>
          <w:rFonts w:hint="eastAsia" w:ascii="宋体" w:hAnsi="宋体" w:cs="宋体"/>
          <w:b/>
          <w:bCs/>
          <w:color w:val="auto"/>
          <w:spacing w:val="-5"/>
          <w:sz w:val="28"/>
          <w:szCs w:val="28"/>
          <w:highlight w:val="none"/>
          <w:lang w:val="en-US" w:eastAsia="zh-CN"/>
        </w:rPr>
        <w:t>违约费用</w:t>
      </w:r>
      <w:r>
        <w:rPr>
          <w:rFonts w:hint="eastAsia" w:ascii="宋体" w:hAnsi="宋体" w:eastAsia="宋体" w:cs="宋体"/>
          <w:b/>
          <w:bCs/>
          <w:color w:val="auto"/>
          <w:spacing w:val="-5"/>
          <w:sz w:val="28"/>
          <w:szCs w:val="28"/>
          <w:highlight w:val="none"/>
        </w:rPr>
        <w:t>的，采购人有</w:t>
      </w:r>
      <w:r>
        <w:rPr>
          <w:rFonts w:hint="eastAsia" w:ascii="宋体" w:hAnsi="宋体" w:eastAsia="宋体" w:cs="宋体"/>
          <w:b/>
          <w:bCs/>
          <w:color w:val="auto"/>
          <w:spacing w:val="-4"/>
          <w:sz w:val="28"/>
          <w:szCs w:val="28"/>
          <w:highlight w:val="none"/>
        </w:rPr>
        <w:t>权从支付给成交供应商的任意款项中扣除。</w:t>
      </w:r>
      <w:r>
        <w:rPr>
          <w:rFonts w:hint="eastAsia" w:ascii="宋体" w:hAnsi="宋体" w:eastAsia="宋体" w:cs="宋体"/>
          <w:b w:val="0"/>
          <w:bCs w:val="0"/>
          <w:color w:val="auto"/>
          <w:spacing w:val="-4"/>
          <w:sz w:val="28"/>
          <w:szCs w:val="28"/>
          <w:highlight w:val="none"/>
        </w:rPr>
        <w:t>采购人根据项目规模和</w:t>
      </w:r>
      <w:r>
        <w:rPr>
          <w:rFonts w:hint="eastAsia" w:ascii="宋体" w:hAnsi="宋体" w:eastAsia="宋体" w:cs="宋体"/>
          <w:b w:val="0"/>
          <w:bCs w:val="0"/>
          <w:color w:val="auto"/>
          <w:spacing w:val="-2"/>
          <w:sz w:val="28"/>
          <w:szCs w:val="28"/>
          <w:highlight w:val="none"/>
        </w:rPr>
        <w:t>类型或现有人员水平及工作负荷的考虑要求增加或调整人员的，响应供应商必须按要求调整或增加人员。</w:t>
      </w:r>
    </w:p>
    <w:p w14:paraId="6721B517">
      <w:pPr>
        <w:pStyle w:val="4"/>
        <w:keepNext w:val="0"/>
        <w:keepLines w:val="0"/>
        <w:pageBreakBefore w:val="0"/>
        <w:kinsoku/>
        <w:wordWrap/>
        <w:overflowPunct/>
        <w:topLinePunct w:val="0"/>
        <w:bidi w:val="0"/>
        <w:spacing w:before="0" w:line="360" w:lineRule="auto"/>
        <w:ind w:left="0" w:right="0" w:firstLine="568"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（7）成交供应商在维修过程中发生违法违规行为及所造成一切后果及</w:t>
      </w:r>
      <w:r>
        <w:rPr>
          <w:rFonts w:hint="eastAsia" w:ascii="宋体" w:hAnsi="宋体" w:eastAsia="宋体" w:cs="宋体"/>
          <w:b w:val="0"/>
          <w:bCs w:val="0"/>
          <w:color w:val="auto"/>
          <w:spacing w:val="-1"/>
          <w:sz w:val="28"/>
          <w:szCs w:val="28"/>
          <w:highlight w:val="none"/>
        </w:rPr>
        <w:t>损失，由成交供应商承担全部责任和负责赔偿。</w:t>
      </w:r>
    </w:p>
    <w:p w14:paraId="3CB7A6AE">
      <w:pPr>
        <w:pStyle w:val="4"/>
        <w:keepNext w:val="0"/>
        <w:keepLines w:val="0"/>
        <w:pageBreakBefore w:val="0"/>
        <w:kinsoku/>
        <w:wordWrap/>
        <w:overflowPunct/>
        <w:topLinePunct w:val="0"/>
        <w:bidi w:val="0"/>
        <w:spacing w:before="0" w:line="360" w:lineRule="auto"/>
        <w:ind w:left="0" w:right="0" w:firstLine="568"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（8）成交供应商必须按照相关安全规范进行操作，一切违反操作规范造成</w:t>
      </w:r>
      <w:r>
        <w:rPr>
          <w:rFonts w:hint="eastAsia" w:ascii="宋体" w:hAnsi="宋体" w:eastAsia="宋体" w:cs="宋体"/>
          <w:b w:val="0"/>
          <w:bCs w:val="0"/>
          <w:color w:val="auto"/>
          <w:spacing w:val="-3"/>
          <w:sz w:val="28"/>
          <w:szCs w:val="28"/>
          <w:highlight w:val="none"/>
        </w:rPr>
        <w:t>的伤亡事故由成交供应商自行负责。</w:t>
      </w:r>
    </w:p>
    <w:p w14:paraId="1322A30C">
      <w:pPr>
        <w:pStyle w:val="4"/>
        <w:keepNext w:val="0"/>
        <w:keepLines w:val="0"/>
        <w:pageBreakBefore w:val="0"/>
        <w:kinsoku/>
        <w:wordWrap/>
        <w:overflowPunct/>
        <w:topLinePunct w:val="0"/>
        <w:bidi w:val="0"/>
        <w:spacing w:before="0" w:line="360" w:lineRule="auto"/>
        <w:ind w:left="0" w:right="0" w:firstLine="552" w:firstLineChars="200"/>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（9）建立巡查制度，及时记录和检查整修，保证亮灯率9</w:t>
      </w:r>
      <w:r>
        <w:rPr>
          <w:rFonts w:hint="eastAsia" w:ascii="宋体" w:hAnsi="宋体" w:eastAsia="宋体" w:cs="宋体"/>
          <w:b w:val="0"/>
          <w:bCs w:val="0"/>
          <w:color w:val="auto"/>
          <w:spacing w:val="-2"/>
          <w:sz w:val="28"/>
          <w:szCs w:val="28"/>
          <w:highlight w:val="none"/>
          <w:lang w:val="en-US" w:eastAsia="zh-CN"/>
        </w:rPr>
        <w:t>0</w:t>
      </w:r>
      <w:r>
        <w:rPr>
          <w:rFonts w:hint="eastAsia" w:ascii="宋体" w:hAnsi="宋体" w:eastAsia="宋体" w:cs="宋体"/>
          <w:b w:val="0"/>
          <w:bCs w:val="0"/>
          <w:color w:val="auto"/>
          <w:spacing w:val="-2"/>
          <w:sz w:val="28"/>
          <w:szCs w:val="28"/>
          <w:highlight w:val="none"/>
        </w:rPr>
        <w:t>%以上，故障修复</w:t>
      </w:r>
      <w:r>
        <w:rPr>
          <w:rFonts w:hint="eastAsia" w:ascii="宋体" w:hAnsi="宋体" w:eastAsia="宋体" w:cs="宋体"/>
          <w:b w:val="0"/>
          <w:bCs w:val="0"/>
          <w:color w:val="auto"/>
          <w:spacing w:val="-3"/>
          <w:sz w:val="28"/>
          <w:szCs w:val="28"/>
          <w:highlight w:val="none"/>
        </w:rPr>
        <w:t>及时率</w:t>
      </w:r>
      <w:r>
        <w:rPr>
          <w:rFonts w:hint="eastAsia" w:ascii="宋体" w:hAnsi="宋体" w:eastAsia="宋体" w:cs="宋体"/>
          <w:b w:val="0"/>
          <w:bCs w:val="0"/>
          <w:color w:val="auto"/>
          <w:spacing w:val="-3"/>
          <w:sz w:val="28"/>
          <w:szCs w:val="28"/>
          <w:highlight w:val="none"/>
          <w:lang w:val="en-US" w:eastAsia="zh-CN"/>
        </w:rPr>
        <w:t>93</w:t>
      </w:r>
      <w:r>
        <w:rPr>
          <w:rFonts w:hint="eastAsia" w:ascii="宋体" w:hAnsi="宋体" w:eastAsia="宋体" w:cs="宋体"/>
          <w:b w:val="0"/>
          <w:bCs w:val="0"/>
          <w:color w:val="auto"/>
          <w:spacing w:val="-3"/>
          <w:sz w:val="28"/>
          <w:szCs w:val="28"/>
          <w:highlight w:val="none"/>
        </w:rPr>
        <w:t>%。</w:t>
      </w:r>
    </w:p>
    <w:p w14:paraId="55544274">
      <w:pPr>
        <w:pStyle w:val="4"/>
        <w:keepNext w:val="0"/>
        <w:keepLines w:val="0"/>
        <w:pageBreakBefore w:val="0"/>
        <w:kinsoku/>
        <w:wordWrap/>
        <w:overflowPunct/>
        <w:topLinePunct w:val="0"/>
        <w:bidi w:val="0"/>
        <w:spacing w:before="0" w:line="360" w:lineRule="auto"/>
        <w:ind w:left="0" w:right="0" w:firstLine="552" w:firstLineChars="200"/>
        <w:rPr>
          <w:rFonts w:hint="eastAsia" w:ascii="宋体" w:hAnsi="宋体" w:eastAsia="宋体" w:cs="宋体"/>
          <w:b w:val="0"/>
          <w:bCs w:val="0"/>
          <w:color w:val="auto"/>
          <w:spacing w:val="-6"/>
          <w:sz w:val="28"/>
          <w:szCs w:val="28"/>
          <w:highlight w:val="none"/>
        </w:rPr>
      </w:pPr>
      <w:r>
        <w:rPr>
          <w:rFonts w:hint="eastAsia" w:ascii="宋体" w:hAnsi="宋体" w:eastAsia="宋体" w:cs="宋体"/>
          <w:b w:val="0"/>
          <w:bCs w:val="0"/>
          <w:color w:val="auto"/>
          <w:spacing w:val="-2"/>
          <w:sz w:val="28"/>
          <w:szCs w:val="28"/>
          <w:highlight w:val="none"/>
        </w:rPr>
        <w:t>（10）每周对各景观亮化情况进行信息采集，相关情况以书面形式及时反馈</w:t>
      </w:r>
      <w:r>
        <w:rPr>
          <w:rFonts w:hint="eastAsia" w:ascii="宋体" w:hAnsi="宋体" w:eastAsia="宋体" w:cs="宋体"/>
          <w:b w:val="0"/>
          <w:bCs w:val="0"/>
          <w:color w:val="auto"/>
          <w:spacing w:val="-6"/>
          <w:sz w:val="28"/>
          <w:szCs w:val="28"/>
          <w:highlight w:val="none"/>
        </w:rPr>
        <w:t>给</w:t>
      </w:r>
      <w:r>
        <w:rPr>
          <w:rFonts w:hint="eastAsia" w:ascii="宋体" w:hAnsi="宋体" w:eastAsia="宋体" w:cs="宋体"/>
          <w:b w:val="0"/>
          <w:bCs w:val="0"/>
          <w:color w:val="auto"/>
          <w:spacing w:val="-6"/>
          <w:sz w:val="28"/>
          <w:szCs w:val="28"/>
          <w:highlight w:val="none"/>
          <w:lang w:eastAsia="zh-CN"/>
        </w:rPr>
        <w:t>采购人</w:t>
      </w:r>
      <w:r>
        <w:rPr>
          <w:rFonts w:hint="eastAsia" w:ascii="宋体" w:hAnsi="宋体" w:eastAsia="宋体" w:cs="宋体"/>
          <w:b w:val="0"/>
          <w:bCs w:val="0"/>
          <w:color w:val="auto"/>
          <w:spacing w:val="-6"/>
          <w:sz w:val="28"/>
          <w:szCs w:val="28"/>
          <w:highlight w:val="none"/>
        </w:rPr>
        <w:t>。</w:t>
      </w:r>
    </w:p>
    <w:p w14:paraId="5B8E9C51">
      <w:pPr>
        <w:pStyle w:val="4"/>
        <w:keepNext w:val="0"/>
        <w:keepLines w:val="0"/>
        <w:pageBreakBefore w:val="0"/>
        <w:kinsoku/>
        <w:wordWrap/>
        <w:overflowPunct/>
        <w:topLinePunct w:val="0"/>
        <w:bidi w:val="0"/>
        <w:spacing w:before="0" w:line="360" w:lineRule="auto"/>
        <w:ind w:left="0" w:right="0" w:firstLine="536" w:firstLineChars="200"/>
        <w:rPr>
          <w:rFonts w:hint="eastAsia" w:ascii="宋体" w:hAnsi="宋体" w:eastAsia="宋体" w:cs="宋体"/>
          <w:b w:val="0"/>
          <w:bCs w:val="0"/>
          <w:color w:val="auto"/>
          <w:spacing w:val="-6"/>
          <w:sz w:val="28"/>
          <w:szCs w:val="28"/>
          <w:highlight w:val="none"/>
          <w:lang w:val="en-US" w:eastAsia="zh-CN"/>
        </w:rPr>
      </w:pPr>
      <w:r>
        <w:rPr>
          <w:rFonts w:hint="eastAsia" w:ascii="宋体" w:hAnsi="宋体" w:eastAsia="宋体" w:cs="宋体"/>
          <w:b w:val="0"/>
          <w:bCs w:val="0"/>
          <w:color w:val="auto"/>
          <w:spacing w:val="-6"/>
          <w:sz w:val="28"/>
          <w:szCs w:val="28"/>
          <w:highlight w:val="none"/>
          <w:lang w:eastAsia="zh-CN"/>
        </w:rPr>
        <w:t>（</w:t>
      </w:r>
      <w:r>
        <w:rPr>
          <w:rFonts w:hint="eastAsia" w:ascii="宋体" w:hAnsi="宋体" w:eastAsia="宋体" w:cs="宋体"/>
          <w:b w:val="0"/>
          <w:bCs w:val="0"/>
          <w:color w:val="auto"/>
          <w:spacing w:val="-6"/>
          <w:sz w:val="28"/>
          <w:szCs w:val="28"/>
          <w:highlight w:val="none"/>
          <w:lang w:val="en-US" w:eastAsia="zh-CN"/>
        </w:rPr>
        <w:t>11</w:t>
      </w:r>
      <w:r>
        <w:rPr>
          <w:rFonts w:hint="eastAsia" w:ascii="宋体" w:hAnsi="宋体" w:eastAsia="宋体" w:cs="宋体"/>
          <w:b w:val="0"/>
          <w:bCs w:val="0"/>
          <w:color w:val="auto"/>
          <w:spacing w:val="-6"/>
          <w:sz w:val="28"/>
          <w:szCs w:val="28"/>
          <w:highlight w:val="none"/>
          <w:lang w:eastAsia="zh-CN"/>
        </w:rPr>
        <w:t>）</w:t>
      </w:r>
      <w:r>
        <w:rPr>
          <w:rFonts w:hint="eastAsia" w:ascii="宋体" w:hAnsi="宋体" w:eastAsia="宋体" w:cs="宋体"/>
          <w:b w:val="0"/>
          <w:bCs w:val="0"/>
          <w:color w:val="auto"/>
          <w:spacing w:val="-6"/>
          <w:sz w:val="28"/>
          <w:szCs w:val="28"/>
          <w:highlight w:val="none"/>
          <w:lang w:val="en-US" w:eastAsia="zh-CN"/>
        </w:rPr>
        <w:t>在本项目服务过程中，成交单位的服务人员对采购人进行人身攻击、侮辱及肢体冲突等恶性行为的，采购人有权单方面终止本项目服务合同。</w:t>
      </w:r>
    </w:p>
    <w:p w14:paraId="6A8130F1">
      <w:pPr>
        <w:pStyle w:val="4"/>
        <w:keepNext w:val="0"/>
        <w:keepLines w:val="0"/>
        <w:pageBreakBefore w:val="0"/>
        <w:kinsoku/>
        <w:wordWrap/>
        <w:overflowPunct/>
        <w:topLinePunct w:val="0"/>
        <w:bidi w:val="0"/>
        <w:spacing w:before="0" w:line="360" w:lineRule="auto"/>
        <w:ind w:left="0" w:right="0" w:firstLine="536" w:firstLineChars="200"/>
        <w:rPr>
          <w:rFonts w:hint="eastAsia" w:ascii="宋体" w:hAnsi="宋体" w:eastAsia="宋体" w:cs="宋体"/>
          <w:b w:val="0"/>
          <w:bCs w:val="0"/>
          <w:color w:val="auto"/>
          <w:spacing w:val="-6"/>
          <w:sz w:val="28"/>
          <w:szCs w:val="28"/>
          <w:highlight w:val="none"/>
          <w:lang w:val="en-US" w:eastAsia="zh-CN"/>
        </w:rPr>
      </w:pPr>
      <w:r>
        <w:rPr>
          <w:rFonts w:hint="eastAsia" w:ascii="宋体" w:hAnsi="宋体" w:eastAsia="宋体" w:cs="宋体"/>
          <w:b w:val="0"/>
          <w:bCs w:val="0"/>
          <w:color w:val="auto"/>
          <w:spacing w:val="-6"/>
          <w:sz w:val="28"/>
          <w:szCs w:val="28"/>
          <w:highlight w:val="none"/>
          <w:lang w:val="en-US" w:eastAsia="zh-CN"/>
        </w:rPr>
        <w:t>（12） 成交供应商对本项目作业人员的人身安全承担全部责任，负责作业人员的安全教育、安全防护、劳动保护及安全管理，若发生人身伤亡事故，一切法律责任、经济赔偿均由成交供应商自行承担，与采购人无关。</w:t>
      </w:r>
    </w:p>
    <w:p w14:paraId="052C04FC">
      <w:pPr>
        <w:pStyle w:val="4"/>
        <w:keepNext w:val="0"/>
        <w:keepLines w:val="0"/>
        <w:pageBreakBefore w:val="0"/>
        <w:kinsoku/>
        <w:wordWrap/>
        <w:overflowPunct/>
        <w:topLinePunct w:val="0"/>
        <w:bidi w:val="0"/>
        <w:spacing w:before="0" w:line="360" w:lineRule="auto"/>
        <w:ind w:left="0" w:right="0" w:firstLine="536" w:firstLineChars="200"/>
        <w:rPr>
          <w:rFonts w:hint="eastAsia" w:ascii="宋体" w:hAnsi="宋体" w:eastAsia="宋体" w:cs="宋体"/>
          <w:b w:val="0"/>
          <w:bCs w:val="0"/>
          <w:color w:val="auto"/>
          <w:spacing w:val="-6"/>
          <w:sz w:val="28"/>
          <w:szCs w:val="28"/>
          <w:highlight w:val="none"/>
          <w:lang w:val="en-US" w:eastAsia="zh-CN"/>
        </w:rPr>
      </w:pPr>
      <w:r>
        <w:rPr>
          <w:rFonts w:hint="eastAsia" w:ascii="宋体" w:hAnsi="宋体" w:eastAsia="宋体" w:cs="宋体"/>
          <w:b w:val="0"/>
          <w:bCs w:val="0"/>
          <w:color w:val="auto"/>
          <w:spacing w:val="-6"/>
          <w:sz w:val="28"/>
          <w:szCs w:val="28"/>
          <w:highlight w:val="none"/>
          <w:lang w:val="en-US" w:eastAsia="zh-CN"/>
        </w:rPr>
        <w:t>（13）成交供应商全权负责项目实施过程中所有作业人员的人身安全，承担因安全管理不到位、违规作业等引发的一切安全事故责任及相关赔偿费用。</w:t>
      </w:r>
    </w:p>
    <w:p w14:paraId="7C15643C">
      <w:pPr>
        <w:pStyle w:val="4"/>
        <w:keepNext w:val="0"/>
        <w:keepLines w:val="0"/>
        <w:pageBreakBefore w:val="0"/>
        <w:kinsoku/>
        <w:wordWrap/>
        <w:overflowPunct/>
        <w:topLinePunct w:val="0"/>
        <w:bidi w:val="0"/>
        <w:spacing w:before="0" w:line="360" w:lineRule="auto"/>
        <w:ind w:left="0" w:right="0" w:firstLine="536" w:firstLineChars="200"/>
        <w:rPr>
          <w:rFonts w:hint="eastAsia" w:ascii="宋体" w:hAnsi="宋体" w:eastAsia="宋体" w:cs="宋体"/>
          <w:b w:val="0"/>
          <w:bCs w:val="0"/>
          <w:color w:val="auto"/>
          <w:spacing w:val="-6"/>
          <w:sz w:val="28"/>
          <w:szCs w:val="28"/>
          <w:highlight w:val="none"/>
          <w:lang w:val="en-US" w:eastAsia="zh-CN"/>
        </w:rPr>
      </w:pPr>
      <w:r>
        <w:rPr>
          <w:rFonts w:hint="eastAsia" w:ascii="宋体" w:hAnsi="宋体" w:eastAsia="宋体" w:cs="宋体"/>
          <w:b w:val="0"/>
          <w:bCs w:val="0"/>
          <w:color w:val="auto"/>
          <w:spacing w:val="-6"/>
          <w:sz w:val="28"/>
          <w:szCs w:val="28"/>
          <w:highlight w:val="none"/>
          <w:lang w:val="en-US" w:eastAsia="zh-CN"/>
        </w:rPr>
        <w:t>（14）成交供应商须为项目作业人员购买足额人身意外伤害保险及工伤保险，作业人员人身安全由成交供应商负全责，采购人不承担任何安全事故连带责任。</w:t>
      </w:r>
    </w:p>
    <w:p w14:paraId="4A945ECA">
      <w:pPr>
        <w:pStyle w:val="4"/>
        <w:keepNext w:val="0"/>
        <w:keepLines w:val="0"/>
        <w:pageBreakBefore w:val="0"/>
        <w:kinsoku/>
        <w:wordWrap/>
        <w:overflowPunct/>
        <w:topLinePunct w:val="0"/>
        <w:bidi w:val="0"/>
        <w:spacing w:before="0" w:line="360" w:lineRule="auto"/>
        <w:ind w:left="0" w:right="0" w:firstLine="542" w:firstLineChars="200"/>
        <w:rPr>
          <w:rFonts w:hint="eastAsia" w:ascii="宋体" w:hAnsi="宋体" w:eastAsia="宋体" w:cs="宋体"/>
          <w:color w:val="auto"/>
          <w:sz w:val="28"/>
          <w:szCs w:val="28"/>
          <w:highlight w:val="none"/>
        </w:rPr>
      </w:pPr>
      <w:r>
        <w:rPr>
          <w:rFonts w:hint="eastAsia" w:ascii="宋体" w:hAnsi="宋体" w:eastAsia="宋体" w:cs="宋体"/>
          <w:b/>
          <w:bCs/>
          <w:color w:val="auto"/>
          <w:spacing w:val="-5"/>
          <w:sz w:val="28"/>
          <w:szCs w:val="28"/>
          <w:highlight w:val="none"/>
        </w:rPr>
        <w:t>（1</w:t>
      </w:r>
      <w:r>
        <w:rPr>
          <w:rFonts w:hint="eastAsia" w:ascii="宋体" w:hAnsi="宋体" w:eastAsia="宋体" w:cs="宋体"/>
          <w:b/>
          <w:bCs/>
          <w:color w:val="auto"/>
          <w:spacing w:val="-5"/>
          <w:sz w:val="28"/>
          <w:szCs w:val="28"/>
          <w:highlight w:val="none"/>
          <w:lang w:val="en-US" w:eastAsia="zh-CN"/>
        </w:rPr>
        <w:t>3</w:t>
      </w:r>
      <w:r>
        <w:rPr>
          <w:rFonts w:hint="eastAsia" w:ascii="宋体" w:hAnsi="宋体" w:eastAsia="宋体" w:cs="宋体"/>
          <w:b/>
          <w:bCs/>
          <w:color w:val="auto"/>
          <w:spacing w:val="-5"/>
          <w:sz w:val="28"/>
          <w:szCs w:val="28"/>
          <w:highlight w:val="none"/>
        </w:rPr>
        <w:t>）签订合同时，成交供应商须将本项目服务人员社保证明和为本项目服</w:t>
      </w:r>
      <w:r>
        <w:rPr>
          <w:rFonts w:hint="eastAsia" w:ascii="宋体" w:hAnsi="宋体" w:eastAsia="宋体" w:cs="宋体"/>
          <w:b/>
          <w:bCs/>
          <w:color w:val="auto"/>
          <w:spacing w:val="-3"/>
          <w:sz w:val="28"/>
          <w:szCs w:val="28"/>
          <w:highlight w:val="none"/>
        </w:rPr>
        <w:t>务人员购买人身意外保险的材料复印件加盖公章作为合同附件。</w:t>
      </w:r>
    </w:p>
    <w:p w14:paraId="19E780B1">
      <w:pPr>
        <w:pStyle w:val="4"/>
        <w:keepNext w:val="0"/>
        <w:keepLines w:val="0"/>
        <w:pageBreakBefore w:val="0"/>
        <w:kinsoku/>
        <w:wordWrap/>
        <w:overflowPunct/>
        <w:topLinePunct w:val="0"/>
        <w:bidi w:val="0"/>
        <w:spacing w:before="0" w:line="360" w:lineRule="auto"/>
        <w:ind w:left="0" w:right="0" w:firstLine="542" w:firstLineChars="200"/>
        <w:rPr>
          <w:rFonts w:hint="eastAsia" w:ascii="宋体" w:hAnsi="宋体" w:eastAsia="宋体" w:cs="宋体"/>
          <w:color w:val="auto"/>
          <w:sz w:val="28"/>
          <w:szCs w:val="28"/>
          <w:highlight w:val="none"/>
        </w:rPr>
      </w:pPr>
      <w:r>
        <w:rPr>
          <w:rFonts w:hint="eastAsia" w:ascii="宋体" w:hAnsi="宋体" w:eastAsia="宋体" w:cs="宋体"/>
          <w:b/>
          <w:bCs/>
          <w:color w:val="auto"/>
          <w:spacing w:val="-5"/>
          <w:sz w:val="28"/>
          <w:szCs w:val="28"/>
          <w:highlight w:val="none"/>
        </w:rPr>
        <w:t>（</w:t>
      </w:r>
      <w:r>
        <w:rPr>
          <w:rFonts w:hint="eastAsia" w:ascii="宋体" w:hAnsi="宋体" w:eastAsia="宋体" w:cs="宋体"/>
          <w:b/>
          <w:bCs/>
          <w:color w:val="auto"/>
          <w:spacing w:val="-5"/>
          <w:sz w:val="28"/>
          <w:szCs w:val="28"/>
          <w:highlight w:val="none"/>
          <w:lang w:val="en-US" w:eastAsia="zh-CN"/>
        </w:rPr>
        <w:t>六</w:t>
      </w:r>
      <w:r>
        <w:rPr>
          <w:rFonts w:hint="eastAsia" w:ascii="宋体" w:hAnsi="宋体" w:eastAsia="宋体" w:cs="宋体"/>
          <w:b/>
          <w:bCs/>
          <w:color w:val="auto"/>
          <w:spacing w:val="-5"/>
          <w:sz w:val="28"/>
          <w:szCs w:val="28"/>
          <w:highlight w:val="none"/>
        </w:rPr>
        <w:t>）考核标准</w:t>
      </w:r>
    </w:p>
    <w:p w14:paraId="16E3232D">
      <w:pPr>
        <w:pStyle w:val="4"/>
        <w:keepNext w:val="0"/>
        <w:keepLines w:val="0"/>
        <w:pageBreakBefore w:val="0"/>
        <w:kinsoku/>
        <w:wordWrap/>
        <w:overflowPunct/>
        <w:topLinePunct w:val="0"/>
        <w:bidi w:val="0"/>
        <w:spacing w:before="0" w:line="360" w:lineRule="auto"/>
        <w:ind w:left="0" w:right="0" w:firstLine="552" w:firstLineChars="200"/>
        <w:rPr>
          <w:rFonts w:hint="eastAsia" w:ascii="宋体" w:hAnsi="宋体" w:eastAsia="宋体" w:cs="宋体"/>
          <w:color w:val="auto"/>
          <w:sz w:val="28"/>
          <w:szCs w:val="28"/>
          <w:highlight w:val="none"/>
        </w:rPr>
      </w:pPr>
      <w:r>
        <w:rPr>
          <w:rFonts w:hint="eastAsia" w:ascii="宋体" w:hAnsi="宋体" w:eastAsia="宋体" w:cs="宋体"/>
          <w:color w:val="auto"/>
          <w:spacing w:val="-2"/>
          <w:sz w:val="28"/>
          <w:szCs w:val="28"/>
          <w:highlight w:val="none"/>
        </w:rPr>
        <w:t>成交供应商的检查考核采取采购人每月不定时抽查方式</w:t>
      </w:r>
      <w:r>
        <w:rPr>
          <w:rFonts w:hint="eastAsia" w:ascii="宋体" w:hAnsi="宋体" w:eastAsia="宋体" w:cs="宋体"/>
          <w:color w:val="auto"/>
          <w:spacing w:val="-3"/>
          <w:sz w:val="28"/>
          <w:szCs w:val="28"/>
          <w:highlight w:val="none"/>
        </w:rPr>
        <w:t>考核，每</w:t>
      </w:r>
      <w:r>
        <w:rPr>
          <w:rFonts w:hint="eastAsia" w:ascii="宋体" w:hAnsi="宋体" w:eastAsia="宋体" w:cs="宋体"/>
          <w:color w:val="auto"/>
          <w:spacing w:val="-3"/>
          <w:sz w:val="28"/>
          <w:szCs w:val="28"/>
          <w:highlight w:val="none"/>
          <w:lang w:val="en-US" w:eastAsia="zh-CN"/>
        </w:rPr>
        <w:t>两个月</w:t>
      </w:r>
      <w:r>
        <w:rPr>
          <w:rFonts w:hint="eastAsia" w:ascii="宋体" w:hAnsi="宋体" w:eastAsia="宋体" w:cs="宋体"/>
          <w:color w:val="auto"/>
          <w:spacing w:val="-3"/>
          <w:sz w:val="28"/>
          <w:szCs w:val="28"/>
          <w:highlight w:val="none"/>
        </w:rPr>
        <w:t>按考核</w:t>
      </w:r>
      <w:r>
        <w:rPr>
          <w:rFonts w:hint="eastAsia" w:ascii="宋体" w:hAnsi="宋体" w:eastAsia="宋体" w:cs="宋体"/>
          <w:color w:val="auto"/>
          <w:spacing w:val="-4"/>
          <w:sz w:val="28"/>
          <w:szCs w:val="28"/>
          <w:highlight w:val="none"/>
        </w:rPr>
        <w:t>情况支付费用。</w:t>
      </w:r>
    </w:p>
    <w:p w14:paraId="5CF12B2B">
      <w:pPr>
        <w:pStyle w:val="4"/>
        <w:keepNext w:val="0"/>
        <w:keepLines w:val="0"/>
        <w:pageBreakBefore w:val="0"/>
        <w:kinsoku/>
        <w:wordWrap/>
        <w:overflowPunct/>
        <w:topLinePunct w:val="0"/>
        <w:bidi w:val="0"/>
        <w:spacing w:before="0" w:line="360" w:lineRule="auto"/>
        <w:ind w:left="0" w:right="0" w:firstLine="552" w:firstLineChars="200"/>
        <w:rPr>
          <w:rFonts w:hint="eastAsia" w:ascii="宋体" w:hAnsi="宋体" w:eastAsia="宋体" w:cs="宋体"/>
          <w:color w:val="auto"/>
          <w:sz w:val="28"/>
          <w:szCs w:val="28"/>
          <w:highlight w:val="none"/>
        </w:rPr>
      </w:pPr>
      <w:r>
        <w:rPr>
          <w:rFonts w:hint="eastAsia" w:ascii="宋体" w:hAnsi="宋体" w:eastAsia="宋体" w:cs="宋体"/>
          <w:color w:val="auto"/>
          <w:spacing w:val="-2"/>
          <w:sz w:val="28"/>
          <w:szCs w:val="28"/>
          <w:highlight w:val="none"/>
        </w:rPr>
        <w:t>亮化设施考核评分标准、内容和评分表</w:t>
      </w:r>
    </w:p>
    <w:tbl>
      <w:tblPr>
        <w:tblStyle w:val="8"/>
        <w:tblW w:w="991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39"/>
        <w:gridCol w:w="1331"/>
        <w:gridCol w:w="3715"/>
        <w:gridCol w:w="2135"/>
        <w:gridCol w:w="959"/>
        <w:gridCol w:w="731"/>
      </w:tblGrid>
      <w:tr w14:paraId="14E6D6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2370" w:type="dxa"/>
            <w:gridSpan w:val="2"/>
            <w:vAlign w:val="center"/>
          </w:tcPr>
          <w:p w14:paraId="0EF6B73A">
            <w:pPr>
              <w:bidi w:val="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考核项目</w:t>
            </w:r>
          </w:p>
        </w:tc>
        <w:tc>
          <w:tcPr>
            <w:tcW w:w="3715" w:type="dxa"/>
            <w:vAlign w:val="center"/>
          </w:tcPr>
          <w:p w14:paraId="74E80239">
            <w:pPr>
              <w:bidi w:val="0"/>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考核内容</w:t>
            </w:r>
          </w:p>
        </w:tc>
        <w:tc>
          <w:tcPr>
            <w:tcW w:w="2135" w:type="dxa"/>
            <w:vAlign w:val="center"/>
          </w:tcPr>
          <w:p w14:paraId="0CF5AE99">
            <w:pPr>
              <w:pStyle w:val="7"/>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评分标准</w:t>
            </w:r>
          </w:p>
        </w:tc>
        <w:tc>
          <w:tcPr>
            <w:tcW w:w="959" w:type="dxa"/>
            <w:vAlign w:val="center"/>
          </w:tcPr>
          <w:p w14:paraId="2CD4CB5A">
            <w:pPr>
              <w:spacing w:before="45" w:line="223"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lang w:val="en-US" w:eastAsia="zh-CN"/>
              </w:rPr>
              <w:t>检查</w:t>
            </w:r>
            <w:r>
              <w:rPr>
                <w:rFonts w:hint="eastAsia" w:ascii="宋体" w:hAnsi="宋体" w:eastAsia="宋体" w:cs="宋体"/>
                <w:color w:val="auto"/>
                <w:spacing w:val="-12"/>
                <w:sz w:val="24"/>
                <w:szCs w:val="24"/>
                <w:highlight w:val="none"/>
              </w:rPr>
              <w:t>情况</w:t>
            </w:r>
          </w:p>
        </w:tc>
        <w:tc>
          <w:tcPr>
            <w:tcW w:w="731" w:type="dxa"/>
            <w:vAlign w:val="center"/>
          </w:tcPr>
          <w:p w14:paraId="4102C976">
            <w:pPr>
              <w:spacing w:before="46" w:line="224"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得</w:t>
            </w:r>
            <w:r>
              <w:rPr>
                <w:rFonts w:hint="eastAsia" w:ascii="宋体" w:hAnsi="宋体" w:eastAsia="宋体" w:cs="宋体"/>
                <w:color w:val="auto"/>
                <w:sz w:val="24"/>
                <w:szCs w:val="24"/>
                <w:highlight w:val="none"/>
              </w:rPr>
              <w:t>分</w:t>
            </w:r>
          </w:p>
        </w:tc>
      </w:tr>
      <w:tr w14:paraId="0D7183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3" w:hRule="atLeast"/>
        </w:trPr>
        <w:tc>
          <w:tcPr>
            <w:tcW w:w="2370" w:type="dxa"/>
            <w:gridSpan w:val="2"/>
            <w:vAlign w:val="center"/>
          </w:tcPr>
          <w:p w14:paraId="582DC1F4">
            <w:pPr>
              <w:spacing w:before="312" w:line="361" w:lineRule="auto"/>
              <w:ind w:right="128"/>
              <w:jc w:val="center"/>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维护质量考核</w:t>
            </w:r>
          </w:p>
          <w:p w14:paraId="6A714289">
            <w:pPr>
              <w:spacing w:before="312" w:line="361" w:lineRule="auto"/>
              <w:ind w:left="394" w:right="128" w:hanging="239"/>
              <w:jc w:val="center"/>
              <w:rPr>
                <w:rFonts w:hint="eastAsia" w:ascii="宋体" w:hAnsi="宋体" w:eastAsia="宋体" w:cs="宋体"/>
                <w:color w:val="auto"/>
                <w:sz w:val="24"/>
                <w:szCs w:val="24"/>
                <w:highlight w:val="none"/>
                <w:lang w:val="en-US" w:eastAsia="zh-CN"/>
              </w:rPr>
            </w:pPr>
            <w:r>
              <w:rPr>
                <w:rFonts w:hint="eastAsia" w:ascii="宋体" w:hAnsi="宋体" w:cs="宋体"/>
                <w:color w:val="auto"/>
                <w:spacing w:val="-4"/>
                <w:sz w:val="24"/>
                <w:szCs w:val="24"/>
                <w:highlight w:val="none"/>
                <w:lang w:eastAsia="zh-CN"/>
              </w:rPr>
              <w:t>（</w:t>
            </w:r>
            <w:r>
              <w:rPr>
                <w:rFonts w:hint="eastAsia" w:ascii="宋体" w:hAnsi="宋体" w:cs="宋体"/>
                <w:color w:val="auto"/>
                <w:spacing w:val="-4"/>
                <w:sz w:val="24"/>
                <w:szCs w:val="24"/>
                <w:highlight w:val="none"/>
                <w:lang w:val="en-US" w:eastAsia="zh-CN"/>
              </w:rPr>
              <w:t>30分</w:t>
            </w:r>
            <w:r>
              <w:rPr>
                <w:rFonts w:hint="eastAsia" w:ascii="宋体" w:hAnsi="宋体" w:cs="宋体"/>
                <w:color w:val="auto"/>
                <w:spacing w:val="-4"/>
                <w:sz w:val="24"/>
                <w:szCs w:val="24"/>
                <w:highlight w:val="none"/>
                <w:lang w:eastAsia="zh-CN"/>
              </w:rPr>
              <w:t>）</w:t>
            </w:r>
          </w:p>
        </w:tc>
        <w:tc>
          <w:tcPr>
            <w:tcW w:w="3715" w:type="dxa"/>
            <w:vAlign w:val="center"/>
          </w:tcPr>
          <w:p w14:paraId="6107D76A">
            <w:pPr>
              <w:spacing w:before="42" w:line="220" w:lineRule="auto"/>
              <w:ind w:left="15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出现报修设施在维护完成之</w:t>
            </w:r>
            <w:r>
              <w:rPr>
                <w:rFonts w:hint="eastAsia" w:ascii="宋体" w:hAnsi="宋体" w:eastAsia="宋体" w:cs="宋体"/>
                <w:color w:val="auto"/>
                <w:spacing w:val="-5"/>
                <w:sz w:val="24"/>
                <w:szCs w:val="24"/>
                <w:highlight w:val="none"/>
              </w:rPr>
              <w:t>后</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5"/>
                <w:sz w:val="24"/>
                <w:szCs w:val="24"/>
                <w:highlight w:val="none"/>
              </w:rPr>
              <w:t>3</w:t>
            </w:r>
            <w:r>
              <w:rPr>
                <w:rFonts w:hint="eastAsia" w:ascii="宋体" w:hAnsi="宋体" w:eastAsia="宋体" w:cs="宋体"/>
                <w:color w:val="auto"/>
                <w:spacing w:val="-55"/>
                <w:sz w:val="24"/>
                <w:szCs w:val="24"/>
                <w:highlight w:val="none"/>
              </w:rPr>
              <w:t xml:space="preserve"> </w:t>
            </w:r>
            <w:r>
              <w:rPr>
                <w:rFonts w:hint="eastAsia" w:ascii="宋体" w:hAnsi="宋体" w:eastAsia="宋体" w:cs="宋体"/>
                <w:color w:val="auto"/>
                <w:spacing w:val="-5"/>
                <w:sz w:val="24"/>
                <w:szCs w:val="24"/>
                <w:highlight w:val="none"/>
              </w:rPr>
              <w:t>天内再次因非事故原因不</w:t>
            </w:r>
            <w:r>
              <w:rPr>
                <w:rFonts w:hint="eastAsia" w:ascii="宋体" w:hAnsi="宋体" w:eastAsia="宋体" w:cs="宋体"/>
                <w:color w:val="auto"/>
                <w:spacing w:val="-3"/>
                <w:sz w:val="24"/>
                <w:szCs w:val="24"/>
                <w:highlight w:val="none"/>
              </w:rPr>
              <w:t>亮或需要报修的情况</w:t>
            </w:r>
            <w:r>
              <w:rPr>
                <w:rFonts w:hint="eastAsia" w:ascii="宋体" w:hAnsi="宋体" w:cs="宋体"/>
                <w:color w:val="auto"/>
                <w:spacing w:val="-3"/>
                <w:sz w:val="24"/>
                <w:szCs w:val="24"/>
                <w:highlight w:val="none"/>
                <w:lang w:eastAsia="zh-CN"/>
              </w:rPr>
              <w:t>。</w:t>
            </w:r>
          </w:p>
        </w:tc>
        <w:tc>
          <w:tcPr>
            <w:tcW w:w="2135" w:type="dxa"/>
            <w:vAlign w:val="center"/>
          </w:tcPr>
          <w:p w14:paraId="62235A12">
            <w:pPr>
              <w:spacing w:before="312" w:line="361" w:lineRule="auto"/>
              <w:ind w:left="128" w:right="229" w:firstLine="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7"/>
                <w:sz w:val="24"/>
                <w:szCs w:val="24"/>
                <w:highlight w:val="none"/>
              </w:rPr>
              <w:t>发现一次情况扣</w:t>
            </w:r>
            <w:r>
              <w:rPr>
                <w:rFonts w:hint="eastAsia" w:ascii="宋体" w:hAnsi="宋体" w:cs="宋体"/>
                <w:color w:val="auto"/>
                <w:spacing w:val="-35"/>
                <w:sz w:val="24"/>
                <w:szCs w:val="24"/>
                <w:highlight w:val="none"/>
                <w:lang w:val="en-US" w:eastAsia="zh-CN"/>
              </w:rPr>
              <w:t>1</w:t>
            </w:r>
            <w:r>
              <w:rPr>
                <w:rFonts w:hint="eastAsia" w:ascii="宋体" w:hAnsi="宋体" w:eastAsia="宋体" w:cs="宋体"/>
                <w:color w:val="auto"/>
                <w:sz w:val="24"/>
                <w:szCs w:val="24"/>
                <w:highlight w:val="none"/>
              </w:rPr>
              <w:t>分</w:t>
            </w:r>
            <w:r>
              <w:rPr>
                <w:rFonts w:hint="eastAsia" w:ascii="宋体" w:hAnsi="宋体" w:cs="宋体"/>
                <w:color w:val="auto"/>
                <w:highlight w:val="none"/>
                <w:lang w:eastAsia="zh-CN"/>
              </w:rPr>
              <w:t>。</w:t>
            </w:r>
          </w:p>
        </w:tc>
        <w:tc>
          <w:tcPr>
            <w:tcW w:w="959" w:type="dxa"/>
            <w:vAlign w:val="top"/>
          </w:tcPr>
          <w:p w14:paraId="7BAE8924">
            <w:pPr>
              <w:pStyle w:val="7"/>
              <w:rPr>
                <w:rFonts w:hint="eastAsia" w:ascii="宋体" w:hAnsi="宋体" w:eastAsia="宋体" w:cs="宋体"/>
                <w:color w:val="auto"/>
                <w:sz w:val="24"/>
                <w:szCs w:val="24"/>
                <w:highlight w:val="none"/>
              </w:rPr>
            </w:pPr>
          </w:p>
        </w:tc>
        <w:tc>
          <w:tcPr>
            <w:tcW w:w="731" w:type="dxa"/>
            <w:vAlign w:val="top"/>
          </w:tcPr>
          <w:p w14:paraId="219CFFE5">
            <w:pPr>
              <w:pStyle w:val="7"/>
              <w:rPr>
                <w:rFonts w:hint="eastAsia" w:ascii="宋体" w:hAnsi="宋体" w:eastAsia="宋体" w:cs="宋体"/>
                <w:color w:val="auto"/>
                <w:sz w:val="24"/>
                <w:szCs w:val="24"/>
                <w:highlight w:val="none"/>
              </w:rPr>
            </w:pPr>
          </w:p>
        </w:tc>
      </w:tr>
      <w:tr w14:paraId="764B9E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19" w:hRule="atLeast"/>
        </w:trPr>
        <w:tc>
          <w:tcPr>
            <w:tcW w:w="2370" w:type="dxa"/>
            <w:gridSpan w:val="2"/>
            <w:vAlign w:val="center"/>
          </w:tcPr>
          <w:p w14:paraId="6F89B951">
            <w:pPr>
              <w:spacing w:before="314" w:line="360" w:lineRule="auto"/>
              <w:ind w:right="128"/>
              <w:jc w:val="center"/>
              <w:rPr>
                <w:rFonts w:hint="eastAsia" w:ascii="宋体" w:hAnsi="宋体" w:eastAsia="宋体" w:cs="宋体"/>
                <w:color w:val="auto"/>
                <w:spacing w:val="-7"/>
                <w:sz w:val="24"/>
                <w:szCs w:val="24"/>
                <w:highlight w:val="none"/>
              </w:rPr>
            </w:pPr>
            <w:r>
              <w:rPr>
                <w:rFonts w:hint="eastAsia" w:ascii="宋体" w:hAnsi="宋体" w:eastAsia="宋体" w:cs="宋体"/>
                <w:color w:val="auto"/>
                <w:spacing w:val="-4"/>
                <w:sz w:val="24"/>
                <w:szCs w:val="24"/>
                <w:highlight w:val="none"/>
              </w:rPr>
              <w:t>巡查日常</w:t>
            </w:r>
            <w:r>
              <w:rPr>
                <w:rFonts w:hint="eastAsia" w:ascii="宋体" w:hAnsi="宋体" w:eastAsia="宋体" w:cs="宋体"/>
                <w:color w:val="auto"/>
                <w:spacing w:val="-7"/>
                <w:sz w:val="24"/>
                <w:szCs w:val="24"/>
                <w:highlight w:val="none"/>
              </w:rPr>
              <w:t>考核</w:t>
            </w:r>
          </w:p>
          <w:p w14:paraId="0CDE9A2B">
            <w:pPr>
              <w:spacing w:before="314" w:line="360" w:lineRule="auto"/>
              <w:ind w:right="128"/>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w:t>
            </w:r>
            <w:r>
              <w:rPr>
                <w:rFonts w:hint="eastAsia" w:ascii="宋体" w:hAnsi="宋体" w:eastAsia="宋体" w:cs="宋体"/>
                <w:color w:val="auto"/>
                <w:spacing w:val="-7"/>
                <w:sz w:val="24"/>
                <w:szCs w:val="24"/>
                <w:highlight w:val="none"/>
                <w:lang w:val="en-US" w:eastAsia="zh-CN"/>
              </w:rPr>
              <w:t>5</w:t>
            </w:r>
            <w:r>
              <w:rPr>
                <w:rFonts w:hint="eastAsia" w:ascii="宋体" w:hAnsi="宋体" w:eastAsia="宋体" w:cs="宋体"/>
                <w:color w:val="auto"/>
                <w:spacing w:val="-7"/>
                <w:sz w:val="24"/>
                <w:szCs w:val="24"/>
                <w:highlight w:val="none"/>
              </w:rPr>
              <w:t>分）</w:t>
            </w:r>
          </w:p>
        </w:tc>
        <w:tc>
          <w:tcPr>
            <w:tcW w:w="3715" w:type="dxa"/>
            <w:vAlign w:val="center"/>
          </w:tcPr>
          <w:p w14:paraId="2B60A992">
            <w:pPr>
              <w:pStyle w:val="3"/>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rPr>
              <w:t>出现采购人在</w:t>
            </w:r>
            <w:r>
              <w:rPr>
                <w:rFonts w:hint="eastAsia" w:ascii="宋体" w:hAnsi="宋体" w:eastAsia="宋体" w:cs="宋体"/>
                <w:color w:val="auto"/>
                <w:spacing w:val="-2"/>
                <w:sz w:val="24"/>
                <w:szCs w:val="24"/>
                <w:highlight w:val="none"/>
              </w:rPr>
              <w:t>发现同一处设施</w:t>
            </w:r>
            <w:r>
              <w:rPr>
                <w:rFonts w:hint="eastAsia" w:ascii="宋体" w:hAnsi="宋体" w:eastAsia="宋体" w:cs="宋体"/>
                <w:color w:val="auto"/>
                <w:highlight w:val="none"/>
                <w:lang w:val="en-US" w:eastAsia="zh-CN"/>
              </w:rPr>
              <w:t>故障</w:t>
            </w:r>
            <w:r>
              <w:rPr>
                <w:rFonts w:hint="eastAsia" w:ascii="宋体" w:hAnsi="宋体" w:cs="宋体"/>
                <w:color w:val="auto"/>
                <w:highlight w:val="none"/>
                <w:lang w:val="en-US" w:eastAsia="zh-CN"/>
              </w:rPr>
              <w:t>出现</w:t>
            </w:r>
            <w:r>
              <w:rPr>
                <w:rFonts w:hint="eastAsia" w:ascii="宋体" w:hAnsi="宋体" w:eastAsia="宋体" w:cs="宋体"/>
                <w:color w:val="auto"/>
                <w:highlight w:val="none"/>
                <w:lang w:val="en-US" w:eastAsia="zh-CN"/>
              </w:rPr>
              <w:t>已上报但未修复、故障</w:t>
            </w:r>
            <w:r>
              <w:rPr>
                <w:rFonts w:hint="eastAsia" w:ascii="宋体" w:hAnsi="宋体" w:cs="宋体"/>
                <w:color w:val="auto"/>
                <w:highlight w:val="none"/>
                <w:lang w:val="en-US" w:eastAsia="zh-CN"/>
              </w:rPr>
              <w:t>出现</w:t>
            </w:r>
            <w:r>
              <w:rPr>
                <w:rFonts w:hint="eastAsia" w:ascii="宋体" w:hAnsi="宋体" w:eastAsia="宋体" w:cs="宋体"/>
                <w:color w:val="auto"/>
                <w:highlight w:val="none"/>
                <w:lang w:val="en-US" w:eastAsia="zh-CN"/>
              </w:rPr>
              <w:t>但未上报、市民投诉故障、偷盗偷电行为未及时制止、</w:t>
            </w:r>
            <w:r>
              <w:rPr>
                <w:rFonts w:hint="eastAsia" w:ascii="宋体" w:hAnsi="宋体" w:eastAsia="宋体" w:cs="宋体"/>
                <w:color w:val="auto"/>
                <w:highlight w:val="none"/>
                <w:lang w:eastAsia="zh-CN"/>
              </w:rPr>
              <w:t>发现线缆</w:t>
            </w:r>
            <w:r>
              <w:rPr>
                <w:rFonts w:hint="eastAsia" w:ascii="宋体" w:hAnsi="宋体" w:cs="宋体"/>
                <w:color w:val="auto"/>
                <w:highlight w:val="none"/>
                <w:lang w:eastAsia="zh-CN"/>
              </w:rPr>
              <w:t>灯具被盗</w:t>
            </w:r>
            <w:r>
              <w:rPr>
                <w:rFonts w:hint="eastAsia" w:ascii="宋体" w:hAnsi="宋体" w:eastAsia="宋体" w:cs="宋体"/>
                <w:color w:val="auto"/>
                <w:highlight w:val="none"/>
                <w:lang w:eastAsia="zh-CN"/>
              </w:rPr>
              <w:t>未及时报警的情况、</w:t>
            </w:r>
            <w:r>
              <w:rPr>
                <w:rFonts w:hint="eastAsia" w:ascii="宋体" w:hAnsi="宋体" w:eastAsia="宋体" w:cs="宋体"/>
                <w:color w:val="auto"/>
                <w:highlight w:val="none"/>
                <w:lang w:val="en-US" w:eastAsia="zh-CN"/>
              </w:rPr>
              <w:t>未按系统设定的时间及时开关灯</w:t>
            </w:r>
            <w:r>
              <w:rPr>
                <w:rFonts w:hint="eastAsia" w:ascii="宋体" w:hAnsi="宋体" w:cs="宋体"/>
                <w:color w:val="auto"/>
                <w:highlight w:val="none"/>
                <w:lang w:val="en-US" w:eastAsia="zh-CN"/>
              </w:rPr>
              <w:t>等</w:t>
            </w:r>
            <w:r>
              <w:rPr>
                <w:rFonts w:hint="eastAsia" w:ascii="宋体" w:hAnsi="宋体" w:eastAsia="宋体" w:cs="宋体"/>
                <w:color w:val="auto"/>
                <w:spacing w:val="-5"/>
                <w:sz w:val="24"/>
                <w:szCs w:val="24"/>
                <w:highlight w:val="none"/>
              </w:rPr>
              <w:t>情况</w:t>
            </w:r>
            <w:r>
              <w:rPr>
                <w:rFonts w:hint="eastAsia" w:ascii="宋体" w:hAnsi="宋体" w:cs="宋体"/>
                <w:color w:val="auto"/>
                <w:spacing w:val="-5"/>
                <w:sz w:val="24"/>
                <w:szCs w:val="24"/>
                <w:highlight w:val="none"/>
                <w:lang w:eastAsia="zh-CN"/>
              </w:rPr>
              <w:t>。</w:t>
            </w:r>
          </w:p>
        </w:tc>
        <w:tc>
          <w:tcPr>
            <w:tcW w:w="2135" w:type="dxa"/>
            <w:vAlign w:val="center"/>
          </w:tcPr>
          <w:p w14:paraId="4DC6B1D4">
            <w:pPr>
              <w:spacing w:before="313" w:line="361" w:lineRule="auto"/>
              <w:ind w:left="128" w:right="368" w:firstLine="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7"/>
                <w:sz w:val="24"/>
                <w:szCs w:val="24"/>
                <w:highlight w:val="none"/>
              </w:rPr>
              <w:t>发现一次情况</w:t>
            </w:r>
            <w:r>
              <w:rPr>
                <w:rFonts w:hint="eastAsia" w:ascii="宋体" w:hAnsi="宋体" w:cs="宋体"/>
                <w:color w:val="auto"/>
                <w:spacing w:val="-7"/>
                <w:sz w:val="24"/>
                <w:szCs w:val="24"/>
                <w:highlight w:val="none"/>
                <w:lang w:eastAsia="zh-CN"/>
              </w:rPr>
              <w:t>扣</w:t>
            </w:r>
            <w:r>
              <w:rPr>
                <w:rFonts w:hint="eastAsia" w:ascii="宋体" w:hAnsi="宋体" w:eastAsia="宋体" w:cs="宋体"/>
                <w:color w:val="auto"/>
                <w:spacing w:val="-7"/>
                <w:sz w:val="24"/>
                <w:szCs w:val="24"/>
                <w:highlight w:val="none"/>
              </w:rPr>
              <w:t>1</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tc>
        <w:tc>
          <w:tcPr>
            <w:tcW w:w="959" w:type="dxa"/>
            <w:vAlign w:val="top"/>
          </w:tcPr>
          <w:p w14:paraId="2F24959A">
            <w:pPr>
              <w:pStyle w:val="7"/>
              <w:rPr>
                <w:rFonts w:hint="eastAsia" w:ascii="宋体" w:hAnsi="宋体" w:eastAsia="宋体" w:cs="宋体"/>
                <w:color w:val="auto"/>
                <w:sz w:val="24"/>
                <w:szCs w:val="24"/>
                <w:highlight w:val="none"/>
              </w:rPr>
            </w:pPr>
          </w:p>
        </w:tc>
        <w:tc>
          <w:tcPr>
            <w:tcW w:w="731" w:type="dxa"/>
            <w:vAlign w:val="top"/>
          </w:tcPr>
          <w:p w14:paraId="097B4299">
            <w:pPr>
              <w:pStyle w:val="7"/>
              <w:rPr>
                <w:rFonts w:hint="eastAsia" w:ascii="宋体" w:hAnsi="宋体" w:eastAsia="宋体" w:cs="宋体"/>
                <w:color w:val="auto"/>
                <w:sz w:val="24"/>
                <w:szCs w:val="24"/>
                <w:highlight w:val="none"/>
              </w:rPr>
            </w:pPr>
          </w:p>
        </w:tc>
      </w:tr>
      <w:tr w14:paraId="6AB485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7" w:hRule="atLeast"/>
        </w:trPr>
        <w:tc>
          <w:tcPr>
            <w:tcW w:w="2370" w:type="dxa"/>
            <w:gridSpan w:val="2"/>
            <w:vAlign w:val="center"/>
          </w:tcPr>
          <w:p w14:paraId="2A1A20EC">
            <w:pPr>
              <w:spacing w:before="91" w:line="224" w:lineRule="auto"/>
              <w:jc w:val="center"/>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人员更换</w:t>
            </w:r>
          </w:p>
          <w:p w14:paraId="465378D6">
            <w:pPr>
              <w:spacing w:before="91" w:line="224"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w:t>
            </w:r>
            <w:r>
              <w:rPr>
                <w:rFonts w:hint="eastAsia" w:ascii="宋体" w:hAnsi="宋体" w:eastAsia="宋体" w:cs="宋体"/>
                <w:color w:val="auto"/>
                <w:spacing w:val="-4"/>
                <w:sz w:val="24"/>
                <w:szCs w:val="24"/>
                <w:highlight w:val="none"/>
                <w:lang w:val="en-US" w:eastAsia="zh-CN"/>
              </w:rPr>
              <w:t>5</w:t>
            </w:r>
            <w:r>
              <w:rPr>
                <w:rFonts w:hint="eastAsia" w:ascii="宋体" w:hAnsi="宋体" w:eastAsia="宋体" w:cs="宋体"/>
                <w:color w:val="auto"/>
                <w:spacing w:val="-11"/>
                <w:sz w:val="24"/>
                <w:szCs w:val="24"/>
                <w:highlight w:val="none"/>
              </w:rPr>
              <w:t>分）</w:t>
            </w:r>
          </w:p>
        </w:tc>
        <w:tc>
          <w:tcPr>
            <w:tcW w:w="3715" w:type="dxa"/>
            <w:vAlign w:val="center"/>
          </w:tcPr>
          <w:p w14:paraId="2C5B6566">
            <w:pPr>
              <w:spacing w:before="314" w:line="359" w:lineRule="auto"/>
              <w:ind w:left="121" w:right="375" w:firstLine="2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出现采购人抽查发现现场维</w:t>
            </w:r>
            <w:r>
              <w:rPr>
                <w:rFonts w:hint="eastAsia" w:ascii="宋体" w:hAnsi="宋体" w:eastAsia="宋体" w:cs="宋体"/>
                <w:color w:val="auto"/>
                <w:spacing w:val="-2"/>
                <w:sz w:val="24"/>
                <w:szCs w:val="24"/>
                <w:highlight w:val="none"/>
              </w:rPr>
              <w:t>修维护人员与合同中拟派本项目人员不一致的情况</w:t>
            </w:r>
            <w:r>
              <w:rPr>
                <w:rFonts w:hint="eastAsia" w:ascii="宋体" w:hAnsi="宋体" w:cs="宋体"/>
                <w:color w:val="auto"/>
                <w:spacing w:val="-2"/>
                <w:sz w:val="24"/>
                <w:szCs w:val="24"/>
                <w:highlight w:val="none"/>
                <w:lang w:eastAsia="zh-CN"/>
              </w:rPr>
              <w:t>。</w:t>
            </w:r>
          </w:p>
        </w:tc>
        <w:tc>
          <w:tcPr>
            <w:tcW w:w="2135" w:type="dxa"/>
            <w:vAlign w:val="center"/>
          </w:tcPr>
          <w:p w14:paraId="65851782">
            <w:pPr>
              <w:spacing w:before="43" w:line="351" w:lineRule="auto"/>
              <w:ind w:left="126" w:right="20" w:firstLine="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9"/>
                <w:sz w:val="24"/>
                <w:szCs w:val="24"/>
                <w:highlight w:val="none"/>
              </w:rPr>
              <w:t>发现</w:t>
            </w:r>
            <w:r>
              <w:rPr>
                <w:rFonts w:hint="eastAsia" w:ascii="宋体" w:hAnsi="宋体" w:eastAsia="宋体" w:cs="宋体"/>
                <w:color w:val="auto"/>
                <w:spacing w:val="-60"/>
                <w:sz w:val="24"/>
                <w:szCs w:val="24"/>
                <w:highlight w:val="none"/>
              </w:rPr>
              <w:t xml:space="preserve"> </w:t>
            </w:r>
            <w:r>
              <w:rPr>
                <w:rFonts w:hint="eastAsia" w:ascii="宋体" w:hAnsi="宋体" w:eastAsia="宋体" w:cs="宋体"/>
                <w:color w:val="auto"/>
                <w:spacing w:val="-19"/>
                <w:sz w:val="24"/>
                <w:szCs w:val="24"/>
                <w:highlight w:val="none"/>
              </w:rPr>
              <w:t>1</w:t>
            </w:r>
            <w:r>
              <w:rPr>
                <w:rFonts w:hint="eastAsia" w:ascii="宋体" w:hAnsi="宋体" w:eastAsia="宋体" w:cs="宋体"/>
                <w:color w:val="auto"/>
                <w:spacing w:val="-68"/>
                <w:sz w:val="24"/>
                <w:szCs w:val="24"/>
                <w:highlight w:val="none"/>
              </w:rPr>
              <w:t xml:space="preserve"> </w:t>
            </w:r>
            <w:r>
              <w:rPr>
                <w:rFonts w:hint="eastAsia" w:ascii="宋体" w:hAnsi="宋体" w:eastAsia="宋体" w:cs="宋体"/>
                <w:color w:val="auto"/>
                <w:spacing w:val="-19"/>
                <w:sz w:val="24"/>
                <w:szCs w:val="24"/>
                <w:highlight w:val="none"/>
              </w:rPr>
              <w:t>人/次扣</w:t>
            </w:r>
            <w:r>
              <w:rPr>
                <w:rFonts w:hint="eastAsia" w:ascii="宋体" w:hAnsi="宋体" w:eastAsia="宋体" w:cs="宋体"/>
                <w:color w:val="auto"/>
                <w:spacing w:val="-62"/>
                <w:sz w:val="24"/>
                <w:szCs w:val="24"/>
                <w:highlight w:val="none"/>
              </w:rPr>
              <w:t xml:space="preserve"> </w:t>
            </w:r>
            <w:r>
              <w:rPr>
                <w:rFonts w:hint="eastAsia" w:ascii="宋体" w:hAnsi="宋体" w:eastAsia="宋体" w:cs="宋体"/>
                <w:color w:val="auto"/>
                <w:spacing w:val="-19"/>
                <w:sz w:val="24"/>
                <w:szCs w:val="24"/>
                <w:highlight w:val="none"/>
              </w:rPr>
              <w:t>1</w:t>
            </w:r>
            <w:r>
              <w:rPr>
                <w:rFonts w:hint="eastAsia" w:ascii="宋体" w:hAnsi="宋体" w:eastAsia="宋体" w:cs="宋体"/>
                <w:color w:val="auto"/>
                <w:spacing w:val="-69"/>
                <w:sz w:val="24"/>
                <w:szCs w:val="24"/>
                <w:highlight w:val="none"/>
              </w:rPr>
              <w:t xml:space="preserve"> </w:t>
            </w:r>
            <w:r>
              <w:rPr>
                <w:rFonts w:hint="eastAsia" w:ascii="宋体" w:hAnsi="宋体" w:eastAsia="宋体" w:cs="宋体"/>
                <w:color w:val="auto"/>
                <w:spacing w:val="-19"/>
                <w:sz w:val="24"/>
                <w:szCs w:val="24"/>
                <w:highlight w:val="none"/>
              </w:rPr>
              <w:t>分，</w:t>
            </w:r>
            <w:r>
              <w:rPr>
                <w:rFonts w:hint="eastAsia" w:ascii="宋体" w:hAnsi="宋体" w:eastAsia="宋体" w:cs="宋体"/>
                <w:color w:val="auto"/>
                <w:spacing w:val="-3"/>
                <w:sz w:val="24"/>
                <w:szCs w:val="24"/>
                <w:highlight w:val="none"/>
              </w:rPr>
              <w:t>如连续发现五次该</w:t>
            </w:r>
            <w:r>
              <w:rPr>
                <w:rFonts w:hint="eastAsia" w:ascii="宋体" w:hAnsi="宋体" w:eastAsia="宋体" w:cs="宋体"/>
                <w:color w:val="auto"/>
                <w:spacing w:val="-12"/>
                <w:sz w:val="24"/>
                <w:szCs w:val="24"/>
                <w:highlight w:val="none"/>
              </w:rPr>
              <w:t>人员未到场，则按变</w:t>
            </w:r>
            <w:r>
              <w:rPr>
                <w:rFonts w:hint="eastAsia" w:ascii="宋体" w:hAnsi="宋体" w:eastAsia="宋体" w:cs="宋体"/>
                <w:color w:val="auto"/>
                <w:spacing w:val="-3"/>
                <w:sz w:val="24"/>
                <w:szCs w:val="24"/>
                <w:highlight w:val="none"/>
              </w:rPr>
              <w:t>更人员进行</w:t>
            </w:r>
            <w:r>
              <w:rPr>
                <w:rFonts w:hint="eastAsia" w:ascii="宋体" w:hAnsi="宋体" w:cs="宋体"/>
                <w:color w:val="auto"/>
                <w:spacing w:val="-3"/>
                <w:sz w:val="24"/>
                <w:szCs w:val="24"/>
                <w:highlight w:val="none"/>
                <w:lang w:val="en-US" w:eastAsia="zh-CN"/>
              </w:rPr>
              <w:t>处罚</w:t>
            </w:r>
            <w:r>
              <w:rPr>
                <w:rFonts w:hint="eastAsia" w:ascii="宋体" w:hAnsi="宋体" w:cs="宋体"/>
                <w:color w:val="auto"/>
                <w:spacing w:val="-3"/>
                <w:sz w:val="24"/>
                <w:szCs w:val="24"/>
                <w:highlight w:val="none"/>
                <w:lang w:eastAsia="zh-CN"/>
              </w:rPr>
              <w:t>。</w:t>
            </w:r>
          </w:p>
        </w:tc>
        <w:tc>
          <w:tcPr>
            <w:tcW w:w="959" w:type="dxa"/>
            <w:vAlign w:val="top"/>
          </w:tcPr>
          <w:p w14:paraId="645747FE">
            <w:pPr>
              <w:pStyle w:val="7"/>
              <w:rPr>
                <w:rFonts w:hint="eastAsia" w:ascii="宋体" w:hAnsi="宋体" w:eastAsia="宋体" w:cs="宋体"/>
                <w:color w:val="auto"/>
                <w:sz w:val="24"/>
                <w:szCs w:val="24"/>
                <w:highlight w:val="none"/>
              </w:rPr>
            </w:pPr>
          </w:p>
        </w:tc>
        <w:tc>
          <w:tcPr>
            <w:tcW w:w="731" w:type="dxa"/>
            <w:vAlign w:val="top"/>
          </w:tcPr>
          <w:p w14:paraId="138C1279">
            <w:pPr>
              <w:pStyle w:val="7"/>
              <w:rPr>
                <w:rFonts w:hint="eastAsia" w:ascii="宋体" w:hAnsi="宋体" w:eastAsia="宋体" w:cs="宋体"/>
                <w:color w:val="auto"/>
                <w:sz w:val="24"/>
                <w:szCs w:val="24"/>
                <w:highlight w:val="none"/>
              </w:rPr>
            </w:pPr>
          </w:p>
        </w:tc>
      </w:tr>
      <w:tr w14:paraId="3BBF86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4" w:hRule="atLeast"/>
        </w:trPr>
        <w:tc>
          <w:tcPr>
            <w:tcW w:w="1039" w:type="dxa"/>
            <w:vMerge w:val="restart"/>
            <w:vAlign w:val="center"/>
          </w:tcPr>
          <w:p w14:paraId="0C466B80">
            <w:pPr>
              <w:spacing w:before="91" w:line="222"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维护管理工作考核</w:t>
            </w:r>
          </w:p>
          <w:p w14:paraId="08630721">
            <w:pPr>
              <w:spacing w:before="91" w:line="222" w:lineRule="auto"/>
              <w:jc w:val="center"/>
              <w:rPr>
                <w:rFonts w:hint="eastAsia" w:ascii="宋体" w:hAnsi="宋体" w:eastAsia="宋体" w:cs="宋体"/>
                <w:color w:val="auto"/>
                <w:sz w:val="24"/>
                <w:szCs w:val="24"/>
                <w:highlight w:val="none"/>
              </w:rPr>
            </w:pPr>
            <w:r>
              <w:rPr>
                <w:rFonts w:hint="eastAsia" w:ascii="宋体" w:hAnsi="宋体" w:cs="宋体"/>
                <w:color w:val="auto"/>
                <w:spacing w:val="-8"/>
                <w:sz w:val="24"/>
                <w:szCs w:val="24"/>
                <w:highlight w:val="none"/>
                <w:lang w:val="en-US" w:eastAsia="zh-CN"/>
              </w:rPr>
              <w:t>（</w:t>
            </w:r>
            <w:r>
              <w:rPr>
                <w:rFonts w:hint="eastAsia" w:ascii="宋体" w:hAnsi="宋体" w:eastAsia="宋体" w:cs="宋体"/>
                <w:color w:val="auto"/>
                <w:spacing w:val="-8"/>
                <w:sz w:val="24"/>
                <w:szCs w:val="24"/>
                <w:highlight w:val="none"/>
                <w:lang w:val="en-US" w:eastAsia="zh-CN"/>
              </w:rPr>
              <w:t>35</w:t>
            </w:r>
            <w:r>
              <w:rPr>
                <w:rFonts w:hint="eastAsia" w:ascii="宋体" w:hAnsi="宋体" w:cs="宋体"/>
                <w:color w:val="auto"/>
                <w:spacing w:val="-8"/>
                <w:sz w:val="24"/>
                <w:szCs w:val="24"/>
                <w:highlight w:val="none"/>
                <w:lang w:val="en-US" w:eastAsia="zh-CN"/>
              </w:rPr>
              <w:t>分</w:t>
            </w:r>
            <w:r>
              <w:rPr>
                <w:rFonts w:hint="eastAsia" w:ascii="宋体" w:hAnsi="宋体" w:eastAsia="宋体" w:cs="宋体"/>
                <w:color w:val="auto"/>
                <w:sz w:val="24"/>
                <w:szCs w:val="24"/>
                <w:highlight w:val="none"/>
              </w:rPr>
              <w:t>)</w:t>
            </w:r>
          </w:p>
        </w:tc>
        <w:tc>
          <w:tcPr>
            <w:tcW w:w="1331" w:type="dxa"/>
            <w:vMerge w:val="restart"/>
            <w:vAlign w:val="center"/>
          </w:tcPr>
          <w:p w14:paraId="2974F00A">
            <w:pPr>
              <w:spacing w:before="91" w:line="360" w:lineRule="auto"/>
              <w:ind w:right="29"/>
              <w:jc w:val="center"/>
              <w:rPr>
                <w:rFonts w:hint="eastAsia" w:ascii="宋体" w:hAnsi="宋体" w:eastAsia="宋体" w:cs="宋体"/>
                <w:color w:val="auto"/>
                <w:spacing w:val="36"/>
                <w:sz w:val="24"/>
                <w:szCs w:val="24"/>
                <w:highlight w:val="none"/>
              </w:rPr>
            </w:pPr>
            <w:r>
              <w:rPr>
                <w:rFonts w:hint="eastAsia" w:ascii="宋体" w:hAnsi="宋体" w:eastAsia="宋体" w:cs="宋体"/>
                <w:color w:val="auto"/>
                <w:spacing w:val="-7"/>
                <w:sz w:val="24"/>
                <w:szCs w:val="24"/>
                <w:highlight w:val="none"/>
              </w:rPr>
              <w:t>夜景亮</w:t>
            </w:r>
            <w:r>
              <w:rPr>
                <w:rFonts w:hint="eastAsia" w:ascii="宋体" w:hAnsi="宋体" w:eastAsia="宋体" w:cs="宋体"/>
                <w:color w:val="auto"/>
                <w:spacing w:val="36"/>
                <w:sz w:val="24"/>
                <w:szCs w:val="24"/>
                <w:highlight w:val="none"/>
              </w:rPr>
              <w:t>化设施日常修复时限</w:t>
            </w:r>
          </w:p>
          <w:p w14:paraId="11FD8F31">
            <w:pPr>
              <w:spacing w:before="91" w:line="360" w:lineRule="auto"/>
              <w:ind w:right="29"/>
              <w:jc w:val="center"/>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（15</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12"/>
                <w:sz w:val="24"/>
                <w:szCs w:val="24"/>
                <w:highlight w:val="none"/>
              </w:rPr>
              <w:t>分）</w:t>
            </w:r>
          </w:p>
        </w:tc>
        <w:tc>
          <w:tcPr>
            <w:tcW w:w="3715" w:type="dxa"/>
            <w:vAlign w:val="center"/>
          </w:tcPr>
          <w:p w14:paraId="4BC26607">
            <w:pPr>
              <w:spacing w:before="314" w:line="222" w:lineRule="auto"/>
              <w:ind w:left="128"/>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单灯不亮，应一天内修复。</w:t>
            </w:r>
          </w:p>
        </w:tc>
        <w:tc>
          <w:tcPr>
            <w:tcW w:w="2135" w:type="dxa"/>
            <w:vAlign w:val="center"/>
          </w:tcPr>
          <w:p w14:paraId="20AB44AA">
            <w:pPr>
              <w:spacing w:before="40" w:line="344" w:lineRule="auto"/>
              <w:ind w:left="118" w:right="298"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rPr>
              <w:t>未按时修复每次扣0.5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3"/>
                <w:sz w:val="24"/>
                <w:szCs w:val="24"/>
                <w:highlight w:val="none"/>
              </w:rPr>
              <w:t>分</w:t>
            </w:r>
            <w:r>
              <w:rPr>
                <w:rFonts w:hint="eastAsia" w:ascii="宋体" w:hAnsi="宋体" w:cs="宋体"/>
                <w:color w:val="auto"/>
                <w:spacing w:val="-3"/>
                <w:sz w:val="24"/>
                <w:szCs w:val="24"/>
                <w:highlight w:val="none"/>
                <w:lang w:eastAsia="zh-CN"/>
              </w:rPr>
              <w:t>。</w:t>
            </w:r>
          </w:p>
        </w:tc>
        <w:tc>
          <w:tcPr>
            <w:tcW w:w="959" w:type="dxa"/>
            <w:vAlign w:val="top"/>
          </w:tcPr>
          <w:p w14:paraId="026064FE">
            <w:pPr>
              <w:pStyle w:val="7"/>
              <w:rPr>
                <w:rFonts w:hint="eastAsia" w:ascii="宋体" w:hAnsi="宋体" w:eastAsia="宋体" w:cs="宋体"/>
                <w:color w:val="auto"/>
                <w:sz w:val="24"/>
                <w:szCs w:val="24"/>
                <w:highlight w:val="none"/>
              </w:rPr>
            </w:pPr>
          </w:p>
        </w:tc>
        <w:tc>
          <w:tcPr>
            <w:tcW w:w="731" w:type="dxa"/>
            <w:vAlign w:val="top"/>
          </w:tcPr>
          <w:p w14:paraId="1338AF5A">
            <w:pPr>
              <w:pStyle w:val="7"/>
              <w:rPr>
                <w:rFonts w:hint="eastAsia" w:ascii="宋体" w:hAnsi="宋体" w:eastAsia="宋体" w:cs="宋体"/>
                <w:color w:val="auto"/>
                <w:sz w:val="24"/>
                <w:szCs w:val="24"/>
                <w:highlight w:val="none"/>
              </w:rPr>
            </w:pPr>
          </w:p>
        </w:tc>
      </w:tr>
      <w:tr w14:paraId="1FC708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86" w:hRule="atLeast"/>
        </w:trPr>
        <w:tc>
          <w:tcPr>
            <w:tcW w:w="1039" w:type="dxa"/>
            <w:vMerge w:val="continue"/>
            <w:vAlign w:val="center"/>
          </w:tcPr>
          <w:p w14:paraId="09BE3291">
            <w:pPr>
              <w:pStyle w:val="7"/>
              <w:jc w:val="center"/>
              <w:rPr>
                <w:rFonts w:hint="eastAsia" w:ascii="宋体" w:hAnsi="宋体" w:eastAsia="宋体" w:cs="宋体"/>
                <w:color w:val="auto"/>
                <w:sz w:val="24"/>
                <w:szCs w:val="24"/>
                <w:highlight w:val="none"/>
              </w:rPr>
            </w:pPr>
          </w:p>
        </w:tc>
        <w:tc>
          <w:tcPr>
            <w:tcW w:w="1331" w:type="dxa"/>
            <w:vMerge w:val="continue"/>
            <w:vAlign w:val="center"/>
          </w:tcPr>
          <w:p w14:paraId="54EBE062">
            <w:pPr>
              <w:pStyle w:val="7"/>
              <w:jc w:val="center"/>
              <w:rPr>
                <w:rFonts w:hint="eastAsia" w:ascii="宋体" w:hAnsi="宋体" w:eastAsia="宋体" w:cs="宋体"/>
                <w:color w:val="auto"/>
                <w:sz w:val="24"/>
                <w:szCs w:val="24"/>
                <w:highlight w:val="none"/>
              </w:rPr>
            </w:pPr>
          </w:p>
        </w:tc>
        <w:tc>
          <w:tcPr>
            <w:tcW w:w="3715" w:type="dxa"/>
            <w:vAlign w:val="center"/>
          </w:tcPr>
          <w:p w14:paraId="4747C2BD">
            <w:pPr>
              <w:spacing w:before="43" w:line="351" w:lineRule="auto"/>
              <w:ind w:left="123" w:right="165"/>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部分灯具（10%以上光源或路</w:t>
            </w:r>
            <w:r>
              <w:rPr>
                <w:rFonts w:hint="eastAsia" w:ascii="宋体" w:hAnsi="宋体" w:eastAsia="宋体" w:cs="宋体"/>
                <w:color w:val="auto"/>
                <w:spacing w:val="-7"/>
                <w:sz w:val="24"/>
                <w:szCs w:val="24"/>
                <w:highlight w:val="none"/>
              </w:rPr>
              <w:t>段</w:t>
            </w:r>
            <w:r>
              <w:rPr>
                <w:rFonts w:hint="eastAsia" w:ascii="宋体" w:hAnsi="宋体" w:eastAsia="宋体" w:cs="宋体"/>
                <w:color w:val="auto"/>
                <w:spacing w:val="-43"/>
                <w:sz w:val="24"/>
                <w:szCs w:val="24"/>
                <w:highlight w:val="none"/>
              </w:rPr>
              <w:t xml:space="preserve"> </w:t>
            </w:r>
            <w:r>
              <w:rPr>
                <w:rFonts w:hint="eastAsia" w:ascii="宋体" w:hAnsi="宋体" w:eastAsia="宋体" w:cs="宋体"/>
                <w:color w:val="auto"/>
                <w:spacing w:val="-7"/>
                <w:sz w:val="24"/>
                <w:szCs w:val="24"/>
                <w:highlight w:val="none"/>
              </w:rPr>
              <w:t>50</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7"/>
                <w:sz w:val="24"/>
                <w:szCs w:val="24"/>
                <w:highlight w:val="none"/>
              </w:rPr>
              <w:t>米以上光源或广场内</w:t>
            </w:r>
            <w:r>
              <w:rPr>
                <w:rFonts w:hint="eastAsia" w:ascii="宋体" w:hAnsi="宋体" w:eastAsia="宋体" w:cs="宋体"/>
                <w:color w:val="auto"/>
                <w:spacing w:val="-40"/>
                <w:sz w:val="24"/>
                <w:szCs w:val="24"/>
                <w:highlight w:val="none"/>
              </w:rPr>
              <w:t xml:space="preserve"> </w:t>
            </w:r>
            <w:r>
              <w:rPr>
                <w:rFonts w:hint="eastAsia" w:ascii="宋体" w:hAnsi="宋体" w:eastAsia="宋体" w:cs="宋体"/>
                <w:color w:val="auto"/>
                <w:spacing w:val="-7"/>
                <w:sz w:val="24"/>
                <w:szCs w:val="24"/>
                <w:highlight w:val="none"/>
              </w:rPr>
              <w:t>10</w:t>
            </w:r>
            <w:r>
              <w:rPr>
                <w:rFonts w:hint="eastAsia" w:ascii="宋体" w:hAnsi="宋体" w:eastAsia="宋体" w:cs="宋体"/>
                <w:color w:val="auto"/>
                <w:spacing w:val="3"/>
                <w:sz w:val="24"/>
                <w:szCs w:val="24"/>
                <w:highlight w:val="none"/>
              </w:rPr>
              <w:t>盏灯以上光源）不亮，应在2</w:t>
            </w:r>
            <w:r>
              <w:rPr>
                <w:rFonts w:hint="eastAsia" w:ascii="宋体" w:hAnsi="宋体" w:eastAsia="宋体" w:cs="宋体"/>
                <w:color w:val="auto"/>
                <w:spacing w:val="-4"/>
                <w:sz w:val="24"/>
                <w:szCs w:val="24"/>
                <w:highlight w:val="none"/>
              </w:rPr>
              <w:t>天内修复。</w:t>
            </w:r>
          </w:p>
        </w:tc>
        <w:tc>
          <w:tcPr>
            <w:tcW w:w="2135" w:type="dxa"/>
            <w:vAlign w:val="center"/>
          </w:tcPr>
          <w:p w14:paraId="399C9C7A">
            <w:pPr>
              <w:spacing w:before="91" w:line="361" w:lineRule="auto"/>
              <w:ind w:right="10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未及时修复每次扣1</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tc>
        <w:tc>
          <w:tcPr>
            <w:tcW w:w="959" w:type="dxa"/>
            <w:vAlign w:val="top"/>
          </w:tcPr>
          <w:p w14:paraId="30E854C5">
            <w:pPr>
              <w:pStyle w:val="7"/>
              <w:rPr>
                <w:rFonts w:hint="eastAsia" w:ascii="宋体" w:hAnsi="宋体" w:eastAsia="宋体" w:cs="宋体"/>
                <w:color w:val="auto"/>
                <w:sz w:val="24"/>
                <w:szCs w:val="24"/>
                <w:highlight w:val="none"/>
              </w:rPr>
            </w:pPr>
          </w:p>
        </w:tc>
        <w:tc>
          <w:tcPr>
            <w:tcW w:w="731" w:type="dxa"/>
            <w:vAlign w:val="top"/>
          </w:tcPr>
          <w:p w14:paraId="3764C628">
            <w:pPr>
              <w:pStyle w:val="7"/>
              <w:rPr>
                <w:rFonts w:hint="eastAsia" w:ascii="宋体" w:hAnsi="宋体" w:eastAsia="宋体" w:cs="宋体"/>
                <w:color w:val="auto"/>
                <w:sz w:val="24"/>
                <w:szCs w:val="24"/>
                <w:highlight w:val="none"/>
              </w:rPr>
            </w:pPr>
          </w:p>
        </w:tc>
      </w:tr>
      <w:tr w14:paraId="0B50D7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7" w:hRule="atLeast"/>
        </w:trPr>
        <w:tc>
          <w:tcPr>
            <w:tcW w:w="1039" w:type="dxa"/>
            <w:vMerge w:val="continue"/>
            <w:vAlign w:val="center"/>
          </w:tcPr>
          <w:p w14:paraId="0BA05F95">
            <w:pPr>
              <w:pStyle w:val="7"/>
              <w:jc w:val="center"/>
              <w:rPr>
                <w:rFonts w:hint="eastAsia" w:ascii="宋体" w:hAnsi="宋体" w:eastAsia="宋体" w:cs="宋体"/>
                <w:color w:val="auto"/>
                <w:sz w:val="24"/>
                <w:szCs w:val="24"/>
                <w:highlight w:val="none"/>
              </w:rPr>
            </w:pPr>
          </w:p>
        </w:tc>
        <w:tc>
          <w:tcPr>
            <w:tcW w:w="1331" w:type="dxa"/>
            <w:vMerge w:val="continue"/>
            <w:vAlign w:val="center"/>
          </w:tcPr>
          <w:p w14:paraId="34E9E6EF">
            <w:pPr>
              <w:pStyle w:val="7"/>
              <w:jc w:val="center"/>
              <w:rPr>
                <w:rFonts w:hint="eastAsia" w:ascii="宋体" w:hAnsi="宋体" w:eastAsia="宋体" w:cs="宋体"/>
                <w:color w:val="auto"/>
                <w:sz w:val="24"/>
                <w:szCs w:val="24"/>
                <w:highlight w:val="none"/>
              </w:rPr>
            </w:pPr>
          </w:p>
        </w:tc>
        <w:tc>
          <w:tcPr>
            <w:tcW w:w="3715" w:type="dxa"/>
            <w:vAlign w:val="center"/>
          </w:tcPr>
          <w:p w14:paraId="7C251291">
            <w:pPr>
              <w:spacing w:before="44" w:line="348" w:lineRule="auto"/>
              <w:ind w:left="124" w:right="102" w:hanging="2"/>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整体（整栋楼宇、路段全部光</w:t>
            </w:r>
            <w:r>
              <w:rPr>
                <w:rFonts w:hint="eastAsia" w:ascii="宋体" w:hAnsi="宋体" w:eastAsia="宋体" w:cs="宋体"/>
                <w:color w:val="auto"/>
                <w:spacing w:val="-3"/>
                <w:sz w:val="24"/>
                <w:szCs w:val="24"/>
                <w:highlight w:val="none"/>
              </w:rPr>
              <w:t>源或广场全部光源）不亮，应</w:t>
            </w:r>
            <w:r>
              <w:rPr>
                <w:rFonts w:hint="eastAsia" w:ascii="宋体" w:hAnsi="宋体" w:eastAsia="宋体" w:cs="宋体"/>
                <w:color w:val="auto"/>
                <w:spacing w:val="-8"/>
                <w:sz w:val="24"/>
                <w:szCs w:val="24"/>
                <w:highlight w:val="none"/>
              </w:rPr>
              <w:t>在</w:t>
            </w:r>
            <w:r>
              <w:rPr>
                <w:rFonts w:hint="eastAsia" w:ascii="宋体" w:hAnsi="宋体" w:eastAsia="宋体" w:cs="宋体"/>
                <w:color w:val="auto"/>
                <w:spacing w:val="-54"/>
                <w:sz w:val="24"/>
                <w:szCs w:val="24"/>
                <w:highlight w:val="none"/>
              </w:rPr>
              <w:t xml:space="preserve"> </w:t>
            </w:r>
            <w:r>
              <w:rPr>
                <w:rFonts w:hint="eastAsia" w:ascii="宋体" w:hAnsi="宋体" w:eastAsia="宋体" w:cs="宋体"/>
                <w:color w:val="auto"/>
                <w:spacing w:val="-8"/>
                <w:sz w:val="24"/>
                <w:szCs w:val="24"/>
                <w:highlight w:val="none"/>
              </w:rPr>
              <w:t>2</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8"/>
                <w:sz w:val="24"/>
                <w:szCs w:val="24"/>
                <w:highlight w:val="none"/>
              </w:rPr>
              <w:t>天内修复。</w:t>
            </w:r>
          </w:p>
        </w:tc>
        <w:tc>
          <w:tcPr>
            <w:tcW w:w="2135" w:type="dxa"/>
            <w:vAlign w:val="center"/>
          </w:tcPr>
          <w:p w14:paraId="123F9FED">
            <w:pPr>
              <w:spacing w:before="315" w:line="361" w:lineRule="auto"/>
              <w:ind w:right="10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未及时修复每次扣1</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tc>
        <w:tc>
          <w:tcPr>
            <w:tcW w:w="959" w:type="dxa"/>
            <w:vAlign w:val="top"/>
          </w:tcPr>
          <w:p w14:paraId="6A7B3193">
            <w:pPr>
              <w:pStyle w:val="7"/>
              <w:rPr>
                <w:rFonts w:hint="eastAsia" w:ascii="宋体" w:hAnsi="宋体" w:eastAsia="宋体" w:cs="宋体"/>
                <w:color w:val="auto"/>
                <w:sz w:val="24"/>
                <w:szCs w:val="24"/>
                <w:highlight w:val="none"/>
              </w:rPr>
            </w:pPr>
          </w:p>
        </w:tc>
        <w:tc>
          <w:tcPr>
            <w:tcW w:w="731" w:type="dxa"/>
            <w:vAlign w:val="top"/>
          </w:tcPr>
          <w:p w14:paraId="2C3DF3BD">
            <w:pPr>
              <w:pStyle w:val="7"/>
              <w:rPr>
                <w:rFonts w:hint="eastAsia" w:ascii="宋体" w:hAnsi="宋体" w:eastAsia="宋体" w:cs="宋体"/>
                <w:color w:val="auto"/>
                <w:sz w:val="24"/>
                <w:szCs w:val="24"/>
                <w:highlight w:val="none"/>
              </w:rPr>
            </w:pPr>
          </w:p>
        </w:tc>
      </w:tr>
      <w:tr w14:paraId="353BB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47" w:hRule="atLeast"/>
        </w:trPr>
        <w:tc>
          <w:tcPr>
            <w:tcW w:w="1039" w:type="dxa"/>
            <w:vMerge w:val="continue"/>
            <w:vAlign w:val="center"/>
          </w:tcPr>
          <w:p w14:paraId="33A1CF49">
            <w:pPr>
              <w:pStyle w:val="7"/>
              <w:jc w:val="center"/>
              <w:rPr>
                <w:rFonts w:hint="eastAsia" w:ascii="宋体" w:hAnsi="宋体" w:eastAsia="宋体" w:cs="宋体"/>
                <w:color w:val="auto"/>
                <w:sz w:val="24"/>
                <w:szCs w:val="24"/>
                <w:highlight w:val="none"/>
              </w:rPr>
            </w:pPr>
          </w:p>
        </w:tc>
        <w:tc>
          <w:tcPr>
            <w:tcW w:w="1331" w:type="dxa"/>
            <w:vMerge w:val="continue"/>
            <w:vAlign w:val="center"/>
          </w:tcPr>
          <w:p w14:paraId="0D6A1CD1">
            <w:pPr>
              <w:pStyle w:val="7"/>
              <w:jc w:val="center"/>
              <w:rPr>
                <w:rFonts w:hint="eastAsia" w:ascii="宋体" w:hAnsi="宋体" w:eastAsia="宋体" w:cs="宋体"/>
                <w:color w:val="auto"/>
                <w:sz w:val="24"/>
                <w:szCs w:val="24"/>
                <w:highlight w:val="none"/>
              </w:rPr>
            </w:pPr>
          </w:p>
        </w:tc>
        <w:tc>
          <w:tcPr>
            <w:tcW w:w="3715" w:type="dxa"/>
            <w:vAlign w:val="center"/>
          </w:tcPr>
          <w:p w14:paraId="5CFFC2E6">
            <w:pPr>
              <w:spacing w:before="44" w:line="348" w:lineRule="auto"/>
              <w:ind w:left="124" w:right="102" w:hanging="3"/>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灯杆门、电缆井盖缺失，应及</w:t>
            </w:r>
            <w:r>
              <w:rPr>
                <w:rFonts w:hint="eastAsia" w:ascii="宋体" w:hAnsi="宋体" w:eastAsia="宋体" w:cs="宋体"/>
                <w:color w:val="auto"/>
                <w:spacing w:val="-3"/>
                <w:sz w:val="24"/>
                <w:szCs w:val="24"/>
                <w:highlight w:val="none"/>
              </w:rPr>
              <w:t>时采取临时措施进行封盖，并</w:t>
            </w:r>
            <w:r>
              <w:rPr>
                <w:rFonts w:hint="eastAsia" w:ascii="宋体" w:hAnsi="宋体" w:eastAsia="宋体" w:cs="宋体"/>
                <w:color w:val="auto"/>
                <w:spacing w:val="-8"/>
                <w:sz w:val="24"/>
                <w:szCs w:val="24"/>
                <w:highlight w:val="none"/>
              </w:rPr>
              <w:t>在</w:t>
            </w:r>
            <w:r>
              <w:rPr>
                <w:rFonts w:hint="eastAsia" w:ascii="宋体" w:hAnsi="宋体" w:eastAsia="宋体" w:cs="宋体"/>
                <w:color w:val="auto"/>
                <w:spacing w:val="-54"/>
                <w:sz w:val="24"/>
                <w:szCs w:val="24"/>
                <w:highlight w:val="none"/>
              </w:rPr>
              <w:t xml:space="preserve"> </w:t>
            </w:r>
            <w:r>
              <w:rPr>
                <w:rFonts w:hint="eastAsia" w:ascii="宋体" w:hAnsi="宋体" w:eastAsia="宋体" w:cs="宋体"/>
                <w:color w:val="auto"/>
                <w:spacing w:val="-8"/>
                <w:sz w:val="24"/>
                <w:szCs w:val="24"/>
                <w:highlight w:val="none"/>
              </w:rPr>
              <w:t>2</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8"/>
                <w:sz w:val="24"/>
                <w:szCs w:val="24"/>
                <w:highlight w:val="none"/>
              </w:rPr>
              <w:t>天内修复。</w:t>
            </w:r>
          </w:p>
        </w:tc>
        <w:tc>
          <w:tcPr>
            <w:tcW w:w="2135" w:type="dxa"/>
            <w:tcBorders>
              <w:bottom w:val="single" w:color="auto" w:sz="4" w:space="0"/>
            </w:tcBorders>
            <w:vAlign w:val="center"/>
          </w:tcPr>
          <w:p w14:paraId="0607BACC">
            <w:pPr>
              <w:spacing w:before="316" w:line="361" w:lineRule="auto"/>
              <w:ind w:left="118" w:right="298"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rPr>
              <w:t>未按时修复每次扣0.5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3"/>
                <w:sz w:val="24"/>
                <w:szCs w:val="24"/>
                <w:highlight w:val="none"/>
              </w:rPr>
              <w:t>分</w:t>
            </w:r>
            <w:r>
              <w:rPr>
                <w:rFonts w:hint="eastAsia" w:ascii="宋体" w:hAnsi="宋体" w:cs="宋体"/>
                <w:color w:val="auto"/>
                <w:spacing w:val="-3"/>
                <w:sz w:val="24"/>
                <w:szCs w:val="24"/>
                <w:highlight w:val="none"/>
                <w:lang w:eastAsia="zh-CN"/>
              </w:rPr>
              <w:t>。</w:t>
            </w:r>
          </w:p>
        </w:tc>
        <w:tc>
          <w:tcPr>
            <w:tcW w:w="959" w:type="dxa"/>
            <w:vAlign w:val="top"/>
          </w:tcPr>
          <w:p w14:paraId="13BD4E50">
            <w:pPr>
              <w:pStyle w:val="7"/>
              <w:rPr>
                <w:rFonts w:hint="eastAsia" w:ascii="宋体" w:hAnsi="宋体" w:eastAsia="宋体" w:cs="宋体"/>
                <w:color w:val="auto"/>
                <w:sz w:val="24"/>
                <w:szCs w:val="24"/>
                <w:highlight w:val="none"/>
              </w:rPr>
            </w:pPr>
          </w:p>
        </w:tc>
        <w:tc>
          <w:tcPr>
            <w:tcW w:w="731" w:type="dxa"/>
            <w:vAlign w:val="top"/>
          </w:tcPr>
          <w:p w14:paraId="49BF99A4">
            <w:pPr>
              <w:pStyle w:val="7"/>
              <w:rPr>
                <w:rFonts w:hint="eastAsia" w:ascii="宋体" w:hAnsi="宋体" w:eastAsia="宋体" w:cs="宋体"/>
                <w:color w:val="auto"/>
                <w:sz w:val="24"/>
                <w:szCs w:val="24"/>
                <w:highlight w:val="none"/>
              </w:rPr>
            </w:pPr>
          </w:p>
        </w:tc>
      </w:tr>
      <w:tr w14:paraId="2067B6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1039" w:type="dxa"/>
            <w:vMerge w:val="continue"/>
            <w:vAlign w:val="center"/>
          </w:tcPr>
          <w:p w14:paraId="356FDAFA">
            <w:pPr>
              <w:pStyle w:val="7"/>
              <w:jc w:val="center"/>
              <w:rPr>
                <w:rFonts w:hint="eastAsia" w:ascii="宋体" w:hAnsi="宋体" w:eastAsia="宋体" w:cs="宋体"/>
                <w:color w:val="auto"/>
                <w:sz w:val="24"/>
                <w:szCs w:val="24"/>
                <w:highlight w:val="none"/>
              </w:rPr>
            </w:pPr>
          </w:p>
        </w:tc>
        <w:tc>
          <w:tcPr>
            <w:tcW w:w="1331" w:type="dxa"/>
            <w:vMerge w:val="continue"/>
            <w:vAlign w:val="center"/>
          </w:tcPr>
          <w:p w14:paraId="24A35869">
            <w:pPr>
              <w:pStyle w:val="7"/>
              <w:jc w:val="center"/>
              <w:rPr>
                <w:rFonts w:hint="eastAsia" w:ascii="宋体" w:hAnsi="宋体" w:eastAsia="宋体" w:cs="宋体"/>
                <w:color w:val="auto"/>
                <w:sz w:val="24"/>
                <w:szCs w:val="24"/>
                <w:highlight w:val="none"/>
              </w:rPr>
            </w:pPr>
          </w:p>
        </w:tc>
        <w:tc>
          <w:tcPr>
            <w:tcW w:w="3715" w:type="dxa"/>
            <w:tcBorders>
              <w:right w:val="single" w:color="auto" w:sz="4" w:space="0"/>
            </w:tcBorders>
            <w:vAlign w:val="center"/>
          </w:tcPr>
          <w:p w14:paraId="359C7A7A">
            <w:pPr>
              <w:spacing w:before="47" w:line="348" w:lineRule="auto"/>
              <w:ind w:left="122" w:right="153" w:firstLine="4"/>
              <w:jc w:val="both"/>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配电箱、</w:t>
            </w:r>
            <w:r>
              <w:rPr>
                <w:rFonts w:hint="eastAsia" w:ascii="宋体" w:hAnsi="宋体" w:eastAsia="宋体" w:cs="宋体"/>
                <w:color w:val="auto"/>
                <w:spacing w:val="-7"/>
                <w:sz w:val="24"/>
                <w:szCs w:val="24"/>
                <w:highlight w:val="none"/>
                <w:lang w:val="en-US" w:eastAsia="zh-CN"/>
              </w:rPr>
              <w:t>电表</w:t>
            </w:r>
            <w:r>
              <w:rPr>
                <w:rFonts w:hint="eastAsia" w:ascii="宋体" w:hAnsi="宋体" w:eastAsia="宋体" w:cs="宋体"/>
                <w:color w:val="auto"/>
                <w:spacing w:val="-7"/>
                <w:sz w:val="24"/>
                <w:szCs w:val="24"/>
                <w:highlight w:val="none"/>
              </w:rPr>
              <w:t>设备故障，</w:t>
            </w:r>
            <w:r>
              <w:rPr>
                <w:rFonts w:hint="eastAsia" w:ascii="宋体" w:hAnsi="宋体" w:eastAsia="宋体" w:cs="宋体"/>
                <w:color w:val="auto"/>
                <w:spacing w:val="-2"/>
                <w:sz w:val="24"/>
                <w:szCs w:val="24"/>
                <w:highlight w:val="none"/>
              </w:rPr>
              <w:t>要及时发现并</w:t>
            </w:r>
            <w:r>
              <w:rPr>
                <w:rFonts w:hint="eastAsia" w:ascii="宋体" w:hAnsi="宋体" w:eastAsia="宋体" w:cs="宋体"/>
                <w:color w:val="auto"/>
                <w:spacing w:val="-2"/>
                <w:sz w:val="24"/>
                <w:szCs w:val="24"/>
                <w:highlight w:val="none"/>
                <w:lang w:val="en-US" w:eastAsia="zh-CN"/>
              </w:rPr>
              <w:t>采购人</w:t>
            </w:r>
            <w:r>
              <w:rPr>
                <w:rFonts w:hint="eastAsia" w:ascii="宋体" w:hAnsi="宋体" w:eastAsia="宋体" w:cs="宋体"/>
                <w:color w:val="auto"/>
                <w:spacing w:val="-2"/>
                <w:sz w:val="24"/>
                <w:szCs w:val="24"/>
                <w:highlight w:val="none"/>
              </w:rPr>
              <w:t>协</w:t>
            </w:r>
            <w:r>
              <w:rPr>
                <w:rFonts w:hint="eastAsia" w:ascii="宋体" w:hAnsi="宋体" w:eastAsia="宋体" w:cs="宋体"/>
                <w:color w:val="auto"/>
                <w:spacing w:val="-6"/>
                <w:sz w:val="24"/>
                <w:szCs w:val="24"/>
                <w:highlight w:val="none"/>
              </w:rPr>
              <w:t>调、在</w:t>
            </w:r>
            <w:r>
              <w:rPr>
                <w:rFonts w:hint="eastAsia" w:ascii="宋体" w:hAnsi="宋体" w:eastAsia="宋体" w:cs="宋体"/>
                <w:color w:val="auto"/>
                <w:spacing w:val="-55"/>
                <w:sz w:val="24"/>
                <w:szCs w:val="24"/>
                <w:highlight w:val="none"/>
              </w:rPr>
              <w:t xml:space="preserve"> </w:t>
            </w:r>
            <w:r>
              <w:rPr>
                <w:rFonts w:hint="eastAsia" w:ascii="宋体" w:hAnsi="宋体" w:eastAsia="宋体" w:cs="宋体"/>
                <w:color w:val="auto"/>
                <w:spacing w:val="-6"/>
                <w:sz w:val="24"/>
                <w:szCs w:val="24"/>
                <w:highlight w:val="none"/>
              </w:rPr>
              <w:t>2</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6"/>
                <w:sz w:val="24"/>
                <w:szCs w:val="24"/>
                <w:highlight w:val="none"/>
              </w:rPr>
              <w:t>天内修复。</w:t>
            </w:r>
          </w:p>
        </w:tc>
        <w:tc>
          <w:tcPr>
            <w:tcW w:w="2135" w:type="dxa"/>
            <w:tcBorders>
              <w:top w:val="single" w:color="auto" w:sz="4" w:space="0"/>
              <w:left w:val="single" w:color="auto" w:sz="4" w:space="0"/>
              <w:bottom w:val="single" w:color="auto" w:sz="4" w:space="0"/>
              <w:right w:val="single" w:color="auto" w:sz="4" w:space="0"/>
            </w:tcBorders>
            <w:vAlign w:val="center"/>
          </w:tcPr>
          <w:p w14:paraId="44862E19">
            <w:pPr>
              <w:spacing w:before="317" w:line="361" w:lineRule="auto"/>
              <w:ind w:left="118" w:right="298" w:firstLine="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rPr>
              <w:t>未及时修复每次扣0.5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3"/>
                <w:sz w:val="24"/>
                <w:szCs w:val="24"/>
                <w:highlight w:val="none"/>
              </w:rPr>
              <w:t>分</w:t>
            </w:r>
            <w:r>
              <w:rPr>
                <w:rFonts w:hint="eastAsia" w:ascii="宋体" w:hAnsi="宋体" w:cs="宋体"/>
                <w:color w:val="auto"/>
                <w:spacing w:val="-3"/>
                <w:sz w:val="24"/>
                <w:szCs w:val="24"/>
                <w:highlight w:val="none"/>
                <w:lang w:eastAsia="zh-CN"/>
              </w:rPr>
              <w:t>。</w:t>
            </w:r>
          </w:p>
        </w:tc>
        <w:tc>
          <w:tcPr>
            <w:tcW w:w="959" w:type="dxa"/>
            <w:tcBorders>
              <w:left w:val="single" w:color="auto" w:sz="4" w:space="0"/>
            </w:tcBorders>
            <w:vAlign w:val="top"/>
          </w:tcPr>
          <w:p w14:paraId="67336DD5">
            <w:pPr>
              <w:pStyle w:val="7"/>
              <w:rPr>
                <w:rFonts w:hint="eastAsia" w:ascii="宋体" w:hAnsi="宋体" w:eastAsia="宋体" w:cs="宋体"/>
                <w:color w:val="auto"/>
                <w:sz w:val="24"/>
                <w:szCs w:val="24"/>
                <w:highlight w:val="none"/>
              </w:rPr>
            </w:pPr>
          </w:p>
        </w:tc>
        <w:tc>
          <w:tcPr>
            <w:tcW w:w="731" w:type="dxa"/>
            <w:vAlign w:val="top"/>
          </w:tcPr>
          <w:p w14:paraId="74061E0B">
            <w:pPr>
              <w:pStyle w:val="7"/>
              <w:rPr>
                <w:rFonts w:hint="eastAsia" w:ascii="宋体" w:hAnsi="宋体" w:eastAsia="宋体" w:cs="宋体"/>
                <w:color w:val="auto"/>
                <w:sz w:val="24"/>
                <w:szCs w:val="24"/>
                <w:highlight w:val="none"/>
              </w:rPr>
            </w:pPr>
          </w:p>
        </w:tc>
      </w:tr>
      <w:tr w14:paraId="20CB4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1" w:hRule="atLeast"/>
        </w:trPr>
        <w:tc>
          <w:tcPr>
            <w:tcW w:w="1039" w:type="dxa"/>
            <w:vMerge w:val="continue"/>
            <w:vAlign w:val="center"/>
          </w:tcPr>
          <w:p w14:paraId="49EEBF44">
            <w:pPr>
              <w:pStyle w:val="7"/>
              <w:jc w:val="center"/>
              <w:rPr>
                <w:rFonts w:hint="eastAsia" w:ascii="宋体" w:hAnsi="宋体" w:eastAsia="宋体" w:cs="宋体"/>
                <w:color w:val="auto"/>
                <w:sz w:val="24"/>
                <w:szCs w:val="24"/>
                <w:highlight w:val="none"/>
              </w:rPr>
            </w:pPr>
          </w:p>
        </w:tc>
        <w:tc>
          <w:tcPr>
            <w:tcW w:w="1331" w:type="dxa"/>
            <w:vMerge w:val="continue"/>
            <w:vAlign w:val="center"/>
          </w:tcPr>
          <w:p w14:paraId="593EE909">
            <w:pPr>
              <w:pStyle w:val="7"/>
              <w:jc w:val="center"/>
              <w:rPr>
                <w:rFonts w:hint="eastAsia" w:ascii="宋体" w:hAnsi="宋体" w:eastAsia="宋体" w:cs="宋体"/>
                <w:color w:val="auto"/>
                <w:sz w:val="24"/>
                <w:szCs w:val="24"/>
                <w:highlight w:val="none"/>
              </w:rPr>
            </w:pPr>
          </w:p>
        </w:tc>
        <w:tc>
          <w:tcPr>
            <w:tcW w:w="3715" w:type="dxa"/>
            <w:tcBorders>
              <w:right w:val="single" w:color="auto" w:sz="4" w:space="0"/>
            </w:tcBorders>
            <w:vAlign w:val="center"/>
          </w:tcPr>
          <w:p w14:paraId="5A90F01D">
            <w:pPr>
              <w:spacing w:before="45" w:line="349" w:lineRule="auto"/>
              <w:ind w:left="122" w:right="102" w:firstLine="30"/>
              <w:jc w:val="both"/>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电缆管线和其它设施被盗、破</w:t>
            </w:r>
            <w:r>
              <w:rPr>
                <w:rFonts w:hint="eastAsia" w:ascii="宋体" w:hAnsi="宋体" w:eastAsia="宋体" w:cs="宋体"/>
                <w:color w:val="auto"/>
                <w:spacing w:val="3"/>
                <w:sz w:val="24"/>
                <w:szCs w:val="24"/>
                <w:highlight w:val="none"/>
              </w:rPr>
              <w:t>损，要及时组织抢修，并在3</w:t>
            </w:r>
            <w:r>
              <w:rPr>
                <w:rFonts w:hint="eastAsia" w:ascii="宋体" w:hAnsi="宋体" w:eastAsia="宋体" w:cs="宋体"/>
                <w:color w:val="auto"/>
                <w:spacing w:val="-4"/>
                <w:sz w:val="24"/>
                <w:szCs w:val="24"/>
                <w:highlight w:val="none"/>
              </w:rPr>
              <w:t>天内修复。</w:t>
            </w:r>
          </w:p>
        </w:tc>
        <w:tc>
          <w:tcPr>
            <w:tcW w:w="2135" w:type="dxa"/>
            <w:tcBorders>
              <w:top w:val="single" w:color="auto" w:sz="4" w:space="0"/>
              <w:left w:val="single" w:color="auto" w:sz="4" w:space="0"/>
              <w:bottom w:val="single" w:color="auto" w:sz="4" w:space="0"/>
              <w:right w:val="single" w:color="auto" w:sz="4" w:space="0"/>
            </w:tcBorders>
            <w:vAlign w:val="center"/>
          </w:tcPr>
          <w:p w14:paraId="1D524216">
            <w:pPr>
              <w:spacing w:before="319" w:line="359" w:lineRule="auto"/>
              <w:ind w:right="10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rPr>
              <w:t>未及时修复每次扣1</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tc>
        <w:tc>
          <w:tcPr>
            <w:tcW w:w="959" w:type="dxa"/>
            <w:tcBorders>
              <w:left w:val="single" w:color="auto" w:sz="4" w:space="0"/>
            </w:tcBorders>
            <w:vAlign w:val="top"/>
          </w:tcPr>
          <w:p w14:paraId="58406F95">
            <w:pPr>
              <w:pStyle w:val="7"/>
              <w:rPr>
                <w:rFonts w:hint="eastAsia" w:ascii="宋体" w:hAnsi="宋体" w:eastAsia="宋体" w:cs="宋体"/>
                <w:color w:val="auto"/>
                <w:sz w:val="24"/>
                <w:szCs w:val="24"/>
                <w:highlight w:val="none"/>
              </w:rPr>
            </w:pPr>
          </w:p>
        </w:tc>
        <w:tc>
          <w:tcPr>
            <w:tcW w:w="731" w:type="dxa"/>
            <w:tcBorders>
              <w:top w:val="nil"/>
            </w:tcBorders>
            <w:vAlign w:val="top"/>
          </w:tcPr>
          <w:p w14:paraId="1B3A0796">
            <w:pPr>
              <w:pStyle w:val="7"/>
              <w:rPr>
                <w:rFonts w:hint="eastAsia" w:ascii="宋体" w:hAnsi="宋体" w:eastAsia="宋体" w:cs="宋体"/>
                <w:color w:val="auto"/>
                <w:sz w:val="24"/>
                <w:szCs w:val="24"/>
                <w:highlight w:val="none"/>
              </w:rPr>
            </w:pPr>
          </w:p>
        </w:tc>
      </w:tr>
      <w:tr w14:paraId="17AE6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02" w:hRule="atLeast"/>
        </w:trPr>
        <w:tc>
          <w:tcPr>
            <w:tcW w:w="1039" w:type="dxa"/>
            <w:vMerge w:val="continue"/>
            <w:vAlign w:val="center"/>
          </w:tcPr>
          <w:p w14:paraId="29FA8A6C">
            <w:pPr>
              <w:pStyle w:val="7"/>
              <w:jc w:val="center"/>
              <w:rPr>
                <w:rFonts w:hint="eastAsia" w:ascii="宋体" w:hAnsi="宋体" w:eastAsia="宋体" w:cs="宋体"/>
                <w:color w:val="auto"/>
                <w:sz w:val="24"/>
                <w:szCs w:val="24"/>
                <w:highlight w:val="none"/>
              </w:rPr>
            </w:pPr>
          </w:p>
        </w:tc>
        <w:tc>
          <w:tcPr>
            <w:tcW w:w="1331" w:type="dxa"/>
            <w:vAlign w:val="center"/>
          </w:tcPr>
          <w:p w14:paraId="2729C083">
            <w:pPr>
              <w:spacing w:before="41" w:line="223"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6"/>
                <w:sz w:val="24"/>
                <w:szCs w:val="24"/>
                <w:highlight w:val="none"/>
              </w:rPr>
              <w:t>夜景亮化日常</w:t>
            </w:r>
            <w:r>
              <w:rPr>
                <w:rFonts w:hint="eastAsia" w:ascii="宋体" w:hAnsi="宋体" w:eastAsia="宋体" w:cs="宋体"/>
                <w:color w:val="auto"/>
                <w:spacing w:val="-7"/>
                <w:sz w:val="24"/>
                <w:szCs w:val="24"/>
                <w:highlight w:val="none"/>
              </w:rPr>
              <w:t>巡查管</w:t>
            </w:r>
            <w:r>
              <w:rPr>
                <w:rFonts w:hint="eastAsia" w:ascii="宋体" w:hAnsi="宋体" w:eastAsia="宋体" w:cs="宋体"/>
                <w:color w:val="auto"/>
                <w:spacing w:val="-5"/>
                <w:sz w:val="24"/>
                <w:szCs w:val="24"/>
                <w:highlight w:val="none"/>
              </w:rPr>
              <w:t>理</w:t>
            </w:r>
          </w:p>
          <w:p w14:paraId="732B8058">
            <w:pPr>
              <w:spacing w:before="41" w:line="223"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w:t>
            </w:r>
            <w:r>
              <w:rPr>
                <w:rFonts w:hint="eastAsia" w:ascii="宋体" w:hAnsi="宋体" w:eastAsia="宋体" w:cs="宋体"/>
                <w:color w:val="auto"/>
                <w:spacing w:val="-5"/>
                <w:sz w:val="24"/>
                <w:szCs w:val="24"/>
                <w:highlight w:val="none"/>
                <w:lang w:val="en-US" w:eastAsia="zh-CN"/>
              </w:rPr>
              <w:t>5</w:t>
            </w:r>
            <w:r>
              <w:rPr>
                <w:rFonts w:hint="eastAsia" w:ascii="宋体" w:hAnsi="宋体" w:eastAsia="宋体" w:cs="宋体"/>
                <w:color w:val="auto"/>
                <w:spacing w:val="59"/>
                <w:sz w:val="24"/>
                <w:szCs w:val="24"/>
                <w:highlight w:val="none"/>
              </w:rPr>
              <w:t>分）</w:t>
            </w:r>
          </w:p>
        </w:tc>
        <w:tc>
          <w:tcPr>
            <w:tcW w:w="3715" w:type="dxa"/>
            <w:vAlign w:val="center"/>
          </w:tcPr>
          <w:p w14:paraId="3D1B933B">
            <w:pPr>
              <w:spacing w:before="91"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成交供应商应建立夜景亮化</w:t>
            </w:r>
            <w:r>
              <w:rPr>
                <w:rFonts w:hint="eastAsia" w:ascii="宋体" w:hAnsi="宋体" w:eastAsia="宋体" w:cs="宋体"/>
                <w:color w:val="auto"/>
                <w:spacing w:val="-3"/>
                <w:sz w:val="24"/>
                <w:szCs w:val="24"/>
                <w:highlight w:val="none"/>
              </w:rPr>
              <w:t>设施维护周巡查制度，做到建</w:t>
            </w:r>
            <w:r>
              <w:rPr>
                <w:rFonts w:hint="eastAsia" w:ascii="宋体" w:hAnsi="宋体" w:eastAsia="宋体" w:cs="宋体"/>
                <w:color w:val="auto"/>
                <w:spacing w:val="-16"/>
                <w:sz w:val="24"/>
                <w:szCs w:val="24"/>
                <w:highlight w:val="none"/>
              </w:rPr>
              <w:t>立台帐、责任到人、巡查到位。</w:t>
            </w:r>
          </w:p>
        </w:tc>
        <w:tc>
          <w:tcPr>
            <w:tcW w:w="2135" w:type="dxa"/>
            <w:tcBorders>
              <w:top w:val="single" w:color="auto" w:sz="4" w:space="0"/>
            </w:tcBorders>
            <w:vAlign w:val="center"/>
          </w:tcPr>
          <w:p w14:paraId="4D1883CC">
            <w:pPr>
              <w:spacing w:before="315" w:line="360" w:lineRule="auto"/>
              <w:ind w:right="127"/>
              <w:jc w:val="both"/>
              <w:rPr>
                <w:rFonts w:hint="eastAsia" w:ascii="宋体" w:hAnsi="宋体" w:eastAsia="宋体" w:cs="宋体"/>
                <w:color w:val="auto"/>
                <w:sz w:val="24"/>
                <w:szCs w:val="24"/>
                <w:highlight w:val="none"/>
              </w:rPr>
            </w:pPr>
            <w:r>
              <w:rPr>
                <w:rFonts w:hint="eastAsia" w:ascii="宋体" w:hAnsi="宋体" w:eastAsia="宋体" w:cs="宋体"/>
                <w:color w:val="auto"/>
                <w:spacing w:val="-19"/>
                <w:sz w:val="24"/>
                <w:szCs w:val="24"/>
                <w:highlight w:val="none"/>
              </w:rPr>
              <w:t>未建立制度扣</w:t>
            </w:r>
            <w:r>
              <w:rPr>
                <w:rFonts w:hint="eastAsia" w:ascii="宋体" w:hAnsi="宋体" w:eastAsia="宋体" w:cs="宋体"/>
                <w:color w:val="auto"/>
                <w:spacing w:val="-44"/>
                <w:sz w:val="24"/>
                <w:szCs w:val="24"/>
                <w:highlight w:val="none"/>
              </w:rPr>
              <w:t xml:space="preserve"> </w:t>
            </w:r>
            <w:r>
              <w:rPr>
                <w:rFonts w:hint="eastAsia" w:ascii="宋体" w:hAnsi="宋体" w:eastAsia="宋体" w:cs="宋体"/>
                <w:color w:val="auto"/>
                <w:spacing w:val="-19"/>
                <w:sz w:val="24"/>
                <w:szCs w:val="24"/>
                <w:highlight w:val="none"/>
              </w:rPr>
              <w:t>1</w:t>
            </w:r>
            <w:r>
              <w:rPr>
                <w:rFonts w:hint="eastAsia" w:ascii="宋体" w:hAnsi="宋体" w:eastAsia="宋体" w:cs="宋体"/>
                <w:color w:val="auto"/>
                <w:spacing w:val="-55"/>
                <w:sz w:val="24"/>
                <w:szCs w:val="24"/>
                <w:highlight w:val="none"/>
              </w:rPr>
              <w:t xml:space="preserve"> </w:t>
            </w:r>
            <w:r>
              <w:rPr>
                <w:rFonts w:hint="eastAsia" w:ascii="宋体" w:hAnsi="宋体" w:eastAsia="宋体" w:cs="宋体"/>
                <w:color w:val="auto"/>
                <w:spacing w:val="-19"/>
                <w:sz w:val="24"/>
                <w:szCs w:val="24"/>
                <w:highlight w:val="none"/>
              </w:rPr>
              <w:t>分、</w:t>
            </w:r>
            <w:r>
              <w:rPr>
                <w:rFonts w:hint="eastAsia" w:ascii="宋体" w:hAnsi="宋体" w:eastAsia="宋体" w:cs="宋体"/>
                <w:color w:val="auto"/>
                <w:spacing w:val="-9"/>
                <w:sz w:val="24"/>
                <w:szCs w:val="24"/>
                <w:highlight w:val="none"/>
              </w:rPr>
              <w:t>未按时巡查每次扣</w:t>
            </w:r>
            <w:r>
              <w:rPr>
                <w:rFonts w:hint="eastAsia" w:ascii="宋体" w:hAnsi="宋体" w:eastAsia="宋体" w:cs="宋体"/>
                <w:color w:val="auto"/>
                <w:spacing w:val="2"/>
                <w:sz w:val="24"/>
                <w:szCs w:val="24"/>
                <w:highlight w:val="none"/>
              </w:rPr>
              <w:t xml:space="preserve"> </w:t>
            </w:r>
            <w:r>
              <w:rPr>
                <w:rFonts w:hint="eastAsia" w:ascii="宋体" w:hAnsi="宋体" w:eastAsia="宋体" w:cs="宋体"/>
                <w:color w:val="auto"/>
                <w:spacing w:val="-9"/>
                <w:sz w:val="24"/>
                <w:szCs w:val="24"/>
                <w:highlight w:val="none"/>
              </w:rPr>
              <w:t>0.5</w:t>
            </w:r>
            <w:r>
              <w:rPr>
                <w:rFonts w:hint="eastAsia" w:ascii="宋体" w:hAnsi="宋体" w:eastAsia="宋体" w:cs="宋体"/>
                <w:color w:val="auto"/>
                <w:spacing w:val="-53"/>
                <w:sz w:val="24"/>
                <w:szCs w:val="24"/>
                <w:highlight w:val="none"/>
              </w:rPr>
              <w:t xml:space="preserve"> </w:t>
            </w:r>
            <w:r>
              <w:rPr>
                <w:rFonts w:hint="eastAsia" w:ascii="宋体" w:hAnsi="宋体" w:eastAsia="宋体" w:cs="宋体"/>
                <w:color w:val="auto"/>
                <w:spacing w:val="-9"/>
                <w:sz w:val="24"/>
                <w:szCs w:val="24"/>
                <w:highlight w:val="none"/>
              </w:rPr>
              <w:t>分、未建立台账</w:t>
            </w:r>
            <w:r>
              <w:rPr>
                <w:rFonts w:hint="eastAsia" w:ascii="宋体" w:hAnsi="宋体" w:eastAsia="宋体" w:cs="宋体"/>
                <w:color w:val="auto"/>
                <w:spacing w:val="-16"/>
                <w:sz w:val="24"/>
                <w:szCs w:val="24"/>
                <w:highlight w:val="none"/>
              </w:rPr>
              <w:t>扣</w:t>
            </w:r>
            <w:r>
              <w:rPr>
                <w:rFonts w:hint="eastAsia" w:ascii="宋体" w:hAnsi="宋体" w:eastAsia="宋体" w:cs="宋体"/>
                <w:color w:val="auto"/>
                <w:spacing w:val="-49"/>
                <w:sz w:val="24"/>
                <w:szCs w:val="24"/>
                <w:highlight w:val="none"/>
              </w:rPr>
              <w:t xml:space="preserve"> </w:t>
            </w:r>
            <w:r>
              <w:rPr>
                <w:rFonts w:hint="eastAsia" w:ascii="宋体" w:hAnsi="宋体" w:eastAsia="宋体" w:cs="宋体"/>
                <w:color w:val="auto"/>
                <w:spacing w:val="-16"/>
                <w:sz w:val="24"/>
                <w:szCs w:val="24"/>
                <w:highlight w:val="none"/>
              </w:rPr>
              <w:t>1</w:t>
            </w:r>
            <w:r>
              <w:rPr>
                <w:rFonts w:hint="eastAsia" w:ascii="宋体" w:hAnsi="宋体" w:eastAsia="宋体" w:cs="宋体"/>
                <w:color w:val="auto"/>
                <w:spacing w:val="-55"/>
                <w:sz w:val="24"/>
                <w:szCs w:val="24"/>
                <w:highlight w:val="none"/>
              </w:rPr>
              <w:t xml:space="preserve"> </w:t>
            </w:r>
            <w:r>
              <w:rPr>
                <w:rFonts w:hint="eastAsia" w:ascii="宋体" w:hAnsi="宋体" w:eastAsia="宋体" w:cs="宋体"/>
                <w:color w:val="auto"/>
                <w:spacing w:val="-16"/>
                <w:sz w:val="24"/>
                <w:szCs w:val="24"/>
                <w:highlight w:val="none"/>
              </w:rPr>
              <w:t>分。</w:t>
            </w:r>
          </w:p>
        </w:tc>
        <w:tc>
          <w:tcPr>
            <w:tcW w:w="959" w:type="dxa"/>
            <w:vAlign w:val="top"/>
          </w:tcPr>
          <w:p w14:paraId="0E04D015">
            <w:pPr>
              <w:pStyle w:val="7"/>
              <w:rPr>
                <w:rFonts w:hint="eastAsia" w:ascii="宋体" w:hAnsi="宋体" w:eastAsia="宋体" w:cs="宋体"/>
                <w:color w:val="auto"/>
                <w:sz w:val="24"/>
                <w:szCs w:val="24"/>
                <w:highlight w:val="none"/>
              </w:rPr>
            </w:pPr>
          </w:p>
        </w:tc>
        <w:tc>
          <w:tcPr>
            <w:tcW w:w="731" w:type="dxa"/>
            <w:vAlign w:val="top"/>
          </w:tcPr>
          <w:p w14:paraId="7327779E">
            <w:pPr>
              <w:pStyle w:val="7"/>
              <w:rPr>
                <w:rFonts w:hint="eastAsia" w:ascii="宋体" w:hAnsi="宋体" w:eastAsia="宋体" w:cs="宋体"/>
                <w:color w:val="auto"/>
                <w:sz w:val="24"/>
                <w:szCs w:val="24"/>
                <w:highlight w:val="none"/>
              </w:rPr>
            </w:pPr>
          </w:p>
        </w:tc>
      </w:tr>
      <w:tr w14:paraId="5251C3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6" w:hRule="atLeast"/>
        </w:trPr>
        <w:tc>
          <w:tcPr>
            <w:tcW w:w="1039" w:type="dxa"/>
            <w:vMerge w:val="continue"/>
            <w:vAlign w:val="center"/>
          </w:tcPr>
          <w:p w14:paraId="4658BEFD">
            <w:pPr>
              <w:pStyle w:val="7"/>
              <w:jc w:val="center"/>
              <w:rPr>
                <w:rFonts w:hint="eastAsia" w:ascii="宋体" w:hAnsi="宋体" w:eastAsia="宋体" w:cs="宋体"/>
                <w:color w:val="auto"/>
                <w:sz w:val="24"/>
                <w:szCs w:val="24"/>
                <w:highlight w:val="none"/>
              </w:rPr>
            </w:pPr>
          </w:p>
        </w:tc>
        <w:tc>
          <w:tcPr>
            <w:tcW w:w="1331" w:type="dxa"/>
            <w:vAlign w:val="center"/>
          </w:tcPr>
          <w:p w14:paraId="4E743A32">
            <w:pPr>
              <w:spacing w:before="205" w:line="349" w:lineRule="auto"/>
              <w:ind w:right="232"/>
              <w:jc w:val="center"/>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亮灯率</w:t>
            </w:r>
            <w:r>
              <w:rPr>
                <w:rFonts w:hint="eastAsia" w:ascii="宋体" w:hAnsi="宋体" w:cs="宋体"/>
                <w:color w:val="auto"/>
                <w:spacing w:val="-7"/>
                <w:sz w:val="24"/>
                <w:szCs w:val="24"/>
                <w:highlight w:val="none"/>
                <w:lang w:val="en-US" w:eastAsia="zh-CN"/>
              </w:rPr>
              <w:t xml:space="preserve">    </w:t>
            </w:r>
            <w:r>
              <w:rPr>
                <w:rFonts w:hint="eastAsia" w:ascii="宋体" w:hAnsi="宋体" w:eastAsia="宋体" w:cs="宋体"/>
                <w:color w:val="auto"/>
                <w:spacing w:val="-7"/>
                <w:sz w:val="24"/>
                <w:szCs w:val="24"/>
                <w:highlight w:val="none"/>
                <w:lang w:val="en-US" w:eastAsia="zh-CN"/>
              </w:rPr>
              <w:t>（10分）</w:t>
            </w:r>
          </w:p>
        </w:tc>
        <w:tc>
          <w:tcPr>
            <w:tcW w:w="3715" w:type="dxa"/>
            <w:vAlign w:val="center"/>
          </w:tcPr>
          <w:p w14:paraId="097E741C">
            <w:pPr>
              <w:spacing w:before="91" w:line="223" w:lineRule="auto"/>
              <w:ind w:leftChars="100"/>
              <w:jc w:val="both"/>
              <w:rPr>
                <w:rFonts w:hint="eastAsia" w:ascii="宋体" w:hAnsi="宋体" w:eastAsia="宋体" w:cs="宋体"/>
                <w:color w:val="auto"/>
                <w:spacing w:val="-16"/>
                <w:sz w:val="24"/>
                <w:szCs w:val="24"/>
                <w:highlight w:val="none"/>
                <w:lang w:eastAsia="zh-CN"/>
              </w:rPr>
            </w:pPr>
            <w:r>
              <w:rPr>
                <w:rFonts w:hint="eastAsia" w:ascii="宋体" w:hAnsi="宋体" w:eastAsia="宋体" w:cs="宋体"/>
                <w:b w:val="0"/>
                <w:bCs w:val="0"/>
                <w:color w:val="auto"/>
                <w:spacing w:val="-2"/>
                <w:sz w:val="24"/>
                <w:szCs w:val="24"/>
                <w:highlight w:val="none"/>
              </w:rPr>
              <w:t>保证亮灯率9</w:t>
            </w:r>
            <w:r>
              <w:rPr>
                <w:rFonts w:hint="eastAsia" w:ascii="宋体" w:hAnsi="宋体" w:cs="宋体"/>
                <w:b w:val="0"/>
                <w:bCs w:val="0"/>
                <w:color w:val="auto"/>
                <w:spacing w:val="-2"/>
                <w:sz w:val="24"/>
                <w:szCs w:val="24"/>
                <w:highlight w:val="none"/>
                <w:lang w:val="en-US" w:eastAsia="zh-CN"/>
              </w:rPr>
              <w:t>0</w:t>
            </w:r>
            <w:r>
              <w:rPr>
                <w:rFonts w:hint="eastAsia" w:ascii="宋体" w:hAnsi="宋体" w:eastAsia="宋体" w:cs="宋体"/>
                <w:b w:val="0"/>
                <w:bCs w:val="0"/>
                <w:color w:val="auto"/>
                <w:spacing w:val="-2"/>
                <w:sz w:val="24"/>
                <w:szCs w:val="24"/>
                <w:highlight w:val="none"/>
              </w:rPr>
              <w:t>%以上</w:t>
            </w:r>
            <w:r>
              <w:rPr>
                <w:rFonts w:hint="eastAsia" w:ascii="宋体" w:hAnsi="宋体" w:eastAsia="宋体" w:cs="宋体"/>
                <w:b w:val="0"/>
                <w:bCs w:val="0"/>
                <w:color w:val="auto"/>
                <w:spacing w:val="-2"/>
                <w:sz w:val="24"/>
                <w:szCs w:val="24"/>
                <w:highlight w:val="none"/>
                <w:lang w:eastAsia="zh-CN"/>
              </w:rPr>
              <w:t>（</w:t>
            </w:r>
            <w:r>
              <w:rPr>
                <w:rFonts w:hint="eastAsia" w:ascii="宋体" w:hAnsi="宋体" w:eastAsia="宋体" w:cs="宋体"/>
                <w:b w:val="0"/>
                <w:bCs w:val="0"/>
                <w:color w:val="auto"/>
                <w:spacing w:val="-2"/>
                <w:sz w:val="24"/>
                <w:szCs w:val="24"/>
                <w:highlight w:val="none"/>
                <w:lang w:val="en-US" w:eastAsia="zh-CN"/>
              </w:rPr>
              <w:t>按投标人承诺的执行</w:t>
            </w:r>
            <w:r>
              <w:rPr>
                <w:rFonts w:hint="eastAsia" w:ascii="宋体" w:hAnsi="宋体" w:eastAsia="宋体" w:cs="宋体"/>
                <w:b w:val="0"/>
                <w:bCs w:val="0"/>
                <w:color w:val="auto"/>
                <w:spacing w:val="-2"/>
                <w:sz w:val="24"/>
                <w:szCs w:val="24"/>
                <w:highlight w:val="none"/>
                <w:lang w:eastAsia="zh-CN"/>
              </w:rPr>
              <w:t>）</w:t>
            </w:r>
            <w:r>
              <w:rPr>
                <w:rFonts w:hint="eastAsia" w:ascii="宋体" w:hAnsi="宋体" w:cs="宋体"/>
                <w:b w:val="0"/>
                <w:bCs w:val="0"/>
                <w:color w:val="auto"/>
                <w:spacing w:val="-2"/>
                <w:sz w:val="24"/>
                <w:szCs w:val="24"/>
                <w:highlight w:val="none"/>
                <w:lang w:eastAsia="zh-CN"/>
              </w:rPr>
              <w:t>。</w:t>
            </w:r>
          </w:p>
        </w:tc>
        <w:tc>
          <w:tcPr>
            <w:tcW w:w="2135" w:type="dxa"/>
            <w:tcBorders>
              <w:top w:val="single" w:color="auto" w:sz="4" w:space="0"/>
            </w:tcBorders>
            <w:vAlign w:val="center"/>
          </w:tcPr>
          <w:p w14:paraId="5E66D9F2">
            <w:pPr>
              <w:pStyle w:val="3"/>
              <w:jc w:val="both"/>
              <w:rPr>
                <w:rFonts w:hint="eastAsia" w:ascii="宋体" w:hAnsi="宋体" w:eastAsia="宋体" w:cs="宋体"/>
                <w:color w:val="auto"/>
                <w:spacing w:val="-19"/>
                <w:sz w:val="24"/>
                <w:szCs w:val="24"/>
                <w:highlight w:val="none"/>
                <w:lang w:val="en-US" w:eastAsia="zh-CN"/>
              </w:rPr>
            </w:pPr>
            <w:r>
              <w:rPr>
                <w:rFonts w:hint="eastAsia" w:ascii="宋体" w:hAnsi="宋体" w:eastAsia="宋体" w:cs="宋体"/>
                <w:color w:val="auto"/>
                <w:spacing w:val="-19"/>
                <w:sz w:val="24"/>
                <w:szCs w:val="24"/>
                <w:highlight w:val="none"/>
                <w:lang w:val="en-US" w:eastAsia="zh-CN"/>
              </w:rPr>
              <w:t>服务范围内</w:t>
            </w:r>
            <w:r>
              <w:rPr>
                <w:rFonts w:hint="eastAsia" w:ascii="宋体" w:hAnsi="宋体" w:eastAsia="宋体" w:cs="宋体"/>
                <w:color w:val="auto"/>
                <w:highlight w:val="none"/>
                <w:lang w:val="en-US" w:eastAsia="zh-CN"/>
              </w:rPr>
              <w:t>每发现一处不亮扣0.5分，整栋不亮扣1分</w:t>
            </w:r>
            <w:r>
              <w:rPr>
                <w:rFonts w:hint="eastAsia" w:ascii="宋体" w:hAnsi="宋体" w:eastAsia="宋体" w:cs="宋体"/>
                <w:color w:val="auto"/>
                <w:spacing w:val="-19"/>
                <w:sz w:val="24"/>
                <w:szCs w:val="24"/>
                <w:highlight w:val="none"/>
                <w:lang w:val="en-US" w:eastAsia="zh-CN"/>
              </w:rPr>
              <w:t>。</w:t>
            </w:r>
          </w:p>
        </w:tc>
        <w:tc>
          <w:tcPr>
            <w:tcW w:w="959" w:type="dxa"/>
            <w:vAlign w:val="top"/>
          </w:tcPr>
          <w:p w14:paraId="00894457">
            <w:pPr>
              <w:pStyle w:val="7"/>
              <w:rPr>
                <w:rFonts w:hint="eastAsia" w:ascii="宋体" w:hAnsi="宋体" w:eastAsia="宋体" w:cs="宋体"/>
                <w:color w:val="auto"/>
                <w:sz w:val="24"/>
                <w:szCs w:val="24"/>
                <w:highlight w:val="none"/>
              </w:rPr>
            </w:pPr>
          </w:p>
        </w:tc>
        <w:tc>
          <w:tcPr>
            <w:tcW w:w="731" w:type="dxa"/>
            <w:vAlign w:val="top"/>
          </w:tcPr>
          <w:p w14:paraId="73E7F466">
            <w:pPr>
              <w:pStyle w:val="7"/>
              <w:rPr>
                <w:rFonts w:hint="eastAsia" w:ascii="宋体" w:hAnsi="宋体" w:eastAsia="宋体" w:cs="宋体"/>
                <w:color w:val="auto"/>
                <w:sz w:val="24"/>
                <w:szCs w:val="24"/>
                <w:highlight w:val="none"/>
              </w:rPr>
            </w:pPr>
          </w:p>
        </w:tc>
      </w:tr>
      <w:tr w14:paraId="6BA265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2" w:hRule="atLeast"/>
        </w:trPr>
        <w:tc>
          <w:tcPr>
            <w:tcW w:w="1039" w:type="dxa"/>
            <w:vMerge w:val="continue"/>
            <w:vAlign w:val="center"/>
          </w:tcPr>
          <w:p w14:paraId="5802AFA9">
            <w:pPr>
              <w:pStyle w:val="7"/>
              <w:jc w:val="center"/>
              <w:rPr>
                <w:rFonts w:hint="eastAsia" w:ascii="宋体" w:hAnsi="宋体" w:eastAsia="宋体" w:cs="宋体"/>
                <w:color w:val="auto"/>
                <w:sz w:val="24"/>
                <w:szCs w:val="24"/>
                <w:highlight w:val="none"/>
              </w:rPr>
            </w:pPr>
          </w:p>
        </w:tc>
        <w:tc>
          <w:tcPr>
            <w:tcW w:w="1331" w:type="dxa"/>
            <w:vAlign w:val="center"/>
          </w:tcPr>
          <w:p w14:paraId="5842FC4B">
            <w:pPr>
              <w:spacing w:before="42" w:line="360" w:lineRule="auto"/>
              <w:jc w:val="center"/>
              <w:rPr>
                <w:rFonts w:hint="eastAsia" w:ascii="宋体" w:hAnsi="宋体" w:eastAsia="宋体" w:cs="宋体"/>
                <w:color w:val="auto"/>
                <w:spacing w:val="-34"/>
                <w:sz w:val="24"/>
                <w:szCs w:val="24"/>
                <w:highlight w:val="none"/>
              </w:rPr>
            </w:pPr>
            <w:r>
              <w:rPr>
                <w:rFonts w:hint="eastAsia" w:ascii="宋体" w:hAnsi="宋体" w:eastAsia="宋体" w:cs="宋体"/>
                <w:color w:val="auto"/>
                <w:spacing w:val="-6"/>
                <w:sz w:val="24"/>
                <w:szCs w:val="24"/>
                <w:highlight w:val="none"/>
              </w:rPr>
              <w:t>夜景亮化日常</w:t>
            </w:r>
            <w:r>
              <w:rPr>
                <w:rFonts w:hint="eastAsia" w:ascii="宋体" w:hAnsi="宋体" w:eastAsia="宋体" w:cs="宋体"/>
                <w:color w:val="auto"/>
                <w:spacing w:val="-11"/>
                <w:sz w:val="24"/>
                <w:szCs w:val="24"/>
                <w:highlight w:val="none"/>
              </w:rPr>
              <w:t>容貌管</w:t>
            </w:r>
            <w:r>
              <w:rPr>
                <w:rFonts w:hint="eastAsia" w:ascii="宋体" w:hAnsi="宋体" w:eastAsia="宋体" w:cs="宋体"/>
                <w:color w:val="auto"/>
                <w:spacing w:val="-34"/>
                <w:sz w:val="24"/>
                <w:szCs w:val="24"/>
                <w:highlight w:val="none"/>
              </w:rPr>
              <w:t>理</w:t>
            </w:r>
          </w:p>
          <w:p w14:paraId="719E3AFE">
            <w:pPr>
              <w:spacing w:before="42"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34"/>
                <w:sz w:val="24"/>
                <w:szCs w:val="24"/>
                <w:highlight w:val="none"/>
              </w:rPr>
              <w:t>（5</w:t>
            </w:r>
            <w:r>
              <w:rPr>
                <w:rFonts w:hint="eastAsia" w:ascii="宋体" w:hAnsi="宋体" w:eastAsia="宋体" w:cs="宋体"/>
                <w:color w:val="auto"/>
                <w:spacing w:val="-51"/>
                <w:sz w:val="24"/>
                <w:szCs w:val="24"/>
                <w:highlight w:val="none"/>
              </w:rPr>
              <w:t xml:space="preserve"> </w:t>
            </w:r>
            <w:r>
              <w:rPr>
                <w:rFonts w:hint="eastAsia" w:ascii="宋体" w:hAnsi="宋体" w:eastAsia="宋体" w:cs="宋体"/>
                <w:color w:val="auto"/>
                <w:spacing w:val="-34"/>
                <w:sz w:val="24"/>
                <w:szCs w:val="24"/>
                <w:highlight w:val="none"/>
              </w:rPr>
              <w:t>分）</w:t>
            </w:r>
          </w:p>
        </w:tc>
        <w:tc>
          <w:tcPr>
            <w:tcW w:w="3715" w:type="dxa"/>
            <w:vAlign w:val="center"/>
          </w:tcPr>
          <w:p w14:paraId="43819178">
            <w:pPr>
              <w:spacing w:before="41" w:line="360" w:lineRule="auto"/>
              <w:ind w:left="122"/>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夜景亮化设施必须保持良好</w:t>
            </w:r>
            <w:r>
              <w:rPr>
                <w:rFonts w:hint="eastAsia" w:ascii="宋体" w:hAnsi="宋体" w:eastAsia="宋体" w:cs="宋体"/>
                <w:color w:val="auto"/>
                <w:spacing w:val="-3"/>
                <w:sz w:val="24"/>
                <w:szCs w:val="24"/>
                <w:highlight w:val="none"/>
              </w:rPr>
              <w:t>的灯容灯貌，及时清理乱涂写、乱张贴、乱悬挂，对设施</w:t>
            </w:r>
            <w:r>
              <w:rPr>
                <w:rFonts w:hint="eastAsia" w:ascii="宋体" w:hAnsi="宋体" w:eastAsia="宋体" w:cs="宋体"/>
                <w:color w:val="auto"/>
                <w:spacing w:val="-5"/>
                <w:sz w:val="24"/>
                <w:szCs w:val="24"/>
                <w:highlight w:val="none"/>
              </w:rPr>
              <w:t>定期保洁。</w:t>
            </w:r>
          </w:p>
        </w:tc>
        <w:tc>
          <w:tcPr>
            <w:tcW w:w="2135" w:type="dxa"/>
            <w:vAlign w:val="center"/>
          </w:tcPr>
          <w:p w14:paraId="2A0CDCB5">
            <w:pPr>
              <w:spacing w:before="91" w:line="361" w:lineRule="auto"/>
              <w:ind w:right="10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rPr>
              <w:t>容貌不洁每处扣0.5</w:t>
            </w:r>
            <w:r>
              <w:rPr>
                <w:rFonts w:hint="eastAsia" w:ascii="宋体" w:hAnsi="宋体" w:eastAsia="宋体" w:cs="宋体"/>
                <w:color w:val="auto"/>
                <w:sz w:val="24"/>
                <w:szCs w:val="24"/>
                <w:highlight w:val="none"/>
              </w:rPr>
              <w:t>分</w:t>
            </w:r>
            <w:r>
              <w:rPr>
                <w:rFonts w:hint="eastAsia" w:ascii="宋体" w:hAnsi="宋体" w:cs="宋体"/>
                <w:color w:val="auto"/>
                <w:sz w:val="24"/>
                <w:szCs w:val="24"/>
                <w:highlight w:val="none"/>
                <w:lang w:eastAsia="zh-CN"/>
              </w:rPr>
              <w:t>。</w:t>
            </w:r>
          </w:p>
        </w:tc>
        <w:tc>
          <w:tcPr>
            <w:tcW w:w="959" w:type="dxa"/>
            <w:vAlign w:val="top"/>
          </w:tcPr>
          <w:p w14:paraId="6B91FBF8">
            <w:pPr>
              <w:pStyle w:val="7"/>
              <w:rPr>
                <w:rFonts w:hint="eastAsia" w:ascii="宋体" w:hAnsi="宋体" w:eastAsia="宋体" w:cs="宋体"/>
                <w:color w:val="auto"/>
                <w:sz w:val="24"/>
                <w:szCs w:val="24"/>
                <w:highlight w:val="none"/>
              </w:rPr>
            </w:pPr>
          </w:p>
        </w:tc>
        <w:tc>
          <w:tcPr>
            <w:tcW w:w="731" w:type="dxa"/>
            <w:vAlign w:val="top"/>
          </w:tcPr>
          <w:p w14:paraId="5ABA333F">
            <w:pPr>
              <w:pStyle w:val="7"/>
              <w:rPr>
                <w:rFonts w:hint="eastAsia" w:ascii="宋体" w:hAnsi="宋体" w:eastAsia="宋体" w:cs="宋体"/>
                <w:color w:val="auto"/>
                <w:sz w:val="24"/>
                <w:szCs w:val="24"/>
                <w:highlight w:val="none"/>
              </w:rPr>
            </w:pPr>
          </w:p>
        </w:tc>
      </w:tr>
      <w:tr w14:paraId="1AD1B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2370" w:type="dxa"/>
            <w:gridSpan w:val="2"/>
            <w:vAlign w:val="center"/>
          </w:tcPr>
          <w:p w14:paraId="089ADD42">
            <w:pPr>
              <w:spacing w:before="91" w:line="221" w:lineRule="auto"/>
              <w:jc w:val="center"/>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安全检查工作</w:t>
            </w:r>
          </w:p>
          <w:p w14:paraId="11F0FE26">
            <w:pPr>
              <w:spacing w:before="91" w:line="221"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10"/>
                <w:sz w:val="24"/>
                <w:szCs w:val="24"/>
                <w:highlight w:val="none"/>
              </w:rPr>
              <w:t>分）</w:t>
            </w:r>
          </w:p>
        </w:tc>
        <w:tc>
          <w:tcPr>
            <w:tcW w:w="3715" w:type="dxa"/>
            <w:vAlign w:val="center"/>
          </w:tcPr>
          <w:p w14:paraId="685758DD">
            <w:pPr>
              <w:spacing w:before="44" w:line="359" w:lineRule="auto"/>
              <w:ind w:left="122" w:right="164" w:firstLine="3"/>
              <w:jc w:val="both"/>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成交供</w:t>
            </w:r>
            <w:r>
              <w:rPr>
                <w:rFonts w:hint="eastAsia" w:ascii="宋体" w:hAnsi="宋体" w:eastAsia="宋体" w:cs="宋体"/>
                <w:color w:val="auto"/>
                <w:spacing w:val="-2"/>
                <w:sz w:val="24"/>
                <w:szCs w:val="24"/>
                <w:highlight w:val="none"/>
              </w:rPr>
              <w:t>应商每月应组织一次以上设施安全检查、检测工作，确保</w:t>
            </w:r>
            <w:r>
              <w:rPr>
                <w:rFonts w:hint="eastAsia" w:ascii="宋体" w:hAnsi="宋体" w:eastAsia="宋体" w:cs="宋体"/>
                <w:color w:val="auto"/>
                <w:spacing w:val="-5"/>
                <w:sz w:val="24"/>
                <w:szCs w:val="24"/>
                <w:highlight w:val="none"/>
              </w:rPr>
              <w:t>安全运行。</w:t>
            </w:r>
          </w:p>
        </w:tc>
        <w:tc>
          <w:tcPr>
            <w:tcW w:w="2135" w:type="dxa"/>
            <w:vAlign w:val="center"/>
          </w:tcPr>
          <w:p w14:paraId="49FA17E4">
            <w:pPr>
              <w:spacing w:before="316" w:line="360" w:lineRule="auto"/>
              <w:ind w:left="130" w:right="101" w:hanging="2"/>
              <w:jc w:val="both"/>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无安全检查、检测记</w:t>
            </w:r>
            <w:r>
              <w:rPr>
                <w:rFonts w:hint="eastAsia" w:ascii="宋体" w:hAnsi="宋体" w:eastAsia="宋体" w:cs="宋体"/>
                <w:color w:val="auto"/>
                <w:spacing w:val="-18"/>
                <w:sz w:val="24"/>
                <w:szCs w:val="24"/>
                <w:highlight w:val="none"/>
              </w:rPr>
              <w:t>录扣</w:t>
            </w:r>
            <w:r>
              <w:rPr>
                <w:rFonts w:hint="eastAsia" w:ascii="宋体" w:hAnsi="宋体" w:eastAsia="宋体" w:cs="宋体"/>
                <w:color w:val="auto"/>
                <w:spacing w:val="-35"/>
                <w:sz w:val="24"/>
                <w:szCs w:val="24"/>
                <w:highlight w:val="none"/>
              </w:rPr>
              <w:t xml:space="preserve"> </w:t>
            </w:r>
            <w:r>
              <w:rPr>
                <w:rFonts w:hint="eastAsia" w:ascii="宋体" w:hAnsi="宋体" w:eastAsia="宋体" w:cs="宋体"/>
                <w:color w:val="auto"/>
                <w:spacing w:val="-18"/>
                <w:sz w:val="24"/>
                <w:szCs w:val="24"/>
                <w:highlight w:val="none"/>
              </w:rPr>
              <w:t>1</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18"/>
                <w:sz w:val="24"/>
                <w:szCs w:val="24"/>
                <w:highlight w:val="none"/>
              </w:rPr>
              <w:t>分，记录不全</w:t>
            </w:r>
            <w:r>
              <w:rPr>
                <w:rFonts w:hint="eastAsia" w:ascii="宋体" w:hAnsi="宋体" w:eastAsia="宋体" w:cs="宋体"/>
                <w:color w:val="auto"/>
                <w:spacing w:val="-10"/>
                <w:sz w:val="24"/>
                <w:szCs w:val="24"/>
                <w:highlight w:val="none"/>
              </w:rPr>
              <w:t>扣</w:t>
            </w:r>
            <w:r>
              <w:rPr>
                <w:rFonts w:hint="eastAsia" w:ascii="宋体" w:hAnsi="宋体" w:eastAsia="宋体" w:cs="宋体"/>
                <w:color w:val="auto"/>
                <w:spacing w:val="-55"/>
                <w:sz w:val="24"/>
                <w:szCs w:val="24"/>
                <w:highlight w:val="none"/>
              </w:rPr>
              <w:t xml:space="preserve"> </w:t>
            </w:r>
            <w:r>
              <w:rPr>
                <w:rFonts w:hint="eastAsia" w:ascii="宋体" w:hAnsi="宋体" w:eastAsia="宋体" w:cs="宋体"/>
                <w:color w:val="auto"/>
                <w:spacing w:val="-10"/>
                <w:sz w:val="24"/>
                <w:szCs w:val="24"/>
                <w:highlight w:val="none"/>
              </w:rPr>
              <w:t>0.5</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10"/>
                <w:sz w:val="24"/>
                <w:szCs w:val="24"/>
                <w:highlight w:val="none"/>
              </w:rPr>
              <w:t>分。</w:t>
            </w:r>
          </w:p>
        </w:tc>
        <w:tc>
          <w:tcPr>
            <w:tcW w:w="959" w:type="dxa"/>
            <w:vAlign w:val="top"/>
          </w:tcPr>
          <w:p w14:paraId="244BA47D">
            <w:pPr>
              <w:pStyle w:val="7"/>
              <w:rPr>
                <w:rFonts w:hint="eastAsia" w:ascii="宋体" w:hAnsi="宋体" w:eastAsia="宋体" w:cs="宋体"/>
                <w:color w:val="auto"/>
                <w:sz w:val="24"/>
                <w:szCs w:val="24"/>
                <w:highlight w:val="none"/>
              </w:rPr>
            </w:pPr>
          </w:p>
        </w:tc>
        <w:tc>
          <w:tcPr>
            <w:tcW w:w="731" w:type="dxa"/>
            <w:vAlign w:val="top"/>
          </w:tcPr>
          <w:p w14:paraId="34AC3294">
            <w:pPr>
              <w:pStyle w:val="7"/>
              <w:rPr>
                <w:rFonts w:hint="eastAsia" w:ascii="宋体" w:hAnsi="宋体" w:eastAsia="宋体" w:cs="宋体"/>
                <w:color w:val="auto"/>
                <w:sz w:val="24"/>
                <w:szCs w:val="24"/>
                <w:highlight w:val="none"/>
              </w:rPr>
            </w:pPr>
          </w:p>
        </w:tc>
      </w:tr>
      <w:tr w14:paraId="55FA94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4" w:hRule="atLeast"/>
        </w:trPr>
        <w:tc>
          <w:tcPr>
            <w:tcW w:w="2370" w:type="dxa"/>
            <w:gridSpan w:val="2"/>
            <w:vMerge w:val="restart"/>
            <w:tcBorders>
              <w:bottom w:val="nil"/>
            </w:tcBorders>
            <w:vAlign w:val="center"/>
          </w:tcPr>
          <w:p w14:paraId="3400EC69">
            <w:pPr>
              <w:spacing w:before="91" w:line="361" w:lineRule="auto"/>
              <w:ind w:right="152"/>
              <w:jc w:val="center"/>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安全生产工作</w:t>
            </w:r>
          </w:p>
          <w:p w14:paraId="2D9AD40C">
            <w:pPr>
              <w:spacing w:before="91" w:line="361" w:lineRule="auto"/>
              <w:ind w:right="152"/>
              <w:jc w:val="center"/>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（20</w:t>
            </w:r>
            <w:r>
              <w:rPr>
                <w:rFonts w:hint="eastAsia" w:ascii="宋体" w:hAnsi="宋体" w:eastAsia="宋体" w:cs="宋体"/>
                <w:color w:val="auto"/>
                <w:spacing w:val="-48"/>
                <w:sz w:val="24"/>
                <w:szCs w:val="24"/>
                <w:highlight w:val="none"/>
              </w:rPr>
              <w:t xml:space="preserve"> </w:t>
            </w:r>
            <w:r>
              <w:rPr>
                <w:rFonts w:hint="eastAsia" w:ascii="宋体" w:hAnsi="宋体" w:eastAsia="宋体" w:cs="宋体"/>
                <w:color w:val="auto"/>
                <w:spacing w:val="-8"/>
                <w:sz w:val="24"/>
                <w:szCs w:val="24"/>
                <w:highlight w:val="none"/>
              </w:rPr>
              <w:t>分）</w:t>
            </w:r>
          </w:p>
        </w:tc>
        <w:tc>
          <w:tcPr>
            <w:tcW w:w="3715" w:type="dxa"/>
            <w:vAlign w:val="center"/>
          </w:tcPr>
          <w:p w14:paraId="4B0DF6C2">
            <w:pPr>
              <w:spacing w:before="43" w:line="343" w:lineRule="auto"/>
              <w:ind w:left="122" w:right="373" w:hanging="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val="en-US" w:eastAsia="zh-CN"/>
              </w:rPr>
              <w:t>发生</w:t>
            </w:r>
            <w:r>
              <w:rPr>
                <w:rFonts w:hint="eastAsia" w:ascii="宋体" w:hAnsi="宋体" w:eastAsia="宋体" w:cs="宋体"/>
                <w:color w:val="auto"/>
                <w:spacing w:val="-2"/>
                <w:sz w:val="24"/>
                <w:szCs w:val="24"/>
                <w:highlight w:val="none"/>
              </w:rPr>
              <w:t>施工安全事故：包括交通事故、倒杆伤人、触电伤人等</w:t>
            </w:r>
            <w:r>
              <w:rPr>
                <w:rFonts w:hint="eastAsia" w:ascii="宋体" w:hAnsi="宋体" w:cs="宋体"/>
                <w:color w:val="auto"/>
                <w:spacing w:val="-2"/>
                <w:sz w:val="24"/>
                <w:szCs w:val="24"/>
                <w:highlight w:val="none"/>
                <w:lang w:eastAsia="zh-CN"/>
              </w:rPr>
              <w:t>。</w:t>
            </w:r>
          </w:p>
        </w:tc>
        <w:tc>
          <w:tcPr>
            <w:tcW w:w="2135" w:type="dxa"/>
            <w:vMerge w:val="restart"/>
            <w:tcBorders>
              <w:bottom w:val="nil"/>
            </w:tcBorders>
            <w:vAlign w:val="center"/>
          </w:tcPr>
          <w:p w14:paraId="47FF01F1">
            <w:pPr>
              <w:spacing w:before="91" w:line="360" w:lineRule="auto"/>
              <w:ind w:right="7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9"/>
                <w:sz w:val="24"/>
                <w:szCs w:val="24"/>
                <w:highlight w:val="none"/>
              </w:rPr>
              <w:t>导致以上安全事故，</w:t>
            </w:r>
            <w:r>
              <w:rPr>
                <w:rFonts w:hint="eastAsia" w:ascii="宋体" w:hAnsi="宋体" w:eastAsia="宋体" w:cs="宋体"/>
                <w:color w:val="auto"/>
                <w:spacing w:val="-2"/>
                <w:sz w:val="24"/>
                <w:szCs w:val="24"/>
                <w:highlight w:val="none"/>
              </w:rPr>
              <w:t>发生一次扣</w:t>
            </w:r>
            <w:r>
              <w:rPr>
                <w:rFonts w:hint="eastAsia" w:ascii="宋体" w:hAnsi="宋体" w:eastAsia="宋体" w:cs="宋体"/>
                <w:color w:val="auto"/>
                <w:spacing w:val="-52"/>
                <w:sz w:val="24"/>
                <w:szCs w:val="24"/>
                <w:highlight w:val="none"/>
              </w:rPr>
              <w:t xml:space="preserve"> </w:t>
            </w:r>
            <w:r>
              <w:rPr>
                <w:rFonts w:hint="eastAsia" w:ascii="宋体" w:hAnsi="宋体" w:eastAsia="宋体" w:cs="宋体"/>
                <w:color w:val="auto"/>
                <w:spacing w:val="-2"/>
                <w:sz w:val="24"/>
                <w:szCs w:val="24"/>
                <w:highlight w:val="none"/>
              </w:rPr>
              <w:t>20</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2"/>
                <w:sz w:val="24"/>
                <w:szCs w:val="24"/>
                <w:highlight w:val="none"/>
              </w:rPr>
              <w:t>分，</w:t>
            </w:r>
            <w:r>
              <w:rPr>
                <w:rFonts w:hint="eastAsia" w:ascii="宋体" w:hAnsi="宋体" w:eastAsia="宋体" w:cs="宋体"/>
                <w:color w:val="auto"/>
                <w:spacing w:val="-7"/>
                <w:sz w:val="24"/>
                <w:szCs w:val="24"/>
                <w:highlight w:val="none"/>
              </w:rPr>
              <w:t>（最高扣</w:t>
            </w:r>
            <w:r>
              <w:rPr>
                <w:rFonts w:hint="eastAsia" w:ascii="宋体" w:hAnsi="宋体" w:eastAsia="宋体" w:cs="宋体"/>
                <w:color w:val="auto"/>
                <w:spacing w:val="-53"/>
                <w:sz w:val="24"/>
                <w:szCs w:val="24"/>
                <w:highlight w:val="none"/>
              </w:rPr>
              <w:t xml:space="preserve"> </w:t>
            </w:r>
            <w:r>
              <w:rPr>
                <w:rFonts w:hint="eastAsia" w:ascii="宋体" w:hAnsi="宋体" w:eastAsia="宋体" w:cs="宋体"/>
                <w:color w:val="auto"/>
                <w:spacing w:val="-7"/>
                <w:sz w:val="24"/>
                <w:szCs w:val="24"/>
                <w:highlight w:val="none"/>
              </w:rPr>
              <w:t>20</w:t>
            </w:r>
            <w:r>
              <w:rPr>
                <w:rFonts w:hint="eastAsia" w:ascii="宋体" w:hAnsi="宋体" w:eastAsia="宋体" w:cs="宋体"/>
                <w:color w:val="auto"/>
                <w:spacing w:val="-50"/>
                <w:sz w:val="24"/>
                <w:szCs w:val="24"/>
                <w:highlight w:val="none"/>
              </w:rPr>
              <w:t xml:space="preserve"> </w:t>
            </w:r>
            <w:r>
              <w:rPr>
                <w:rFonts w:hint="eastAsia" w:ascii="宋体" w:hAnsi="宋体" w:eastAsia="宋体" w:cs="宋体"/>
                <w:color w:val="auto"/>
                <w:spacing w:val="-7"/>
                <w:sz w:val="24"/>
                <w:szCs w:val="24"/>
                <w:highlight w:val="none"/>
              </w:rPr>
              <w:t>分）</w:t>
            </w:r>
            <w:r>
              <w:rPr>
                <w:rFonts w:hint="eastAsia" w:ascii="宋体" w:hAnsi="宋体" w:cs="宋体"/>
                <w:color w:val="auto"/>
                <w:spacing w:val="-7"/>
                <w:sz w:val="24"/>
                <w:szCs w:val="24"/>
                <w:highlight w:val="none"/>
                <w:lang w:eastAsia="zh-CN"/>
              </w:rPr>
              <w:t>。</w:t>
            </w:r>
          </w:p>
        </w:tc>
        <w:tc>
          <w:tcPr>
            <w:tcW w:w="959" w:type="dxa"/>
            <w:vAlign w:val="top"/>
          </w:tcPr>
          <w:p w14:paraId="245EBC93">
            <w:pPr>
              <w:pStyle w:val="7"/>
              <w:rPr>
                <w:rFonts w:hint="eastAsia" w:ascii="宋体" w:hAnsi="宋体" w:eastAsia="宋体" w:cs="宋体"/>
                <w:color w:val="auto"/>
                <w:sz w:val="24"/>
                <w:szCs w:val="24"/>
                <w:highlight w:val="none"/>
              </w:rPr>
            </w:pPr>
          </w:p>
        </w:tc>
        <w:tc>
          <w:tcPr>
            <w:tcW w:w="731" w:type="dxa"/>
            <w:vAlign w:val="top"/>
          </w:tcPr>
          <w:p w14:paraId="5B154667">
            <w:pPr>
              <w:pStyle w:val="7"/>
              <w:rPr>
                <w:rFonts w:hint="eastAsia" w:ascii="宋体" w:hAnsi="宋体" w:eastAsia="宋体" w:cs="宋体"/>
                <w:color w:val="auto"/>
                <w:sz w:val="24"/>
                <w:szCs w:val="24"/>
                <w:highlight w:val="none"/>
              </w:rPr>
            </w:pPr>
          </w:p>
        </w:tc>
      </w:tr>
      <w:tr w14:paraId="6AC4A8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2370" w:type="dxa"/>
            <w:gridSpan w:val="2"/>
            <w:vMerge w:val="continue"/>
            <w:tcBorders>
              <w:top w:val="nil"/>
              <w:bottom w:val="nil"/>
            </w:tcBorders>
            <w:vAlign w:val="top"/>
          </w:tcPr>
          <w:p w14:paraId="5F60B3FF">
            <w:pPr>
              <w:pStyle w:val="7"/>
              <w:rPr>
                <w:rFonts w:hint="eastAsia" w:ascii="宋体" w:hAnsi="宋体" w:eastAsia="宋体" w:cs="宋体"/>
                <w:color w:val="auto"/>
                <w:sz w:val="24"/>
                <w:szCs w:val="24"/>
                <w:highlight w:val="none"/>
              </w:rPr>
            </w:pPr>
          </w:p>
        </w:tc>
        <w:tc>
          <w:tcPr>
            <w:tcW w:w="3715" w:type="dxa"/>
            <w:vAlign w:val="center"/>
          </w:tcPr>
          <w:p w14:paraId="44716398">
            <w:pPr>
              <w:spacing w:before="45" w:line="359" w:lineRule="auto"/>
              <w:ind w:left="131" w:right="10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val="en-US" w:eastAsia="zh-CN"/>
              </w:rPr>
              <w:t>发生</w:t>
            </w:r>
            <w:r>
              <w:rPr>
                <w:rFonts w:hint="eastAsia" w:ascii="宋体" w:hAnsi="宋体" w:eastAsia="宋体" w:cs="宋体"/>
                <w:color w:val="auto"/>
                <w:spacing w:val="-3"/>
                <w:sz w:val="24"/>
                <w:szCs w:val="24"/>
                <w:highlight w:val="none"/>
              </w:rPr>
              <w:t>高空作业安全事故：包括高空坠物伤人、高空作业人员坠落、高空作业车倾倒等</w:t>
            </w:r>
            <w:r>
              <w:rPr>
                <w:rFonts w:hint="eastAsia" w:ascii="宋体" w:hAnsi="宋体" w:cs="宋体"/>
                <w:color w:val="auto"/>
                <w:spacing w:val="-3"/>
                <w:sz w:val="24"/>
                <w:szCs w:val="24"/>
                <w:highlight w:val="none"/>
                <w:lang w:eastAsia="zh-CN"/>
              </w:rPr>
              <w:t>。</w:t>
            </w:r>
          </w:p>
        </w:tc>
        <w:tc>
          <w:tcPr>
            <w:tcW w:w="2135" w:type="dxa"/>
            <w:vMerge w:val="continue"/>
            <w:tcBorders>
              <w:top w:val="nil"/>
              <w:bottom w:val="nil"/>
            </w:tcBorders>
            <w:vAlign w:val="center"/>
          </w:tcPr>
          <w:p w14:paraId="19B4E03C">
            <w:pPr>
              <w:pStyle w:val="7"/>
              <w:jc w:val="both"/>
              <w:rPr>
                <w:rFonts w:hint="eastAsia" w:ascii="宋体" w:hAnsi="宋体" w:eastAsia="宋体" w:cs="宋体"/>
                <w:color w:val="auto"/>
                <w:sz w:val="24"/>
                <w:szCs w:val="24"/>
                <w:highlight w:val="none"/>
              </w:rPr>
            </w:pPr>
          </w:p>
        </w:tc>
        <w:tc>
          <w:tcPr>
            <w:tcW w:w="959" w:type="dxa"/>
            <w:vAlign w:val="top"/>
          </w:tcPr>
          <w:p w14:paraId="1E04763A">
            <w:pPr>
              <w:pStyle w:val="7"/>
              <w:rPr>
                <w:rFonts w:hint="eastAsia" w:ascii="宋体" w:hAnsi="宋体" w:eastAsia="宋体" w:cs="宋体"/>
                <w:color w:val="auto"/>
                <w:sz w:val="24"/>
                <w:szCs w:val="24"/>
                <w:highlight w:val="none"/>
              </w:rPr>
            </w:pPr>
          </w:p>
        </w:tc>
        <w:tc>
          <w:tcPr>
            <w:tcW w:w="731" w:type="dxa"/>
            <w:vAlign w:val="top"/>
          </w:tcPr>
          <w:p w14:paraId="77858DDD">
            <w:pPr>
              <w:pStyle w:val="7"/>
              <w:rPr>
                <w:rFonts w:hint="eastAsia" w:ascii="宋体" w:hAnsi="宋体" w:eastAsia="宋体" w:cs="宋体"/>
                <w:color w:val="auto"/>
                <w:sz w:val="24"/>
                <w:szCs w:val="24"/>
                <w:highlight w:val="none"/>
              </w:rPr>
            </w:pPr>
          </w:p>
        </w:tc>
      </w:tr>
      <w:tr w14:paraId="66E649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4" w:hRule="atLeast"/>
        </w:trPr>
        <w:tc>
          <w:tcPr>
            <w:tcW w:w="2370" w:type="dxa"/>
            <w:gridSpan w:val="2"/>
            <w:vMerge w:val="continue"/>
            <w:tcBorders>
              <w:top w:val="nil"/>
            </w:tcBorders>
            <w:vAlign w:val="top"/>
          </w:tcPr>
          <w:p w14:paraId="6249EFC1">
            <w:pPr>
              <w:pStyle w:val="7"/>
              <w:rPr>
                <w:rFonts w:hint="eastAsia" w:ascii="宋体" w:hAnsi="宋体" w:eastAsia="宋体" w:cs="宋体"/>
                <w:color w:val="auto"/>
                <w:sz w:val="24"/>
                <w:szCs w:val="24"/>
                <w:highlight w:val="none"/>
              </w:rPr>
            </w:pPr>
          </w:p>
        </w:tc>
        <w:tc>
          <w:tcPr>
            <w:tcW w:w="3715" w:type="dxa"/>
            <w:vAlign w:val="center"/>
          </w:tcPr>
          <w:p w14:paraId="0AE45E18">
            <w:pPr>
              <w:spacing w:before="45" w:line="223" w:lineRule="auto"/>
              <w:ind w:left="121"/>
              <w:jc w:val="both"/>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lang w:val="en-US" w:eastAsia="zh-CN"/>
              </w:rPr>
              <w:t>发生</w:t>
            </w:r>
            <w:r>
              <w:rPr>
                <w:rFonts w:hint="eastAsia" w:ascii="宋体" w:hAnsi="宋体" w:eastAsia="宋体" w:cs="宋体"/>
                <w:color w:val="auto"/>
                <w:spacing w:val="-2"/>
                <w:sz w:val="24"/>
                <w:szCs w:val="24"/>
                <w:highlight w:val="none"/>
              </w:rPr>
              <w:t>设施老化安全事故：包括漏</w:t>
            </w:r>
          </w:p>
          <w:p w14:paraId="7E40DFD0">
            <w:pPr>
              <w:spacing w:before="206" w:line="344" w:lineRule="auto"/>
              <w:ind w:left="122" w:right="102" w:firstLine="3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5"/>
                <w:sz w:val="24"/>
                <w:szCs w:val="24"/>
                <w:highlight w:val="none"/>
              </w:rPr>
              <w:t>电、灯具脱落伤人、跳闸灭灯</w:t>
            </w:r>
            <w:r>
              <w:rPr>
                <w:rFonts w:hint="eastAsia" w:ascii="宋体" w:hAnsi="宋体" w:eastAsia="宋体" w:cs="宋体"/>
                <w:color w:val="auto"/>
                <w:spacing w:val="-9"/>
                <w:sz w:val="24"/>
                <w:szCs w:val="24"/>
                <w:highlight w:val="none"/>
              </w:rPr>
              <w:t>事故</w:t>
            </w:r>
            <w:r>
              <w:rPr>
                <w:rFonts w:hint="eastAsia" w:ascii="宋体" w:hAnsi="宋体" w:cs="宋体"/>
                <w:color w:val="auto"/>
                <w:spacing w:val="-9"/>
                <w:sz w:val="24"/>
                <w:szCs w:val="24"/>
                <w:highlight w:val="none"/>
                <w:lang w:eastAsia="zh-CN"/>
              </w:rPr>
              <w:t>。</w:t>
            </w:r>
          </w:p>
        </w:tc>
        <w:tc>
          <w:tcPr>
            <w:tcW w:w="2135" w:type="dxa"/>
            <w:vMerge w:val="continue"/>
            <w:tcBorders>
              <w:top w:val="nil"/>
            </w:tcBorders>
            <w:vAlign w:val="center"/>
          </w:tcPr>
          <w:p w14:paraId="777CE27A">
            <w:pPr>
              <w:pStyle w:val="7"/>
              <w:jc w:val="both"/>
              <w:rPr>
                <w:rFonts w:hint="eastAsia" w:ascii="宋体" w:hAnsi="宋体" w:eastAsia="宋体" w:cs="宋体"/>
                <w:color w:val="auto"/>
                <w:sz w:val="24"/>
                <w:szCs w:val="24"/>
                <w:highlight w:val="none"/>
              </w:rPr>
            </w:pPr>
          </w:p>
        </w:tc>
        <w:tc>
          <w:tcPr>
            <w:tcW w:w="959" w:type="dxa"/>
            <w:vAlign w:val="top"/>
          </w:tcPr>
          <w:p w14:paraId="072D7625">
            <w:pPr>
              <w:pStyle w:val="7"/>
              <w:rPr>
                <w:rFonts w:hint="eastAsia" w:ascii="宋体" w:hAnsi="宋体" w:eastAsia="宋体" w:cs="宋体"/>
                <w:color w:val="auto"/>
                <w:sz w:val="24"/>
                <w:szCs w:val="24"/>
                <w:highlight w:val="none"/>
              </w:rPr>
            </w:pPr>
          </w:p>
        </w:tc>
        <w:tc>
          <w:tcPr>
            <w:tcW w:w="731" w:type="dxa"/>
            <w:vAlign w:val="top"/>
          </w:tcPr>
          <w:p w14:paraId="28FC854F">
            <w:pPr>
              <w:pStyle w:val="7"/>
              <w:rPr>
                <w:rFonts w:hint="eastAsia" w:ascii="宋体" w:hAnsi="宋体" w:eastAsia="宋体" w:cs="宋体"/>
                <w:color w:val="auto"/>
                <w:sz w:val="24"/>
                <w:szCs w:val="24"/>
                <w:highlight w:val="none"/>
              </w:rPr>
            </w:pPr>
          </w:p>
        </w:tc>
      </w:tr>
    </w:tbl>
    <w:p w14:paraId="22025222">
      <w:pPr>
        <w:pStyle w:val="4"/>
        <w:spacing w:before="157" w:line="231" w:lineRule="auto"/>
        <w:ind w:left="623"/>
        <w:rPr>
          <w:rFonts w:hint="eastAsia" w:ascii="宋体" w:hAnsi="宋体" w:eastAsia="宋体" w:cs="宋体"/>
          <w:color w:val="auto"/>
          <w:sz w:val="28"/>
          <w:szCs w:val="28"/>
          <w:highlight w:val="none"/>
        </w:rPr>
      </w:pPr>
      <w:r>
        <w:rPr>
          <w:rFonts w:hint="eastAsia" w:ascii="宋体" w:hAnsi="宋体" w:eastAsia="宋体" w:cs="宋体"/>
          <w:b/>
          <w:bCs/>
          <w:color w:val="auto"/>
          <w:spacing w:val="-16"/>
          <w:sz w:val="28"/>
          <w:szCs w:val="28"/>
          <w:highlight w:val="none"/>
        </w:rPr>
        <w:t>注：</w:t>
      </w:r>
    </w:p>
    <w:p w14:paraId="3315973B">
      <w:pPr>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snapToGrid w:val="0"/>
          <w:color w:val="auto"/>
          <w:spacing w:val="-2"/>
          <w:sz w:val="28"/>
          <w:szCs w:val="28"/>
          <w:highlight w:val="none"/>
          <w:lang w:val="en-US" w:eastAsia="en-US" w:bidi="ar-SA"/>
        </w:rPr>
      </w:pPr>
      <w:r>
        <w:rPr>
          <w:rFonts w:hint="eastAsia" w:ascii="宋体" w:hAnsi="宋体" w:eastAsia="宋体" w:cs="宋体"/>
          <w:b w:val="0"/>
          <w:bCs w:val="0"/>
          <w:snapToGrid w:val="0"/>
          <w:color w:val="auto"/>
          <w:spacing w:val="-2"/>
          <w:sz w:val="28"/>
          <w:szCs w:val="28"/>
          <w:highlight w:val="none"/>
          <w:lang w:val="en-US" w:eastAsia="en-US" w:bidi="ar-SA"/>
        </w:rPr>
        <w:t>1.按100分进行综合评分。大于等于90分为优秀，90分（不含）-85分（含）为良好，85分（不含）-80分（含）</w:t>
      </w:r>
      <w:r>
        <w:rPr>
          <w:rFonts w:hint="eastAsia" w:ascii="宋体" w:hAnsi="宋体" w:eastAsia="宋体" w:cs="宋体"/>
          <w:b w:val="0"/>
          <w:bCs w:val="0"/>
          <w:snapToGrid w:val="0"/>
          <w:color w:val="auto"/>
          <w:spacing w:val="-2"/>
          <w:sz w:val="28"/>
          <w:szCs w:val="28"/>
          <w:highlight w:val="none"/>
          <w:lang w:val="en-US" w:eastAsia="zh-CN" w:bidi="ar-SA"/>
        </w:rPr>
        <w:t>为及格，</w:t>
      </w:r>
      <w:r>
        <w:rPr>
          <w:rFonts w:hint="eastAsia" w:ascii="宋体" w:hAnsi="宋体" w:eastAsia="宋体" w:cs="宋体"/>
          <w:b w:val="0"/>
          <w:bCs w:val="0"/>
          <w:snapToGrid w:val="0"/>
          <w:color w:val="auto"/>
          <w:spacing w:val="-2"/>
          <w:sz w:val="28"/>
          <w:szCs w:val="28"/>
          <w:highlight w:val="none"/>
          <w:lang w:val="en-US" w:eastAsia="en-US" w:bidi="ar-SA"/>
        </w:rPr>
        <w:t>80分以下为不合格。</w:t>
      </w:r>
    </w:p>
    <w:p w14:paraId="2DBD1657">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2.每</w:t>
      </w:r>
      <w:r>
        <w:rPr>
          <w:rFonts w:hint="eastAsia" w:ascii="宋体" w:hAnsi="宋体" w:eastAsia="宋体" w:cs="宋体"/>
          <w:b w:val="0"/>
          <w:bCs w:val="0"/>
          <w:color w:val="auto"/>
          <w:spacing w:val="-2"/>
          <w:sz w:val="28"/>
          <w:szCs w:val="28"/>
          <w:highlight w:val="none"/>
          <w:lang w:val="en-US" w:eastAsia="zh-CN"/>
        </w:rPr>
        <w:t>两个月</w:t>
      </w:r>
      <w:r>
        <w:rPr>
          <w:rFonts w:hint="eastAsia" w:ascii="宋体" w:hAnsi="宋体" w:eastAsia="宋体" w:cs="宋体"/>
          <w:b w:val="0"/>
          <w:bCs w:val="0"/>
          <w:color w:val="auto"/>
          <w:spacing w:val="-2"/>
          <w:sz w:val="28"/>
          <w:szCs w:val="28"/>
          <w:highlight w:val="none"/>
        </w:rPr>
        <w:t>根据考核结果核拨上</w:t>
      </w:r>
      <w:r>
        <w:rPr>
          <w:rFonts w:hint="eastAsia" w:ascii="宋体" w:hAnsi="宋体" w:eastAsia="宋体" w:cs="宋体"/>
          <w:b w:val="0"/>
          <w:bCs w:val="0"/>
          <w:color w:val="auto"/>
          <w:spacing w:val="-2"/>
          <w:sz w:val="28"/>
          <w:szCs w:val="28"/>
          <w:highlight w:val="none"/>
          <w:lang w:val="en-US" w:eastAsia="zh-CN"/>
        </w:rPr>
        <w:t>两个月</w:t>
      </w:r>
      <w:r>
        <w:rPr>
          <w:rFonts w:hint="eastAsia" w:ascii="宋体" w:hAnsi="宋体" w:eastAsia="宋体" w:cs="宋体"/>
          <w:b w:val="0"/>
          <w:bCs w:val="0"/>
          <w:color w:val="auto"/>
          <w:spacing w:val="-2"/>
          <w:sz w:val="28"/>
          <w:szCs w:val="28"/>
          <w:highlight w:val="none"/>
        </w:rPr>
        <w:t>维护管理费用，</w:t>
      </w:r>
      <w:r>
        <w:rPr>
          <w:rFonts w:hint="eastAsia" w:ascii="宋体" w:hAnsi="宋体" w:eastAsia="宋体" w:cs="宋体"/>
          <w:b w:val="0"/>
          <w:bCs w:val="0"/>
          <w:color w:val="auto"/>
          <w:spacing w:val="-2"/>
          <w:sz w:val="28"/>
          <w:szCs w:val="28"/>
          <w:highlight w:val="none"/>
          <w:lang w:val="en-US" w:eastAsia="zh-CN"/>
        </w:rPr>
        <w:t>费用</w:t>
      </w:r>
      <w:r>
        <w:rPr>
          <w:rFonts w:hint="eastAsia" w:ascii="宋体" w:hAnsi="宋体" w:eastAsia="宋体" w:cs="宋体"/>
          <w:b w:val="0"/>
          <w:bCs w:val="0"/>
          <w:color w:val="auto"/>
          <w:spacing w:val="-2"/>
          <w:sz w:val="28"/>
          <w:szCs w:val="28"/>
          <w:highlight w:val="none"/>
        </w:rPr>
        <w:t>按合同价均价分成六次支付</w:t>
      </w:r>
      <w:r>
        <w:rPr>
          <w:rFonts w:hint="eastAsia" w:ascii="宋体" w:hAnsi="宋体" w:eastAsia="宋体" w:cs="宋体"/>
          <w:b w:val="0"/>
          <w:bCs w:val="0"/>
          <w:color w:val="auto"/>
          <w:spacing w:val="-2"/>
          <w:sz w:val="28"/>
          <w:szCs w:val="28"/>
          <w:highlight w:val="none"/>
          <w:lang w:eastAsia="zh-CN"/>
        </w:rPr>
        <w:t>，</w:t>
      </w:r>
      <w:r>
        <w:rPr>
          <w:rFonts w:hint="eastAsia" w:ascii="宋体" w:hAnsi="宋体" w:eastAsia="宋体" w:cs="宋体"/>
          <w:b w:val="0"/>
          <w:bCs w:val="0"/>
          <w:color w:val="auto"/>
          <w:spacing w:val="-2"/>
          <w:sz w:val="28"/>
          <w:szCs w:val="28"/>
          <w:highlight w:val="none"/>
        </w:rPr>
        <w:t>综合评分优秀的全额拨付维护管理费用；</w:t>
      </w:r>
      <w:r>
        <w:rPr>
          <w:rFonts w:hint="eastAsia" w:ascii="宋体" w:hAnsi="宋体" w:eastAsia="宋体" w:cs="宋体"/>
          <w:b w:val="0"/>
          <w:bCs w:val="0"/>
          <w:color w:val="auto"/>
          <w:spacing w:val="-79"/>
          <w:sz w:val="28"/>
          <w:szCs w:val="28"/>
          <w:highlight w:val="none"/>
        </w:rPr>
        <w:t xml:space="preserve"> </w:t>
      </w:r>
      <w:r>
        <w:rPr>
          <w:rFonts w:hint="eastAsia" w:ascii="宋体" w:hAnsi="宋体" w:eastAsia="宋体" w:cs="宋体"/>
          <w:b w:val="0"/>
          <w:bCs w:val="0"/>
          <w:color w:val="auto"/>
          <w:spacing w:val="-2"/>
          <w:sz w:val="28"/>
          <w:szCs w:val="28"/>
          <w:highlight w:val="none"/>
        </w:rPr>
        <w:t>良好的拨付95%，合格的拨</w:t>
      </w:r>
      <w:r>
        <w:rPr>
          <w:rFonts w:hint="eastAsia" w:ascii="宋体" w:hAnsi="宋体" w:eastAsia="宋体" w:cs="宋体"/>
          <w:b w:val="0"/>
          <w:bCs w:val="0"/>
          <w:color w:val="auto"/>
          <w:spacing w:val="-3"/>
          <w:sz w:val="28"/>
          <w:szCs w:val="28"/>
          <w:highlight w:val="none"/>
        </w:rPr>
        <w:t>付90%，不合格的拨付80%。</w:t>
      </w:r>
    </w:p>
    <w:p w14:paraId="27ACF552">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3.当成交供应商因自身原因产生安全事故，</w:t>
      </w:r>
      <w:r>
        <w:rPr>
          <w:rFonts w:hint="eastAsia" w:ascii="宋体" w:hAnsi="宋体" w:eastAsia="宋体" w:cs="宋体"/>
          <w:b w:val="0"/>
          <w:bCs w:val="0"/>
          <w:color w:val="auto"/>
          <w:spacing w:val="-2"/>
          <w:sz w:val="28"/>
          <w:szCs w:val="28"/>
          <w:highlight w:val="none"/>
          <w:lang w:eastAsia="zh-CN"/>
        </w:rPr>
        <w:t>采购人</w:t>
      </w:r>
      <w:r>
        <w:rPr>
          <w:rFonts w:hint="eastAsia" w:ascii="宋体" w:hAnsi="宋体" w:eastAsia="宋体" w:cs="宋体"/>
          <w:b w:val="0"/>
          <w:bCs w:val="0"/>
          <w:color w:val="auto"/>
          <w:spacing w:val="-2"/>
          <w:sz w:val="28"/>
          <w:szCs w:val="28"/>
          <w:highlight w:val="none"/>
        </w:rPr>
        <w:t>有权无条件解除</w:t>
      </w:r>
      <w:r>
        <w:rPr>
          <w:rFonts w:hint="eastAsia" w:ascii="宋体" w:hAnsi="宋体" w:eastAsia="宋体" w:cs="宋体"/>
          <w:b w:val="0"/>
          <w:bCs w:val="0"/>
          <w:color w:val="auto"/>
          <w:spacing w:val="-3"/>
          <w:sz w:val="28"/>
          <w:szCs w:val="28"/>
          <w:highlight w:val="none"/>
        </w:rPr>
        <w:t>合同，并且由成交供应商对所造成一切后果及损失承担全部责任。</w:t>
      </w:r>
    </w:p>
    <w:p w14:paraId="196F0F25">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2"/>
          <w:sz w:val="28"/>
          <w:szCs w:val="28"/>
          <w:highlight w:val="none"/>
        </w:rPr>
        <w:t>4.综合考核分数＜80分即不合格，</w:t>
      </w:r>
      <w:r>
        <w:rPr>
          <w:rFonts w:hint="eastAsia" w:ascii="宋体" w:hAnsi="宋体" w:eastAsia="宋体" w:cs="宋体"/>
          <w:b w:val="0"/>
          <w:bCs w:val="0"/>
          <w:color w:val="auto"/>
          <w:spacing w:val="-2"/>
          <w:sz w:val="28"/>
          <w:szCs w:val="28"/>
          <w:highlight w:val="none"/>
          <w:lang w:val="en-US" w:eastAsia="zh-CN"/>
        </w:rPr>
        <w:t>采购人</w:t>
      </w:r>
      <w:r>
        <w:rPr>
          <w:rFonts w:hint="eastAsia" w:ascii="宋体" w:hAnsi="宋体" w:eastAsia="宋体" w:cs="宋体"/>
          <w:b w:val="0"/>
          <w:bCs w:val="0"/>
          <w:color w:val="auto"/>
          <w:spacing w:val="-2"/>
          <w:sz w:val="28"/>
          <w:szCs w:val="28"/>
          <w:highlight w:val="none"/>
        </w:rPr>
        <w:t>有权要求整改，如</w:t>
      </w:r>
      <w:r>
        <w:rPr>
          <w:rFonts w:hint="eastAsia" w:ascii="宋体" w:hAnsi="宋体" w:eastAsia="宋体" w:cs="宋体"/>
          <w:b w:val="0"/>
          <w:bCs w:val="0"/>
          <w:color w:val="auto"/>
          <w:spacing w:val="-2"/>
          <w:sz w:val="28"/>
          <w:szCs w:val="28"/>
          <w:highlight w:val="none"/>
          <w:lang w:val="en-US" w:eastAsia="zh-CN"/>
        </w:rPr>
        <w:t>累计</w:t>
      </w:r>
      <w:r>
        <w:rPr>
          <w:rFonts w:hint="eastAsia" w:ascii="宋体" w:hAnsi="宋体" w:eastAsia="宋体" w:cs="宋体"/>
          <w:b w:val="0"/>
          <w:bCs w:val="0"/>
          <w:color w:val="auto"/>
          <w:spacing w:val="-2"/>
          <w:sz w:val="28"/>
          <w:szCs w:val="28"/>
          <w:highlight w:val="none"/>
        </w:rPr>
        <w:t>三个月综合考核分＜80分，</w:t>
      </w:r>
      <w:r>
        <w:rPr>
          <w:rFonts w:hint="eastAsia" w:ascii="宋体" w:hAnsi="宋体" w:eastAsia="宋体" w:cs="宋体"/>
          <w:b w:val="0"/>
          <w:bCs w:val="0"/>
          <w:color w:val="auto"/>
          <w:spacing w:val="-2"/>
          <w:sz w:val="28"/>
          <w:szCs w:val="28"/>
          <w:highlight w:val="none"/>
          <w:lang w:eastAsia="zh-CN"/>
        </w:rPr>
        <w:t>采购人</w:t>
      </w:r>
      <w:r>
        <w:rPr>
          <w:rFonts w:hint="eastAsia" w:ascii="宋体" w:hAnsi="宋体" w:eastAsia="宋体" w:cs="宋体"/>
          <w:b w:val="0"/>
          <w:bCs w:val="0"/>
          <w:color w:val="auto"/>
          <w:spacing w:val="-2"/>
          <w:sz w:val="28"/>
          <w:szCs w:val="28"/>
          <w:highlight w:val="none"/>
        </w:rPr>
        <w:t>有权无条件解除合同。</w:t>
      </w:r>
    </w:p>
    <w:p w14:paraId="070FB674">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40" w:firstLineChars="200"/>
        <w:textAlignment w:val="baseline"/>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pacing w:val="-5"/>
          <w:sz w:val="28"/>
          <w:szCs w:val="28"/>
          <w:highlight w:val="none"/>
        </w:rPr>
        <w:t>（</w:t>
      </w:r>
      <w:r>
        <w:rPr>
          <w:rFonts w:hint="eastAsia" w:ascii="宋体" w:hAnsi="宋体" w:eastAsia="宋体" w:cs="宋体"/>
          <w:b w:val="0"/>
          <w:bCs w:val="0"/>
          <w:color w:val="auto"/>
          <w:spacing w:val="-5"/>
          <w:sz w:val="28"/>
          <w:szCs w:val="28"/>
          <w:highlight w:val="none"/>
          <w:lang w:val="en-US" w:eastAsia="zh-CN"/>
        </w:rPr>
        <w:t>七</w:t>
      </w:r>
      <w:r>
        <w:rPr>
          <w:rFonts w:hint="eastAsia" w:ascii="宋体" w:hAnsi="宋体" w:eastAsia="宋体" w:cs="宋体"/>
          <w:b w:val="0"/>
          <w:bCs w:val="0"/>
          <w:color w:val="auto"/>
          <w:spacing w:val="-5"/>
          <w:sz w:val="28"/>
          <w:szCs w:val="28"/>
          <w:highlight w:val="none"/>
        </w:rPr>
        <w:t>）结算标准</w:t>
      </w:r>
    </w:p>
    <w:p w14:paraId="7BAA6924">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right="0" w:firstLine="560" w:firstLineChars="200"/>
        <w:textAlignment w:val="baseline"/>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lang w:val="en-US" w:eastAsia="zh-CN"/>
        </w:rPr>
        <w:t>采购人根据</w:t>
      </w:r>
      <w:r>
        <w:rPr>
          <w:rFonts w:hint="eastAsia" w:ascii="宋体" w:hAnsi="宋体" w:eastAsia="宋体" w:cs="宋体"/>
          <w:b w:val="0"/>
          <w:bCs w:val="0"/>
          <w:color w:val="auto"/>
          <w:spacing w:val="-2"/>
          <w:sz w:val="28"/>
          <w:szCs w:val="28"/>
          <w:highlight w:val="none"/>
        </w:rPr>
        <w:t>每</w:t>
      </w:r>
      <w:r>
        <w:rPr>
          <w:rFonts w:hint="eastAsia" w:ascii="宋体" w:hAnsi="宋体" w:eastAsia="宋体" w:cs="宋体"/>
          <w:b w:val="0"/>
          <w:bCs w:val="0"/>
          <w:color w:val="auto"/>
          <w:spacing w:val="-2"/>
          <w:sz w:val="28"/>
          <w:szCs w:val="28"/>
          <w:highlight w:val="none"/>
          <w:lang w:val="en-US" w:eastAsia="zh-CN"/>
        </w:rPr>
        <w:t>两个月</w:t>
      </w:r>
      <w:r>
        <w:rPr>
          <w:rFonts w:hint="eastAsia" w:ascii="宋体" w:hAnsi="宋体" w:eastAsia="宋体" w:cs="宋体"/>
          <w:b w:val="0"/>
          <w:bCs w:val="0"/>
          <w:color w:val="auto"/>
          <w:spacing w:val="-2"/>
          <w:sz w:val="28"/>
          <w:szCs w:val="28"/>
          <w:highlight w:val="none"/>
        </w:rPr>
        <w:t>考核结果</w:t>
      </w:r>
      <w:r>
        <w:rPr>
          <w:rFonts w:hint="eastAsia" w:ascii="宋体" w:hAnsi="宋体" w:eastAsia="宋体" w:cs="宋体"/>
          <w:b w:val="0"/>
          <w:bCs w:val="0"/>
          <w:color w:val="auto"/>
          <w:spacing w:val="-2"/>
          <w:sz w:val="28"/>
          <w:szCs w:val="28"/>
          <w:highlight w:val="none"/>
          <w:lang w:val="en-US" w:eastAsia="zh-CN"/>
        </w:rPr>
        <w:t>支付服务</w:t>
      </w:r>
      <w:r>
        <w:rPr>
          <w:rFonts w:hint="eastAsia" w:ascii="宋体" w:hAnsi="宋体" w:eastAsia="宋体" w:cs="宋体"/>
          <w:b w:val="0"/>
          <w:bCs w:val="0"/>
          <w:color w:val="auto"/>
          <w:spacing w:val="-2"/>
          <w:sz w:val="28"/>
          <w:szCs w:val="28"/>
          <w:highlight w:val="none"/>
        </w:rPr>
        <w:t>费用，综合评分优秀的全额拨付维护管理费用；</w:t>
      </w:r>
      <w:r>
        <w:rPr>
          <w:rFonts w:hint="eastAsia" w:ascii="宋体" w:hAnsi="宋体" w:eastAsia="宋体" w:cs="宋体"/>
          <w:b w:val="0"/>
          <w:bCs w:val="0"/>
          <w:color w:val="auto"/>
          <w:spacing w:val="-79"/>
          <w:sz w:val="28"/>
          <w:szCs w:val="28"/>
          <w:highlight w:val="none"/>
        </w:rPr>
        <w:t xml:space="preserve"> </w:t>
      </w:r>
      <w:r>
        <w:rPr>
          <w:rFonts w:hint="eastAsia" w:ascii="宋体" w:hAnsi="宋体" w:eastAsia="宋体" w:cs="宋体"/>
          <w:b w:val="0"/>
          <w:bCs w:val="0"/>
          <w:color w:val="auto"/>
          <w:spacing w:val="-2"/>
          <w:sz w:val="28"/>
          <w:szCs w:val="28"/>
          <w:highlight w:val="none"/>
        </w:rPr>
        <w:t>良好的拨付95%，合格的拨</w:t>
      </w:r>
      <w:r>
        <w:rPr>
          <w:rFonts w:hint="eastAsia" w:ascii="宋体" w:hAnsi="宋体" w:eastAsia="宋体" w:cs="宋体"/>
          <w:b w:val="0"/>
          <w:bCs w:val="0"/>
          <w:color w:val="auto"/>
          <w:spacing w:val="-3"/>
          <w:sz w:val="28"/>
          <w:szCs w:val="28"/>
          <w:highlight w:val="none"/>
        </w:rPr>
        <w:t>付90%，不合格的拨付80%。</w:t>
      </w:r>
    </w:p>
    <w:p w14:paraId="3F35F5B6">
      <w:pPr>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60" w:firstLineChars="200"/>
        <w:textAlignment w:val="baseline"/>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（八）验收要求：</w:t>
      </w:r>
    </w:p>
    <w:p w14:paraId="70922ACC">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验收的主体：采购人自行组织专家小组进行验收。</w:t>
      </w:r>
    </w:p>
    <w:p w14:paraId="3537BB17">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验收的时间：中标人按照采购需求规定的技术要求完成服务后向采购人提出项目验收申请，采购人在收到中标人项目验收申请之日起 7 个工作日内对采购项目进行实质性验收。</w:t>
      </w:r>
    </w:p>
    <w:p w14:paraId="72CB93A4">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验收方式：中标人按照招标文件要求完成服务后，由采购人组织的专家验收小组对服务质量和服务成果进行验收。</w:t>
      </w:r>
    </w:p>
    <w:p w14:paraId="6DBF65F8">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验收内容：验收内容包括每一项技术的履约情况。</w:t>
      </w:r>
    </w:p>
    <w:p w14:paraId="64DE3EF9">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验收标准：采购人根据采购项目需求包括的每一项技术要求的履约情况进行验收，中标人履约事项全部符合采购项目需求及采购合同约定的事项，视为验收合格。</w:t>
      </w:r>
    </w:p>
    <w:p w14:paraId="5577054B">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验收程序：</w:t>
      </w:r>
    </w:p>
    <w:p w14:paraId="7F0AF96D">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①中标人按照采购需求规定的技术要求完成服务后向采购人提出项目验收建议，采购人在收到中标人项目验收建议之日起 7 个工作日内对采购项目进行实质性验收。</w:t>
      </w:r>
    </w:p>
    <w:p w14:paraId="311CF840">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②采购人组织专家小组进行验收。</w:t>
      </w:r>
    </w:p>
    <w:p w14:paraId="76CB4BFA">
      <w:pPr>
        <w:pStyle w:val="4"/>
        <w:keepNext w:val="0"/>
        <w:keepLines w:val="0"/>
        <w:pageBreakBefore w:val="0"/>
        <w:widowControl/>
        <w:kinsoku w:val="0"/>
        <w:wordWrap/>
        <w:overflowPunct/>
        <w:topLinePunct w:val="0"/>
        <w:autoSpaceDE w:val="0"/>
        <w:autoSpaceDN w:val="0"/>
        <w:bidi w:val="0"/>
        <w:adjustRightInd w:val="0"/>
        <w:snapToGrid w:val="0"/>
        <w:spacing w:before="0" w:after="0" w:line="360" w:lineRule="auto"/>
        <w:ind w:left="0" w:right="0" w:firstLine="552" w:firstLineChars="200"/>
        <w:textAlignment w:val="baseline"/>
        <w:rPr>
          <w:rFonts w:hint="eastAsia" w:ascii="宋体" w:hAnsi="宋体" w:eastAsia="宋体" w:cs="宋体"/>
          <w:b w:val="0"/>
          <w:bCs w:val="0"/>
          <w:color w:val="auto"/>
          <w:spacing w:val="-2"/>
          <w:sz w:val="28"/>
          <w:szCs w:val="28"/>
          <w:highlight w:val="none"/>
          <w:lang w:val="en-US" w:eastAsia="zh-CN"/>
        </w:rPr>
      </w:pPr>
      <w:r>
        <w:rPr>
          <w:rFonts w:hint="eastAsia" w:ascii="宋体" w:hAnsi="宋体" w:eastAsia="宋体" w:cs="宋体"/>
          <w:b w:val="0"/>
          <w:bCs w:val="0"/>
          <w:color w:val="auto"/>
          <w:spacing w:val="-2"/>
          <w:sz w:val="28"/>
          <w:szCs w:val="28"/>
          <w:highlight w:val="none"/>
          <w:lang w:val="en-US" w:eastAsia="zh-CN"/>
        </w:rPr>
        <w:t>③采购人根据采购项目需求包括的每一项技术的履约情况进行验收，中标人履约事项全部符合采购项目需求及采购合同约定的事项，视为验收合格。</w:t>
      </w:r>
    </w:p>
    <w:p w14:paraId="6E311407">
      <w:r>
        <w:rPr>
          <w:rFonts w:hint="eastAsia" w:ascii="宋体" w:hAnsi="宋体" w:eastAsia="宋体" w:cs="宋体"/>
          <w:b w:val="0"/>
          <w:bCs w:val="0"/>
          <w:color w:val="auto"/>
          <w:spacing w:val="-2"/>
          <w:sz w:val="28"/>
          <w:szCs w:val="28"/>
          <w:highlight w:val="none"/>
          <w:lang w:val="en-US" w:eastAsia="zh-CN"/>
        </w:rPr>
        <w:t>④在对采购项目需求中的每一项技术参数进行验收过程中，有任何一项技术参数不符合视为验收不通过，中标人须重新进行整改。整改完成后再次向采购人提交验收申请，直至验收合格。验收所产生的相关费用由中标人支付，各投标人应在报价时充分考虑所有因素。</w:t>
      </w:r>
    </w:p>
    <w:sectPr>
      <w:pgSz w:w="11906" w:h="16838"/>
      <w:pgMar w:top="1440" w:right="1633" w:bottom="1440"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A300A6"/>
    <w:rsid w:val="68A300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before="120" w:after="120"/>
      <w:textAlignment w:val="baseline"/>
    </w:pPr>
    <w:rPr>
      <w:rFonts w:ascii="Arial" w:hAnsi="Arial" w:eastAsia="宋体" w:cs="Arial"/>
      <w:snapToGrid w:val="0"/>
      <w:color w:val="000000"/>
      <w:sz w:val="24"/>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qFormat/>
    <w:uiPriority w:val="0"/>
    <w:rPr>
      <w:rFonts w:ascii="仿宋" w:hAnsi="仿宋" w:eastAsia="仿宋" w:cs="仿宋"/>
      <w:sz w:val="30"/>
      <w:szCs w:val="30"/>
    </w:rPr>
  </w:style>
  <w:style w:type="paragraph" w:customStyle="1" w:styleId="7">
    <w:name w:val="Table Text"/>
    <w:basedOn w:val="1"/>
    <w:semiHidden/>
    <w:qFormat/>
    <w:uiPriority w:val="0"/>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2026-05-13T07:53:00Z</dcterms:created>
  <dc:creator>15054</dc:creator>
  <cp:lastModifiedBy>15054</cp:lastModifiedBy>
  <dcterms:modified xsi:type="dcterms:W3CDTF">2026-05-13T07:53:45Z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DF3D116166F844D68049556D6869D108_11</vt:lpwstr>
  </property>
  <property fmtid="{D5CDD505-2E9C-101B-9397-08002B2CF9AE}" pid="4" name="KSOTemplateDocerSaveRecord">
    <vt:lpwstr>eyJoZGlkIjoiZGZkYjAyZGEwNjkwOTU2ZDZiOTU5MzliMjIxOGI2NTAiLCJ1c2VySWQiOiIxMDY5ODkwMTI3In0=</vt:lpwstr>
  </property>
</Properties>
</file>