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52833C">
      <w:pPr>
        <w:pageBreakBefore w:val="0"/>
        <w:widowControl w:val="0"/>
        <w:wordWrap/>
        <w:overflowPunct/>
        <w:topLinePunct w:val="0"/>
        <w:bidi w:val="0"/>
        <w:spacing w:before="63" w:line="224" w:lineRule="auto"/>
        <w:jc w:val="center"/>
        <w:outlineLvl w:val="0"/>
        <w:rPr>
          <w:rFonts w:hint="eastAsia" w:ascii="仿宋" w:hAnsi="仿宋" w:eastAsia="仿宋" w:cs="仿宋"/>
          <w:color w:val="auto"/>
          <w:sz w:val="31"/>
          <w:szCs w:val="31"/>
          <w:highlight w:val="none"/>
          <w:lang w:val="en-US" w:eastAsia="zh-CN"/>
        </w:rPr>
      </w:pPr>
      <w:r>
        <w:rPr>
          <w:rFonts w:hint="eastAsia" w:ascii="仿宋" w:hAnsi="仿宋" w:eastAsia="仿宋" w:cs="仿宋"/>
          <w:color w:val="auto"/>
          <w:spacing w:val="9"/>
          <w:sz w:val="31"/>
          <w:szCs w:val="31"/>
          <w:highlight w:val="none"/>
          <w:lang w:eastAsia="zh-CN"/>
          <w14:textOutline w14:w="5791" w14:cap="sq" w14:cmpd="sng" w14:algn="ctr">
            <w14:solidFill>
              <w14:srgbClr w14:val="000000"/>
            </w14:solidFill>
            <w14:prstDash w14:val="solid"/>
            <w14:bevel/>
          </w14:textOutline>
        </w:rPr>
        <w:t>采购需求</w:t>
      </w:r>
      <w:r>
        <w:rPr>
          <w:rFonts w:hint="eastAsia" w:ascii="仿宋" w:hAnsi="仿宋" w:eastAsia="仿宋" w:cs="仿宋"/>
          <w:color w:val="auto"/>
          <w:spacing w:val="9"/>
          <w:sz w:val="31"/>
          <w:szCs w:val="31"/>
          <w:highlight w:val="none"/>
          <w:lang w:val="en-US" w:eastAsia="zh-CN"/>
          <w14:textOutline w14:w="5791" w14:cap="sq" w14:cmpd="sng" w14:algn="ctr">
            <w14:solidFill>
              <w14:srgbClr w14:val="000000"/>
            </w14:solidFill>
            <w14:prstDash w14:val="solid"/>
            <w14:bevel/>
          </w14:textOutline>
        </w:rPr>
        <w:t>表及采购要求</w:t>
      </w:r>
    </w:p>
    <w:p w14:paraId="509FD89D">
      <w:pPr>
        <w:pageBreakBefore w:val="0"/>
        <w:widowControl w:val="0"/>
        <w:wordWrap/>
        <w:overflowPunct/>
        <w:topLinePunct w:val="0"/>
        <w:bidi w:val="0"/>
        <w:spacing w:before="78" w:line="220" w:lineRule="auto"/>
        <w:outlineLvl w:val="9"/>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pPr>
    </w:p>
    <w:p w14:paraId="56DB44D5">
      <w:pPr>
        <w:pageBreakBefore w:val="0"/>
        <w:widowControl w:val="0"/>
        <w:wordWrap/>
        <w:overflowPunct/>
        <w:topLinePunct w:val="0"/>
        <w:bidi w:val="0"/>
        <w:spacing w:before="78" w:line="220" w:lineRule="auto"/>
        <w:jc w:val="both"/>
        <w:outlineLvl w:val="0"/>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pPr>
      <w:bookmarkStart w:id="0" w:name="_Toc30578"/>
      <w:bookmarkStart w:id="1" w:name="_Toc8015"/>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一、采购需求表</w:t>
      </w:r>
      <w:bookmarkEnd w:id="0"/>
      <w:bookmarkEnd w:id="1"/>
    </w:p>
    <w:tbl>
      <w:tblPr>
        <w:tblStyle w:val="5"/>
        <w:tblpPr w:leftFromText="180" w:rightFromText="180" w:vertAnchor="text" w:tblpY="1"/>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01"/>
        <w:gridCol w:w="6510"/>
      </w:tblGrid>
      <w:tr w14:paraId="2E7DA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701" w:type="dxa"/>
            <w:tcBorders>
              <w:top w:val="single" w:color="auto" w:sz="12" w:space="0"/>
              <w:left w:val="single" w:color="auto" w:sz="12" w:space="0"/>
              <w:tl2br w:val="single" w:color="auto" w:sz="4" w:space="0"/>
            </w:tcBorders>
          </w:tcPr>
          <w:p w14:paraId="3F6E885A">
            <w:pPr>
              <w:spacing w:line="360" w:lineRule="auto"/>
              <w:ind w:firstLine="465"/>
              <w:rPr>
                <w:rFonts w:hint="eastAsia" w:ascii="仿宋" w:hAnsi="仿宋" w:eastAsia="仿宋" w:cs="仿宋"/>
                <w:color w:val="auto"/>
                <w:sz w:val="24"/>
                <w:highlight w:val="none"/>
              </w:rPr>
            </w:pPr>
          </w:p>
          <w:p w14:paraId="4448E96D">
            <w:pPr>
              <w:spacing w:line="360" w:lineRule="auto"/>
              <w:ind w:firstLine="1300" w:firstLineChars="542"/>
              <w:rPr>
                <w:rFonts w:hint="eastAsia" w:ascii="仿宋" w:hAnsi="仿宋" w:eastAsia="仿宋" w:cs="仿宋"/>
                <w:color w:val="auto"/>
                <w:sz w:val="24"/>
                <w:highlight w:val="none"/>
              </w:rPr>
            </w:pPr>
            <w:r>
              <w:rPr>
                <w:rFonts w:hint="eastAsia" w:ascii="仿宋" w:hAnsi="仿宋" w:eastAsia="仿宋" w:cs="仿宋"/>
                <w:color w:val="auto"/>
                <w:sz w:val="24"/>
                <w:highlight w:val="none"/>
              </w:rPr>
              <w:t>采购名称</w:t>
            </w:r>
          </w:p>
          <w:p w14:paraId="203C0FCB">
            <w:pPr>
              <w:spacing w:line="360" w:lineRule="auto"/>
              <w:ind w:firstLine="465"/>
              <w:rPr>
                <w:rFonts w:hint="eastAsia" w:ascii="仿宋" w:hAnsi="仿宋" w:eastAsia="仿宋" w:cs="仿宋"/>
                <w:color w:val="auto"/>
                <w:sz w:val="24"/>
                <w:highlight w:val="none"/>
              </w:rPr>
            </w:pPr>
            <w:r>
              <w:rPr>
                <w:rFonts w:hint="eastAsia" w:ascii="仿宋" w:hAnsi="仿宋" w:eastAsia="仿宋" w:cs="仿宋"/>
                <w:color w:val="auto"/>
                <w:sz w:val="24"/>
                <w:highlight w:val="none"/>
              </w:rPr>
              <w:t>内容</w:t>
            </w:r>
          </w:p>
        </w:tc>
        <w:tc>
          <w:tcPr>
            <w:tcW w:w="6510" w:type="dxa"/>
            <w:tcBorders>
              <w:top w:val="single" w:color="auto" w:sz="12" w:space="0"/>
              <w:right w:val="single" w:color="auto" w:sz="12" w:space="0"/>
            </w:tcBorders>
            <w:vAlign w:val="center"/>
          </w:tcPr>
          <w:p w14:paraId="149F315C">
            <w:pPr>
              <w:pStyle w:val="7"/>
              <w:pageBreakBefore w:val="0"/>
              <w:widowControl w:val="0"/>
              <w:wordWrap/>
              <w:overflowPunct/>
              <w:topLinePunct w:val="0"/>
              <w:bidi w:val="0"/>
              <w:jc w:val="center"/>
              <w:rPr>
                <w:rFonts w:hint="default" w:ascii="仿宋" w:hAnsi="仿宋" w:eastAsia="仿宋" w:cs="仿宋"/>
                <w:color w:val="auto"/>
                <w:sz w:val="24"/>
                <w:highlight w:val="none"/>
                <w:lang w:val="en-US"/>
              </w:rPr>
            </w:pPr>
            <w:r>
              <w:rPr>
                <w:rFonts w:hint="eastAsia" w:ascii="仿宋" w:hAnsi="仿宋" w:eastAsia="仿宋" w:cs="仿宋"/>
                <w:color w:val="auto"/>
                <w:spacing w:val="0"/>
                <w:position w:val="0"/>
                <w:sz w:val="24"/>
                <w:szCs w:val="24"/>
                <w:lang w:eastAsia="zh-CN"/>
              </w:rPr>
              <w:t>抚州</w:t>
            </w:r>
            <w:r>
              <w:rPr>
                <w:rFonts w:hint="eastAsia" w:ascii="仿宋" w:hAnsi="仿宋" w:eastAsia="仿宋" w:cs="仿宋"/>
                <w:color w:val="auto"/>
                <w:spacing w:val="0"/>
                <w:position w:val="0"/>
                <w:sz w:val="24"/>
                <w:szCs w:val="24"/>
                <w:lang w:val="en-US" w:eastAsia="zh-CN"/>
              </w:rPr>
              <w:t>高</w:t>
            </w:r>
            <w:r>
              <w:rPr>
                <w:rFonts w:hint="eastAsia" w:ascii="仿宋" w:hAnsi="仿宋" w:eastAsia="仿宋" w:cs="仿宋"/>
                <w:color w:val="auto"/>
                <w:spacing w:val="0"/>
                <w:position w:val="0"/>
                <w:sz w:val="24"/>
                <w:szCs w:val="24"/>
                <w:lang w:eastAsia="zh-CN"/>
              </w:rPr>
              <w:t>新区2026年度防贫保险</w:t>
            </w:r>
            <w:r>
              <w:rPr>
                <w:rFonts w:hint="eastAsia" w:ascii="仿宋" w:hAnsi="仿宋" w:eastAsia="仿宋" w:cs="仿宋"/>
                <w:color w:val="auto"/>
                <w:spacing w:val="0"/>
                <w:position w:val="0"/>
                <w:sz w:val="24"/>
                <w:szCs w:val="24"/>
                <w:lang w:val="en-US" w:eastAsia="zh-CN"/>
              </w:rPr>
              <w:t>项目</w:t>
            </w:r>
          </w:p>
        </w:tc>
      </w:tr>
      <w:tr w14:paraId="2DF49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701" w:type="dxa"/>
            <w:tcBorders>
              <w:left w:val="single" w:color="auto" w:sz="12" w:space="0"/>
            </w:tcBorders>
            <w:vAlign w:val="center"/>
          </w:tcPr>
          <w:p w14:paraId="7804E0EF">
            <w:pPr>
              <w:pageBreakBefore w:val="0"/>
              <w:widowControl w:val="0"/>
              <w:wordWrap/>
              <w:overflowPunct/>
              <w:topLinePunct w:val="0"/>
              <w:bidi w:val="0"/>
              <w:spacing w:before="253" w:line="219" w:lineRule="auto"/>
              <w:ind w:left="1188" w:leftChars="0"/>
              <w:jc w:val="both"/>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rPr>
              <w:t>数量</w:t>
            </w:r>
          </w:p>
        </w:tc>
        <w:tc>
          <w:tcPr>
            <w:tcW w:w="6510" w:type="dxa"/>
            <w:tcBorders>
              <w:right w:val="single" w:color="auto" w:sz="12" w:space="0"/>
            </w:tcBorders>
            <w:vAlign w:val="center"/>
          </w:tcPr>
          <w:p w14:paraId="6B284115">
            <w:pPr>
              <w:pStyle w:val="7"/>
              <w:pageBreakBefore w:val="0"/>
              <w:widowControl w:val="0"/>
              <w:wordWrap/>
              <w:overflowPunct/>
              <w:topLinePunct w:val="0"/>
              <w:bidi w:val="0"/>
              <w:jc w:val="center"/>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lang w:val="en-US" w:eastAsia="zh-CN"/>
              </w:rPr>
              <w:t>1项</w:t>
            </w:r>
          </w:p>
        </w:tc>
      </w:tr>
      <w:tr w14:paraId="2418B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701" w:type="dxa"/>
            <w:tcBorders>
              <w:left w:val="single" w:color="auto" w:sz="12" w:space="0"/>
            </w:tcBorders>
            <w:vAlign w:val="center"/>
          </w:tcPr>
          <w:p w14:paraId="3369F0E4">
            <w:pPr>
              <w:pageBreakBefore w:val="0"/>
              <w:widowControl w:val="0"/>
              <w:wordWrap/>
              <w:overflowPunct/>
              <w:topLinePunct w:val="0"/>
              <w:bidi w:val="0"/>
              <w:spacing w:before="253" w:line="219" w:lineRule="auto"/>
              <w:ind w:left="1071" w:leftChars="0"/>
              <w:jc w:val="both"/>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lang w:val="en-US" w:eastAsia="zh-CN"/>
              </w:rPr>
              <w:t>服务</w:t>
            </w:r>
            <w:r>
              <w:rPr>
                <w:rFonts w:hint="eastAsia" w:ascii="仿宋" w:hAnsi="仿宋" w:eastAsia="仿宋" w:cs="仿宋"/>
                <w:color w:val="auto"/>
                <w:spacing w:val="0"/>
                <w:position w:val="0"/>
                <w:sz w:val="24"/>
                <w:szCs w:val="24"/>
              </w:rPr>
              <w:t>期</w:t>
            </w:r>
          </w:p>
        </w:tc>
        <w:tc>
          <w:tcPr>
            <w:tcW w:w="6510" w:type="dxa"/>
            <w:tcBorders>
              <w:right w:val="single" w:color="auto" w:sz="12" w:space="0"/>
            </w:tcBorders>
            <w:vAlign w:val="center"/>
          </w:tcPr>
          <w:p w14:paraId="17D2FA44">
            <w:pPr>
              <w:pStyle w:val="7"/>
              <w:pageBreakBefore w:val="0"/>
              <w:widowControl w:val="0"/>
              <w:wordWrap/>
              <w:overflowPunct/>
              <w:topLinePunct w:val="0"/>
              <w:bidi w:val="0"/>
              <w:jc w:val="center"/>
              <w:rPr>
                <w:rFonts w:hint="default" w:ascii="仿宋" w:hAnsi="仿宋" w:eastAsia="仿宋" w:cs="仿宋"/>
                <w:color w:val="auto"/>
                <w:sz w:val="24"/>
                <w:highlight w:val="none"/>
                <w:lang w:val="en-US" w:eastAsia="zh-CN"/>
              </w:rPr>
            </w:pPr>
            <w:r>
              <w:rPr>
                <w:rFonts w:hint="eastAsia" w:ascii="仿宋" w:hAnsi="仿宋" w:eastAsia="仿宋" w:cs="仿宋"/>
                <w:color w:val="auto"/>
                <w:spacing w:val="0"/>
                <w:position w:val="0"/>
                <w:sz w:val="24"/>
                <w:szCs w:val="24"/>
                <w:lang w:val="en-US" w:eastAsia="zh-CN"/>
              </w:rPr>
              <w:t>合同签订后1年服务期</w:t>
            </w:r>
          </w:p>
        </w:tc>
      </w:tr>
      <w:tr w14:paraId="595A7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701" w:type="dxa"/>
            <w:tcBorders>
              <w:left w:val="single" w:color="auto" w:sz="12" w:space="0"/>
            </w:tcBorders>
            <w:vAlign w:val="center"/>
          </w:tcPr>
          <w:p w14:paraId="452E2AAB">
            <w:pPr>
              <w:pageBreakBefore w:val="0"/>
              <w:widowControl w:val="0"/>
              <w:wordWrap/>
              <w:overflowPunct/>
              <w:topLinePunct w:val="0"/>
              <w:bidi w:val="0"/>
              <w:spacing w:before="256" w:line="219" w:lineRule="auto"/>
              <w:ind w:left="951" w:leftChars="0"/>
              <w:jc w:val="both"/>
              <w:rPr>
                <w:rFonts w:hint="eastAsia" w:ascii="仿宋" w:hAnsi="仿宋" w:eastAsia="仿宋" w:cs="仿宋"/>
                <w:color w:val="auto"/>
                <w:sz w:val="24"/>
                <w:highlight w:val="none"/>
              </w:rPr>
            </w:pPr>
            <w:r>
              <w:rPr>
                <w:rFonts w:hint="eastAsia" w:ascii="仿宋" w:hAnsi="仿宋" w:eastAsia="仿宋" w:cs="仿宋"/>
                <w:color w:val="auto"/>
                <w:spacing w:val="0"/>
                <w:position w:val="0"/>
                <w:sz w:val="24"/>
                <w:szCs w:val="24"/>
                <w:lang w:val="en-US" w:eastAsia="zh-CN"/>
              </w:rPr>
              <w:t>服务</w:t>
            </w:r>
            <w:r>
              <w:rPr>
                <w:rFonts w:hint="eastAsia" w:ascii="仿宋" w:hAnsi="仿宋" w:eastAsia="仿宋" w:cs="仿宋"/>
                <w:color w:val="auto"/>
                <w:spacing w:val="0"/>
                <w:position w:val="0"/>
                <w:sz w:val="24"/>
                <w:szCs w:val="24"/>
              </w:rPr>
              <w:t>地点</w:t>
            </w:r>
          </w:p>
        </w:tc>
        <w:tc>
          <w:tcPr>
            <w:tcW w:w="6510" w:type="dxa"/>
            <w:tcBorders>
              <w:right w:val="single" w:color="auto" w:sz="12" w:space="0"/>
            </w:tcBorders>
            <w:vAlign w:val="center"/>
          </w:tcPr>
          <w:p w14:paraId="072BA1C3">
            <w:pPr>
              <w:pStyle w:val="7"/>
              <w:pageBreakBefore w:val="0"/>
              <w:widowControl w:val="0"/>
              <w:wordWrap/>
              <w:overflowPunct/>
              <w:topLinePunct w:val="0"/>
              <w:bidi w:val="0"/>
              <w:jc w:val="center"/>
              <w:rPr>
                <w:rFonts w:hint="default"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采购人指定地点</w:t>
            </w:r>
          </w:p>
        </w:tc>
      </w:tr>
    </w:tbl>
    <w:p w14:paraId="4A6EA73A">
      <w:pPr>
        <w:jc w:val="center"/>
        <w:rPr>
          <w:rFonts w:hint="eastAsia" w:ascii="仿宋" w:hAnsi="仿宋" w:eastAsia="仿宋" w:cs="仿宋"/>
          <w:color w:val="auto"/>
          <w:spacing w:val="-6"/>
          <w:sz w:val="52"/>
          <w:highlight w:val="none"/>
          <w:lang w:eastAsia="zh-CN"/>
        </w:rPr>
      </w:pPr>
    </w:p>
    <w:p w14:paraId="36F0D9AD">
      <w:pPr>
        <w:pStyle w:val="3"/>
        <w:rPr>
          <w:rFonts w:hint="eastAsia" w:ascii="仿宋" w:hAnsi="仿宋" w:eastAsia="仿宋" w:cs="仿宋"/>
          <w:color w:val="auto"/>
          <w:highlight w:val="none"/>
          <w:lang w:eastAsia="zh-CN"/>
        </w:rPr>
      </w:pPr>
    </w:p>
    <w:p w14:paraId="76648F1D">
      <w:pPr>
        <w:jc w:val="center"/>
        <w:rPr>
          <w:rFonts w:hint="eastAsia" w:ascii="仿宋" w:hAnsi="仿宋" w:eastAsia="仿宋" w:cs="仿宋"/>
          <w:color w:val="auto"/>
          <w:spacing w:val="-6"/>
          <w:sz w:val="52"/>
          <w:highlight w:val="none"/>
        </w:rPr>
        <w:sectPr>
          <w:footerReference r:id="rId3" w:type="default"/>
          <w:pgSz w:w="11906" w:h="16838"/>
          <w:pgMar w:top="1440" w:right="1803" w:bottom="1440" w:left="1803" w:header="851" w:footer="850" w:gutter="0"/>
          <w:pgNumType w:fmt="decimal"/>
          <w:cols w:space="0" w:num="1"/>
          <w:rtlGutter w:val="0"/>
          <w:docGrid w:linePitch="312" w:charSpace="0"/>
        </w:sectPr>
      </w:pPr>
    </w:p>
    <w:p w14:paraId="37DBEE29">
      <w:pPr>
        <w:pageBreakBefore w:val="0"/>
        <w:widowControl w:val="0"/>
        <w:wordWrap/>
        <w:overflowPunct/>
        <w:topLinePunct w:val="0"/>
        <w:bidi w:val="0"/>
        <w:spacing w:line="245" w:lineRule="auto"/>
        <w:jc w:val="center"/>
        <w:outlineLvl w:val="0"/>
        <w:rPr>
          <w:rFonts w:hint="default" w:ascii="仿宋" w:hAnsi="仿宋" w:eastAsia="仿宋" w:cs="仿宋"/>
          <w:b/>
          <w:bCs/>
          <w:snapToGrid w:val="0"/>
          <w:color w:val="auto"/>
          <w:sz w:val="30"/>
          <w:szCs w:val="30"/>
          <w:highlight w:val="none"/>
          <w:lang w:val="en-US" w:eastAsia="zh-CN" w:bidi="ar-SA"/>
        </w:rPr>
      </w:pPr>
      <w:bookmarkStart w:id="2" w:name="_Toc4122"/>
      <w:bookmarkStart w:id="3" w:name="_Toc507597381"/>
      <w:r>
        <w:rPr>
          <w:rFonts w:hint="eastAsia" w:ascii="仿宋" w:hAnsi="仿宋" w:eastAsia="仿宋" w:cs="仿宋"/>
          <w:b/>
          <w:bCs/>
          <w:snapToGrid w:val="0"/>
          <w:color w:val="auto"/>
          <w:sz w:val="30"/>
          <w:szCs w:val="30"/>
          <w:highlight w:val="none"/>
          <w:lang w:val="en-US" w:eastAsia="zh-CN" w:bidi="ar-SA"/>
        </w:rPr>
        <w:t>二、采购要求</w:t>
      </w:r>
      <w:bookmarkEnd w:id="2"/>
      <w:bookmarkEnd w:id="3"/>
    </w:p>
    <w:p w14:paraId="1C9BA69F">
      <w:pPr>
        <w:pageBreakBefore w:val="0"/>
        <w:widowControl w:val="0"/>
        <w:wordWrap/>
        <w:overflowPunct/>
        <w:topLinePunct w:val="0"/>
        <w:bidi w:val="0"/>
        <w:spacing w:line="245" w:lineRule="auto"/>
        <w:rPr>
          <w:rFonts w:hint="eastAsia" w:ascii="仿宋" w:hAnsi="仿宋" w:eastAsia="仿宋" w:cs="仿宋"/>
          <w:b/>
          <w:bCs/>
          <w:snapToGrid w:val="0"/>
          <w:color w:val="auto"/>
          <w:sz w:val="24"/>
          <w:szCs w:val="24"/>
          <w:highlight w:val="none"/>
          <w:lang w:val="en-US" w:eastAsia="zh-CN" w:bidi="ar-SA"/>
        </w:rPr>
      </w:pPr>
    </w:p>
    <w:p w14:paraId="1BA95492">
      <w:pPr>
        <w:spacing w:line="360" w:lineRule="auto"/>
        <w:outlineLvl w:val="1"/>
        <w:rPr>
          <w:rFonts w:ascii="仿宋" w:hAnsi="仿宋" w:eastAsia="仿宋" w:cs="仿宋"/>
          <w:bCs/>
          <w:sz w:val="24"/>
          <w:szCs w:val="24"/>
        </w:rPr>
      </w:pPr>
      <w:bookmarkStart w:id="4" w:name="_Toc24806"/>
      <w:r>
        <w:rPr>
          <w:rFonts w:hint="eastAsia" w:ascii="仿宋" w:hAnsi="仿宋" w:eastAsia="仿宋" w:cs="仿宋"/>
          <w:bCs/>
          <w:sz w:val="24"/>
          <w:szCs w:val="24"/>
        </w:rPr>
        <w:t>1、保险费标准</w:t>
      </w:r>
      <w:bookmarkEnd w:id="4"/>
    </w:p>
    <w:p w14:paraId="58B5AFB1">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按照</w:t>
      </w:r>
      <w:r>
        <w:rPr>
          <w:rFonts w:hint="eastAsia" w:ascii="仿宋" w:hAnsi="仿宋" w:eastAsia="仿宋" w:cs="仿宋"/>
          <w:bCs/>
          <w:sz w:val="24"/>
          <w:szCs w:val="24"/>
          <w:lang w:eastAsia="zh-CN"/>
        </w:rPr>
        <w:t>高新区2026年</w:t>
      </w:r>
      <w:r>
        <w:rPr>
          <w:rFonts w:hint="eastAsia" w:ascii="仿宋" w:hAnsi="仿宋" w:eastAsia="仿宋" w:cs="仿宋"/>
          <w:bCs/>
          <w:sz w:val="24"/>
          <w:szCs w:val="24"/>
        </w:rPr>
        <w:t>年底农村人口数60000人的10%计算投保人数，保险费标准为每人每年100元，保险费总计</w:t>
      </w:r>
      <w:r>
        <w:rPr>
          <w:rFonts w:hint="eastAsia" w:ascii="仿宋" w:hAnsi="仿宋" w:eastAsia="仿宋" w:cs="仿宋"/>
          <w:bCs/>
          <w:sz w:val="24"/>
          <w:szCs w:val="24"/>
          <w:lang w:val="en-US" w:eastAsia="zh-CN"/>
        </w:rPr>
        <w:t>60</w:t>
      </w:r>
      <w:r>
        <w:rPr>
          <w:rFonts w:hint="eastAsia" w:ascii="仿宋" w:hAnsi="仿宋" w:eastAsia="仿宋" w:cs="仿宋"/>
          <w:bCs/>
          <w:sz w:val="24"/>
          <w:szCs w:val="24"/>
        </w:rPr>
        <w:t>万元（</w:t>
      </w:r>
      <w:r>
        <w:rPr>
          <w:rFonts w:hint="eastAsia" w:ascii="仿宋" w:hAnsi="仿宋" w:eastAsia="仿宋" w:cs="仿宋"/>
          <w:bCs/>
          <w:sz w:val="24"/>
          <w:szCs w:val="24"/>
          <w:lang w:val="en-US" w:eastAsia="zh-CN"/>
        </w:rPr>
        <w:t>陆拾万</w:t>
      </w:r>
      <w:r>
        <w:rPr>
          <w:rFonts w:hint="eastAsia" w:ascii="仿宋" w:hAnsi="仿宋" w:eastAsia="仿宋" w:cs="仿宋"/>
          <w:bCs/>
          <w:sz w:val="24"/>
          <w:szCs w:val="24"/>
        </w:rPr>
        <w:t>元整）。</w:t>
      </w:r>
    </w:p>
    <w:p w14:paraId="517DD991">
      <w:pPr>
        <w:spacing w:line="360" w:lineRule="auto"/>
        <w:outlineLvl w:val="1"/>
        <w:rPr>
          <w:rFonts w:ascii="仿宋" w:hAnsi="仿宋" w:eastAsia="仿宋" w:cs="仿宋"/>
          <w:bCs/>
          <w:sz w:val="24"/>
          <w:szCs w:val="24"/>
        </w:rPr>
      </w:pPr>
      <w:bookmarkStart w:id="5" w:name="_Toc32301"/>
      <w:r>
        <w:rPr>
          <w:rFonts w:hint="eastAsia" w:ascii="仿宋" w:hAnsi="仿宋" w:eastAsia="仿宋" w:cs="仿宋"/>
          <w:bCs/>
          <w:sz w:val="24"/>
          <w:szCs w:val="24"/>
        </w:rPr>
        <w:t>2、防贫对象</w:t>
      </w:r>
      <w:bookmarkEnd w:id="5"/>
    </w:p>
    <w:p w14:paraId="483DDBD8">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按上一年度末乡村总人口10%的比例框定防贫保险人数。</w:t>
      </w:r>
    </w:p>
    <w:p w14:paraId="453BABEB">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防贫保险对象不事前确定具体人员，不事先识别，原则上按照防贫对象年人均可支配收入低于上年度国家</w:t>
      </w:r>
      <w:r>
        <w:rPr>
          <w:rFonts w:hint="eastAsia" w:ascii="仿宋" w:hAnsi="仿宋" w:eastAsia="仿宋" w:cs="仿宋"/>
          <w:bCs/>
          <w:sz w:val="24"/>
          <w:szCs w:val="24"/>
          <w:lang w:val="en-US" w:eastAsia="zh-CN"/>
        </w:rPr>
        <w:t>监测</w:t>
      </w:r>
      <w:r>
        <w:rPr>
          <w:rFonts w:hint="eastAsia" w:ascii="仿宋" w:hAnsi="仿宋" w:eastAsia="仿宋" w:cs="仿宋"/>
          <w:bCs/>
          <w:sz w:val="24"/>
          <w:szCs w:val="24"/>
        </w:rPr>
        <w:t>线1.5倍（2025年监测范围标准为8900元/年，1.5倍即1.335万元）的标准进行框定。</w:t>
      </w:r>
    </w:p>
    <w:p w14:paraId="355C3878">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 xml:space="preserve">防贫保险对象重点有以下几类：（1）脱贫户；（2）边缘易致贫户；（3）突发严重困难户；（4）其他农村低收入人群。 </w:t>
      </w:r>
    </w:p>
    <w:p w14:paraId="7A9C35D5">
      <w:pPr>
        <w:spacing w:line="360" w:lineRule="auto"/>
        <w:outlineLvl w:val="1"/>
        <w:rPr>
          <w:rFonts w:ascii="仿宋" w:hAnsi="仿宋" w:eastAsia="仿宋" w:cs="仿宋"/>
          <w:bCs/>
          <w:sz w:val="24"/>
          <w:szCs w:val="24"/>
        </w:rPr>
      </w:pPr>
      <w:bookmarkStart w:id="6" w:name="_Toc19401"/>
      <w:r>
        <w:rPr>
          <w:rFonts w:hint="eastAsia" w:ascii="仿宋" w:hAnsi="仿宋" w:eastAsia="仿宋" w:cs="仿宋"/>
          <w:bCs/>
          <w:sz w:val="24"/>
          <w:szCs w:val="24"/>
        </w:rPr>
        <w:t>3、保险责任</w:t>
      </w:r>
      <w:bookmarkEnd w:id="6"/>
    </w:p>
    <w:p w14:paraId="3922164C">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在保险期间内，防贫对象由于因病、因学、因灾、因个人责任无力赔偿、因生产资料损失五大因素产生的自担损失，有返贫或致贫风险，保险人按要求约定给予脱贫防贫保险金的扶助方式。</w:t>
      </w:r>
    </w:p>
    <w:p w14:paraId="22E05AD9">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对符合下列五种情况的，经核实后，由投标人按照要求约定支付防贫保险金</w:t>
      </w:r>
    </w:p>
    <w:p w14:paraId="2083A429">
      <w:pPr>
        <w:spacing w:line="360" w:lineRule="auto"/>
        <w:outlineLvl w:val="2"/>
        <w:rPr>
          <w:rFonts w:ascii="仿宋" w:hAnsi="仿宋" w:eastAsia="仿宋" w:cs="仿宋"/>
          <w:bCs/>
          <w:sz w:val="24"/>
          <w:szCs w:val="24"/>
        </w:rPr>
      </w:pPr>
      <w:bookmarkStart w:id="7" w:name="_Toc13650"/>
      <w:r>
        <w:rPr>
          <w:rFonts w:hint="eastAsia" w:ascii="仿宋" w:hAnsi="仿宋" w:eastAsia="仿宋" w:cs="仿宋"/>
          <w:bCs/>
          <w:sz w:val="24"/>
          <w:szCs w:val="24"/>
        </w:rPr>
        <w:t>3.1因病</w:t>
      </w:r>
      <w:bookmarkEnd w:id="7"/>
    </w:p>
    <w:p w14:paraId="3541F87E">
      <w:pPr>
        <w:spacing w:line="360" w:lineRule="auto"/>
        <w:ind w:firstLine="480" w:firstLineChars="200"/>
        <w:rPr>
          <w:rFonts w:hint="eastAsia" w:ascii="仿宋" w:hAnsi="仿宋" w:eastAsia="仿宋" w:cs="仿宋"/>
          <w:bCs/>
          <w:color w:val="000000" w:themeColor="text1"/>
          <w:sz w:val="24"/>
          <w:szCs w:val="24"/>
          <w:lang w:eastAsia="zh-CN"/>
          <w14:textFill>
            <w14:solidFill>
              <w14:schemeClr w14:val="tx1"/>
            </w14:solidFill>
          </w14:textFill>
        </w:rPr>
      </w:pPr>
      <w:r>
        <w:rPr>
          <w:rFonts w:hint="eastAsia" w:ascii="仿宋" w:hAnsi="仿宋" w:eastAsia="仿宋" w:cs="仿宋"/>
          <w:bCs/>
          <w:sz w:val="24"/>
          <w:szCs w:val="24"/>
        </w:rPr>
        <w:t>属于“脱贫户、边缘易致贫户、突发严重困难户”的，按照自付医疗费用0.5万元设置预警线，纳入监测范围，经查勘认定符合条件的，</w:t>
      </w:r>
      <w:r>
        <w:rPr>
          <w:rFonts w:hint="eastAsia" w:ascii="仿宋" w:hAnsi="仿宋" w:eastAsia="仿宋" w:cs="仿宋"/>
          <w:bCs/>
          <w:color w:val="000000" w:themeColor="text1"/>
          <w:sz w:val="24"/>
          <w:szCs w:val="24"/>
          <w14:textFill>
            <w14:solidFill>
              <w14:schemeClr w14:val="tx1"/>
            </w14:solidFill>
          </w14:textFill>
        </w:rPr>
        <w:t>自付费用扣除0.5万元起付线，剩余费用在1万元以下的，按照50%比例发放防贫保险金；自付费用扣除0.5万元起付线</w:t>
      </w:r>
      <w:r>
        <w:rPr>
          <w:rFonts w:hint="eastAsia" w:ascii="仿宋" w:hAnsi="仿宋" w:eastAsia="仿宋" w:cs="仿宋"/>
          <w:bCs/>
          <w:color w:val="000000" w:themeColor="text1"/>
          <w:sz w:val="24"/>
          <w:szCs w:val="24"/>
          <w:lang w:eastAsia="zh-CN"/>
          <w14:textFill>
            <w14:solidFill>
              <w14:schemeClr w14:val="tx1"/>
            </w14:solidFill>
          </w14:textFill>
        </w:rPr>
        <w:t>，</w:t>
      </w:r>
      <w:r>
        <w:rPr>
          <w:rFonts w:hint="eastAsia" w:ascii="仿宋" w:hAnsi="仿宋" w:eastAsia="仿宋" w:cs="仿宋"/>
          <w:bCs/>
          <w:color w:val="000000" w:themeColor="text1"/>
          <w:sz w:val="24"/>
          <w:szCs w:val="24"/>
          <w:lang w:val="en-US" w:eastAsia="zh-CN"/>
          <w14:textFill>
            <w14:solidFill>
              <w14:schemeClr w14:val="tx1"/>
            </w14:solidFill>
          </w14:textFill>
        </w:rPr>
        <w:t>剩余费用在</w:t>
      </w:r>
      <w:r>
        <w:rPr>
          <w:rFonts w:hint="eastAsia" w:ascii="仿宋" w:hAnsi="仿宋" w:eastAsia="仿宋" w:cs="仿宋"/>
          <w:bCs/>
          <w:color w:val="000000" w:themeColor="text1"/>
          <w:sz w:val="24"/>
          <w:szCs w:val="24"/>
          <w14:textFill>
            <w14:solidFill>
              <w14:schemeClr w14:val="tx1"/>
            </w14:solidFill>
          </w14:textFill>
        </w:rPr>
        <w:t>1万元（含）至3万元的，按照60%比例发放防贫保险金；自付费用扣除0.5万元起付线</w:t>
      </w:r>
      <w:r>
        <w:rPr>
          <w:rFonts w:hint="eastAsia" w:ascii="仿宋" w:hAnsi="仿宋" w:eastAsia="仿宋" w:cs="仿宋"/>
          <w:bCs/>
          <w:color w:val="000000" w:themeColor="text1"/>
          <w:sz w:val="24"/>
          <w:szCs w:val="24"/>
          <w:lang w:eastAsia="zh-CN"/>
          <w14:textFill>
            <w14:solidFill>
              <w14:schemeClr w14:val="tx1"/>
            </w14:solidFill>
          </w14:textFill>
        </w:rPr>
        <w:t>，</w:t>
      </w:r>
      <w:r>
        <w:rPr>
          <w:rFonts w:hint="eastAsia" w:ascii="仿宋" w:hAnsi="仿宋" w:eastAsia="仿宋" w:cs="仿宋"/>
          <w:bCs/>
          <w:color w:val="000000" w:themeColor="text1"/>
          <w:sz w:val="24"/>
          <w:szCs w:val="24"/>
          <w:lang w:val="en-US" w:eastAsia="zh-CN"/>
          <w14:textFill>
            <w14:solidFill>
              <w14:schemeClr w14:val="tx1"/>
            </w14:solidFill>
          </w14:textFill>
        </w:rPr>
        <w:t>剩余费用在</w:t>
      </w:r>
      <w:r>
        <w:rPr>
          <w:rFonts w:hint="eastAsia" w:ascii="仿宋" w:hAnsi="仿宋" w:eastAsia="仿宋" w:cs="仿宋"/>
          <w:bCs/>
          <w:color w:val="000000" w:themeColor="text1"/>
          <w:sz w:val="24"/>
          <w:szCs w:val="24"/>
          <w14:textFill>
            <w14:solidFill>
              <w14:schemeClr w14:val="tx1"/>
            </w14:solidFill>
          </w14:textFill>
        </w:rPr>
        <w:t>3万元及以上的，按照70%比例发放防贫保险金</w:t>
      </w:r>
      <w:r>
        <w:rPr>
          <w:rFonts w:hint="eastAsia" w:ascii="仿宋" w:hAnsi="仿宋" w:eastAsia="仿宋" w:cs="仿宋"/>
          <w:bCs/>
          <w:color w:val="000000" w:themeColor="text1"/>
          <w:sz w:val="24"/>
          <w:szCs w:val="24"/>
          <w:lang w:eastAsia="zh-CN"/>
          <w14:textFill>
            <w14:solidFill>
              <w14:schemeClr w14:val="tx1"/>
            </w14:solidFill>
          </w14:textFill>
        </w:rPr>
        <w:t>；</w:t>
      </w:r>
      <w:r>
        <w:rPr>
          <w:rFonts w:hint="eastAsia" w:ascii="仿宋" w:hAnsi="仿宋" w:eastAsia="仿宋" w:cs="仿宋"/>
          <w:bCs/>
          <w:color w:val="000000" w:themeColor="text1"/>
          <w:sz w:val="24"/>
          <w:szCs w:val="24"/>
          <w:lang w:val="en-US" w:eastAsia="zh-CN"/>
          <w14:textFill>
            <w14:solidFill>
              <w14:schemeClr w14:val="tx1"/>
            </w14:solidFill>
          </w14:textFill>
        </w:rPr>
        <w:t>如</w:t>
      </w:r>
      <w:r>
        <w:rPr>
          <w:rFonts w:hint="eastAsia" w:ascii="仿宋" w:hAnsi="仿宋" w:eastAsia="仿宋" w:cs="仿宋"/>
          <w:bCs/>
          <w:color w:val="000000" w:themeColor="text1"/>
          <w:sz w:val="24"/>
          <w:szCs w:val="24"/>
          <w14:textFill>
            <w14:solidFill>
              <w14:schemeClr w14:val="tx1"/>
            </w14:solidFill>
          </w14:textFill>
        </w:rPr>
        <w:t>扣除0.5万元起付线</w:t>
      </w:r>
      <w:r>
        <w:rPr>
          <w:rFonts w:hint="eastAsia" w:ascii="仿宋" w:hAnsi="仿宋" w:eastAsia="仿宋" w:cs="仿宋"/>
          <w:bCs/>
          <w:color w:val="000000" w:themeColor="text1"/>
          <w:sz w:val="24"/>
          <w:szCs w:val="24"/>
          <w:lang w:eastAsia="zh-CN"/>
          <w14:textFill>
            <w14:solidFill>
              <w14:schemeClr w14:val="tx1"/>
            </w14:solidFill>
          </w14:textFill>
        </w:rPr>
        <w:t>，</w:t>
      </w:r>
      <w:r>
        <w:rPr>
          <w:rFonts w:hint="eastAsia" w:ascii="仿宋" w:hAnsi="仿宋" w:eastAsia="仿宋" w:cs="仿宋"/>
          <w:bCs/>
          <w:color w:val="000000" w:themeColor="text1"/>
          <w:sz w:val="24"/>
          <w:szCs w:val="24"/>
          <w:lang w:val="en-US" w:eastAsia="zh-CN"/>
          <w14:textFill>
            <w14:solidFill>
              <w14:schemeClr w14:val="tx1"/>
            </w14:solidFill>
          </w14:textFill>
        </w:rPr>
        <w:t>剩余费用为4万，是按4万*0.7计算</w:t>
      </w:r>
      <w:r>
        <w:rPr>
          <w:rFonts w:hint="eastAsia" w:ascii="仿宋" w:hAnsi="仿宋" w:eastAsia="仿宋" w:cs="仿宋"/>
          <w:bCs/>
          <w:color w:val="000000" w:themeColor="text1"/>
          <w:sz w:val="24"/>
          <w:szCs w:val="24"/>
          <w14:textFill>
            <w14:solidFill>
              <w14:schemeClr w14:val="tx1"/>
            </w14:solidFill>
          </w14:textFill>
        </w:rPr>
        <w:t>。</w:t>
      </w:r>
      <w:r>
        <w:rPr>
          <w:rFonts w:hint="eastAsia" w:ascii="仿宋" w:hAnsi="仿宋" w:eastAsia="仿宋" w:cs="仿宋"/>
          <w:bCs/>
          <w:color w:val="000000" w:themeColor="text1"/>
          <w:sz w:val="24"/>
          <w:szCs w:val="24"/>
          <w:lang w:eastAsia="zh-CN"/>
          <w14:textFill>
            <w14:solidFill>
              <w14:schemeClr w14:val="tx1"/>
            </w14:solidFill>
          </w14:textFill>
        </w:rPr>
        <w:t>（</w:t>
      </w:r>
      <w:r>
        <w:rPr>
          <w:rFonts w:hint="eastAsia" w:ascii="仿宋" w:hAnsi="仿宋" w:eastAsia="仿宋" w:cs="仿宋"/>
          <w:bCs/>
          <w:color w:val="000000" w:themeColor="text1"/>
          <w:sz w:val="24"/>
          <w:szCs w:val="24"/>
          <w:lang w:val="en-US" w:eastAsia="zh-CN"/>
          <w14:textFill>
            <w14:solidFill>
              <w14:schemeClr w14:val="tx1"/>
            </w14:solidFill>
          </w14:textFill>
        </w:rPr>
        <w:t>以下因学、因灾等赔款分段计算方法参照执行</w:t>
      </w:r>
      <w:r>
        <w:rPr>
          <w:rFonts w:hint="eastAsia" w:ascii="仿宋" w:hAnsi="仿宋" w:eastAsia="仿宋" w:cs="仿宋"/>
          <w:bCs/>
          <w:color w:val="000000" w:themeColor="text1"/>
          <w:sz w:val="24"/>
          <w:szCs w:val="24"/>
          <w:lang w:eastAsia="zh-CN"/>
          <w14:textFill>
            <w14:solidFill>
              <w14:schemeClr w14:val="tx1"/>
            </w14:solidFill>
          </w14:textFill>
        </w:rPr>
        <w:t>）</w:t>
      </w:r>
    </w:p>
    <w:p w14:paraId="71206FA3">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属于“其他农村低收入人群”的，按照自付医疗费用1.5万元设置预警线，纳入监测范围，经查勘认定符合条件的，自付费用扣除1.5万元起付线，剩余费用在2万元以下的，按照50%比例发放防贫保险金；2万元（含）至4万元的，按照60%比例发放防贫保险金；4万元及以上的，按照70%比例发放防贫保险金。</w:t>
      </w:r>
    </w:p>
    <w:p w14:paraId="22D64495">
      <w:pPr>
        <w:spacing w:line="360" w:lineRule="auto"/>
        <w:rPr>
          <w:rFonts w:ascii="仿宋" w:hAnsi="仿宋" w:eastAsia="仿宋" w:cs="仿宋"/>
          <w:bCs/>
          <w:sz w:val="24"/>
          <w:szCs w:val="24"/>
        </w:rPr>
      </w:pPr>
      <w:r>
        <w:rPr>
          <w:rFonts w:hint="eastAsia" w:ascii="仿宋" w:hAnsi="仿宋" w:eastAsia="仿宋" w:cs="仿宋"/>
          <w:bCs/>
          <w:sz w:val="24"/>
          <w:szCs w:val="24"/>
        </w:rPr>
        <w:t>自付医疗费用指通过城乡居民基本医疗保险、大病保险、疾病商业补充保险、民政医疗救助、众筹等各类补偿后仍需个人支付的费用。</w:t>
      </w:r>
    </w:p>
    <w:p w14:paraId="41FA2315">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因病发放防贫保险金最高每人限额不超过3万元，每户限额不超过20万元。</w:t>
      </w:r>
    </w:p>
    <w:p w14:paraId="4CD8A32E">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因疾病丧失劳动能力的按每人最高3万元标准发放防贫保险金。</w:t>
      </w:r>
    </w:p>
    <w:p w14:paraId="68D5CF70">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赔付计算方式(不含非医保用药)：[（住院医疗费用-基本医保－大病保险-医疗救助）-起付金额]*赔付比例。</w:t>
      </w:r>
    </w:p>
    <w:p w14:paraId="7E260649">
      <w:pPr>
        <w:spacing w:line="360" w:lineRule="auto"/>
        <w:outlineLvl w:val="2"/>
        <w:rPr>
          <w:rFonts w:ascii="仿宋" w:hAnsi="仿宋" w:eastAsia="仿宋" w:cs="仿宋"/>
          <w:bCs/>
          <w:sz w:val="24"/>
          <w:szCs w:val="24"/>
        </w:rPr>
      </w:pPr>
      <w:bookmarkStart w:id="8" w:name="_Toc31119"/>
      <w:r>
        <w:rPr>
          <w:rFonts w:hint="eastAsia" w:ascii="仿宋" w:hAnsi="仿宋" w:eastAsia="仿宋" w:cs="仿宋"/>
          <w:bCs/>
          <w:sz w:val="24"/>
          <w:szCs w:val="24"/>
        </w:rPr>
        <w:t>3.2因学</w:t>
      </w:r>
      <w:bookmarkEnd w:id="8"/>
    </w:p>
    <w:p w14:paraId="73B11BE3">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防贫保险对象子女在学前教育、全日制学历教育正式注册学籍的在校生，含义务教育、中高职教育、高等教育（包括顶岗实习，不含研究生教育）期间实际年支付的学费、住宿费和教科书费。以0.2万元为起付线，对经核实可能致贫或返贫的，相应费用超出部分在0.3万元以内的，按100%比例发放防贫保险金；0.3万元（含）至0.5万元的，按80%比例发放防贫保险金；0.5万元及以上的，按60%比例发放防贫保险金，最高每人限额不超过3万元。</w:t>
      </w:r>
    </w:p>
    <w:p w14:paraId="6DFD6557">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赔付计算方式：[（学费+住宿费+教科书费）-起付金额]*赔付比例。</w:t>
      </w:r>
    </w:p>
    <w:p w14:paraId="43B56CE3">
      <w:pPr>
        <w:spacing w:line="360" w:lineRule="auto"/>
        <w:outlineLvl w:val="2"/>
        <w:rPr>
          <w:rFonts w:ascii="仿宋" w:hAnsi="仿宋" w:eastAsia="仿宋" w:cs="仿宋"/>
          <w:bCs/>
          <w:sz w:val="24"/>
          <w:szCs w:val="24"/>
        </w:rPr>
      </w:pPr>
      <w:bookmarkStart w:id="9" w:name="_Toc637"/>
      <w:r>
        <w:rPr>
          <w:rFonts w:hint="eastAsia" w:ascii="仿宋" w:hAnsi="仿宋" w:eastAsia="仿宋" w:cs="仿宋"/>
          <w:bCs/>
          <w:sz w:val="24"/>
          <w:szCs w:val="24"/>
        </w:rPr>
        <w:t>3.3因灾（含意外事故）</w:t>
      </w:r>
      <w:bookmarkEnd w:id="9"/>
    </w:p>
    <w:p w14:paraId="1D0B4503">
      <w:pPr>
        <w:spacing w:line="360" w:lineRule="auto"/>
        <w:rPr>
          <w:rFonts w:ascii="仿宋" w:hAnsi="仿宋" w:eastAsia="仿宋" w:cs="仿宋"/>
          <w:bCs/>
          <w:sz w:val="24"/>
          <w:szCs w:val="24"/>
        </w:rPr>
      </w:pPr>
      <w:r>
        <w:rPr>
          <w:rFonts w:hint="eastAsia" w:ascii="仿宋" w:hAnsi="仿宋" w:eastAsia="仿宋" w:cs="仿宋"/>
          <w:bCs/>
          <w:sz w:val="24"/>
          <w:szCs w:val="24"/>
        </w:rPr>
        <w:t>3.3.1自然灾害类。因自然灾害（暴风、暴雨、暴雪、寒潮、雷击、洪水、龙卷风、地面塌陷、地裂缝、冰雹、干旱等）等原因致贫或返贫家庭房屋、屋内附属设施及财产（不包含现金及金银首饰）损失，以1万元为预警线，家庭财产损失在1万元以上的，扣除1万元起付线，超出部分在1万元以下的，按40%比例发放防贫保险金；1万元（含）至3万元的，按60%比例发放防贫保险金；3万元及以上的，按80%比例发放防贫保险金，最高每户限额不超过3万元。</w:t>
      </w:r>
    </w:p>
    <w:p w14:paraId="5783A1E5">
      <w:pPr>
        <w:spacing w:line="360" w:lineRule="auto"/>
        <w:rPr>
          <w:rFonts w:ascii="仿宋" w:hAnsi="仿宋" w:eastAsia="仿宋" w:cs="仿宋"/>
          <w:bCs/>
          <w:sz w:val="24"/>
          <w:szCs w:val="24"/>
        </w:rPr>
      </w:pPr>
      <w:r>
        <w:rPr>
          <w:rFonts w:hint="eastAsia" w:ascii="仿宋" w:hAnsi="仿宋" w:eastAsia="仿宋" w:cs="仿宋"/>
          <w:bCs/>
          <w:sz w:val="24"/>
          <w:szCs w:val="24"/>
        </w:rPr>
        <w:t>3.3.2交通事故类。经司法等程序未得到相应赔付或已得到赔付但需要长期医治等，可能导致生活处于贫困线以下的家庭，分以下两种情况赔付防贫保险金：一是因财产损失过重可能返贫或致贫的，参照因灾致贫险中“自然灾害类”支付赔付金；二是因医疗花费过高可能返贫或致贫的，参照因病致贫险办法支付赔付金。但交通类意外事故医疗费用最高限额每人不超过3万元。因意外事故造成人员死亡的，按每人3万元的标准发放防贫保险金，导致伤残丧失劳动能力的，按每人最高1万元的标准发放防贫保险金。</w:t>
      </w:r>
    </w:p>
    <w:p w14:paraId="4726420F">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赔付计算方式：实际损失超过起付线的部分，在保险金额内按约定比例计算赔付。</w:t>
      </w:r>
    </w:p>
    <w:p w14:paraId="5CB48FC9">
      <w:pPr>
        <w:spacing w:line="360" w:lineRule="auto"/>
        <w:outlineLvl w:val="2"/>
        <w:rPr>
          <w:rFonts w:ascii="仿宋" w:hAnsi="仿宋" w:eastAsia="仿宋" w:cs="仿宋"/>
          <w:bCs/>
          <w:sz w:val="24"/>
          <w:szCs w:val="24"/>
        </w:rPr>
      </w:pPr>
      <w:bookmarkStart w:id="10" w:name="_Toc7726"/>
      <w:r>
        <w:rPr>
          <w:rFonts w:hint="eastAsia" w:ascii="仿宋" w:hAnsi="仿宋" w:eastAsia="仿宋" w:cs="仿宋"/>
          <w:bCs/>
          <w:sz w:val="24"/>
          <w:szCs w:val="24"/>
        </w:rPr>
        <w:t>3.4因个人责任无力赔偿</w:t>
      </w:r>
      <w:bookmarkEnd w:id="10"/>
    </w:p>
    <w:p w14:paraId="0931232B">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非主观意愿造成第三方财产损失及人身伤害后，因赔偿责任导致返贫或致贫时进行保险金发放。以0.5万元为起付线，相应费用超出部分在0.3万元以内的，按100%比例发放防贫保险金；0.3万元（含）至0.5万元的，按80%比例发放防贫保险金；0.5万元及以上的，按60%比例发放防贫保险金，最高每人限额不超过3万元。</w:t>
      </w:r>
    </w:p>
    <w:p w14:paraId="57E6979A">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赔付计算方式：实际赔偿超过起付线的部分，在保险金额内按约定比例计算赔付。</w:t>
      </w:r>
    </w:p>
    <w:p w14:paraId="51440EBD">
      <w:pPr>
        <w:spacing w:line="360" w:lineRule="auto"/>
        <w:outlineLvl w:val="2"/>
        <w:rPr>
          <w:rFonts w:ascii="仿宋" w:hAnsi="仿宋" w:eastAsia="仿宋" w:cs="仿宋"/>
          <w:bCs/>
          <w:sz w:val="24"/>
          <w:szCs w:val="24"/>
        </w:rPr>
      </w:pPr>
      <w:bookmarkStart w:id="11" w:name="_Toc16733"/>
      <w:r>
        <w:rPr>
          <w:rFonts w:hint="eastAsia" w:ascii="仿宋" w:hAnsi="仿宋" w:eastAsia="仿宋" w:cs="仿宋"/>
          <w:bCs/>
          <w:sz w:val="24"/>
          <w:szCs w:val="24"/>
        </w:rPr>
        <w:t>3.5因生产资料损失</w:t>
      </w:r>
      <w:bookmarkEnd w:id="11"/>
    </w:p>
    <w:p w14:paraId="55C9A6EE">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生产资料直接影响生产力，因生产资料（包括生产工具、运输设备、原材料等）非主观意愿损失，无法进行正常生产或劳动经营导致返贫或致贫时进行防贫保险金发放，以供购买相应生产资料用于恢复生产。以1万元为起付线，相应费用超出部分在0.3万元以内的，按100%比例发放防贫保险金；0.3万元（含）至0.5万元的，按80%比例发放防贫保险金；0.5万元及以上的，按60%比例发放防贫保险金，最高每人限额不超过3万元。</w:t>
      </w:r>
    </w:p>
    <w:p w14:paraId="74F05E1D">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赔付计算方式：实际损失超过起付线的部分，在保险金额内按约定比例计算赔付。</w:t>
      </w:r>
    </w:p>
    <w:p w14:paraId="182ADCD2">
      <w:pPr>
        <w:spacing w:line="360" w:lineRule="auto"/>
        <w:outlineLvl w:val="1"/>
        <w:rPr>
          <w:rFonts w:ascii="仿宋" w:hAnsi="仿宋" w:eastAsia="仿宋" w:cs="仿宋"/>
          <w:bCs/>
          <w:sz w:val="24"/>
          <w:szCs w:val="24"/>
        </w:rPr>
      </w:pPr>
      <w:bookmarkStart w:id="12" w:name="_Toc26623"/>
      <w:r>
        <w:rPr>
          <w:rFonts w:hint="eastAsia" w:ascii="仿宋" w:hAnsi="仿宋" w:eastAsia="仿宋" w:cs="仿宋"/>
          <w:bCs/>
          <w:sz w:val="24"/>
          <w:szCs w:val="24"/>
        </w:rPr>
        <w:t>4、理赔时效和支付流程</w:t>
      </w:r>
      <w:bookmarkEnd w:id="12"/>
    </w:p>
    <w:p w14:paraId="3E7BCDCC">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保险人接到投保人的转办任务后，要迅速开展核查工作并出具核查报告，</w:t>
      </w:r>
      <w:r>
        <w:rPr>
          <w:rFonts w:hint="eastAsia" w:ascii="仿宋" w:hAnsi="仿宋" w:eastAsia="仿宋" w:cs="仿宋"/>
          <w:bCs/>
          <w:sz w:val="24"/>
          <w:szCs w:val="24"/>
          <w:lang w:eastAsia="zh-CN"/>
        </w:rPr>
        <w:t>区</w:t>
      </w:r>
      <w:r>
        <w:rPr>
          <w:rFonts w:hint="eastAsia" w:ascii="仿宋" w:hAnsi="仿宋" w:eastAsia="仿宋" w:cs="仿宋"/>
          <w:bCs/>
          <w:sz w:val="24"/>
          <w:szCs w:val="24"/>
        </w:rPr>
        <w:t>内3个工作日、</w:t>
      </w:r>
      <w:r>
        <w:rPr>
          <w:rFonts w:hint="eastAsia" w:ascii="仿宋" w:hAnsi="仿宋" w:eastAsia="仿宋" w:cs="仿宋"/>
          <w:bCs/>
          <w:sz w:val="24"/>
          <w:szCs w:val="24"/>
          <w:lang w:eastAsia="zh-CN"/>
        </w:rPr>
        <w:t>区</w:t>
      </w:r>
      <w:r>
        <w:rPr>
          <w:rFonts w:hint="eastAsia" w:ascii="仿宋" w:hAnsi="仿宋" w:eastAsia="仿宋" w:cs="仿宋"/>
          <w:bCs/>
          <w:sz w:val="24"/>
          <w:szCs w:val="24"/>
        </w:rPr>
        <w:t>外5个工作日内完成核查工作，如特殊情况可适当延长核查时间，做到每单必查。应及时赔付，在接到发放通知后10个工作日内给予支付。如遇特殊情况可适当延长时间，但从乡、村提出理赔并提供有关申请理赔材料之日起到赔付到位不超过30天。</w:t>
      </w:r>
    </w:p>
    <w:p w14:paraId="365AA485">
      <w:pPr>
        <w:spacing w:line="360" w:lineRule="auto"/>
        <w:outlineLvl w:val="1"/>
        <w:rPr>
          <w:rFonts w:ascii="仿宋" w:hAnsi="仿宋" w:eastAsia="仿宋" w:cs="仿宋"/>
          <w:bCs/>
          <w:sz w:val="24"/>
          <w:szCs w:val="24"/>
        </w:rPr>
      </w:pPr>
      <w:bookmarkStart w:id="13" w:name="_Toc10937"/>
      <w:r>
        <w:rPr>
          <w:rFonts w:hint="eastAsia" w:ascii="仿宋" w:hAnsi="仿宋" w:eastAsia="仿宋" w:cs="仿宋"/>
          <w:bCs/>
          <w:sz w:val="24"/>
          <w:szCs w:val="24"/>
        </w:rPr>
        <w:t>5、争议处理</w:t>
      </w:r>
      <w:bookmarkEnd w:id="13"/>
    </w:p>
    <w:p w14:paraId="6622BCD2">
      <w:pPr>
        <w:spacing w:line="360" w:lineRule="auto"/>
        <w:rPr>
          <w:rFonts w:ascii="仿宋" w:hAnsi="仿宋" w:eastAsia="仿宋" w:cs="仿宋"/>
          <w:bCs/>
          <w:sz w:val="24"/>
          <w:szCs w:val="24"/>
        </w:rPr>
      </w:pPr>
      <w:r>
        <w:rPr>
          <w:rFonts w:hint="eastAsia" w:ascii="仿宋" w:hAnsi="仿宋" w:eastAsia="仿宋" w:cs="仿宋"/>
          <w:bCs/>
          <w:sz w:val="24"/>
          <w:szCs w:val="24"/>
        </w:rPr>
        <w:t>5.1投标人对所承担工作认真负责，并定期征求投保人对工作的意见和建议，对存在的问题要及时处理；耐心听取所辖镇、村干部和群众的意见和建议，并做好及时处理和反馈。</w:t>
      </w:r>
    </w:p>
    <w:p w14:paraId="13C6D30B">
      <w:pPr>
        <w:spacing w:line="360" w:lineRule="auto"/>
        <w:rPr>
          <w:rFonts w:ascii="仿宋" w:hAnsi="仿宋" w:eastAsia="仿宋" w:cs="仿宋"/>
          <w:bCs/>
          <w:sz w:val="24"/>
          <w:szCs w:val="24"/>
        </w:rPr>
      </w:pPr>
      <w:r>
        <w:rPr>
          <w:rFonts w:hint="eastAsia" w:ascii="仿宋" w:hAnsi="仿宋" w:eastAsia="仿宋" w:cs="仿宋"/>
          <w:bCs/>
          <w:sz w:val="24"/>
          <w:szCs w:val="24"/>
        </w:rPr>
        <w:t>5.2如对投标人的调查和支付结果发生争议时，应通过协商的办法解决，协商不能达成一致意见时，可提请农业农村局并联合有关部门共同协商解决。</w:t>
      </w:r>
    </w:p>
    <w:p w14:paraId="72914599">
      <w:pPr>
        <w:spacing w:line="360" w:lineRule="auto"/>
        <w:outlineLvl w:val="1"/>
        <w:rPr>
          <w:rFonts w:ascii="仿宋" w:hAnsi="仿宋" w:eastAsia="仿宋" w:cs="仿宋"/>
          <w:bCs/>
          <w:sz w:val="24"/>
          <w:szCs w:val="24"/>
        </w:rPr>
      </w:pPr>
      <w:bookmarkStart w:id="14" w:name="_Toc18716"/>
      <w:r>
        <w:rPr>
          <w:rFonts w:hint="eastAsia" w:ascii="仿宋" w:hAnsi="仿宋" w:eastAsia="仿宋" w:cs="仿宋"/>
          <w:bCs/>
          <w:sz w:val="24"/>
          <w:szCs w:val="24"/>
        </w:rPr>
        <w:t>6、盈亏管理制度</w:t>
      </w:r>
      <w:bookmarkEnd w:id="14"/>
    </w:p>
    <w:p w14:paraId="7C627429">
      <w:pPr>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盈亏管理：保险公司按照合同期内保险赔付金额的10%提取运营费，用于必要的运营管理开支；保费按年度结算，若年度结算后有结余</w:t>
      </w:r>
      <w:r>
        <w:rPr>
          <w:rFonts w:hint="eastAsia" w:ascii="仿宋" w:hAnsi="仿宋" w:eastAsia="仿宋" w:cs="仿宋"/>
          <w:bCs/>
          <w:sz w:val="24"/>
          <w:szCs w:val="24"/>
          <w:lang w:eastAsia="zh-CN"/>
        </w:rPr>
        <w:t>，</w:t>
      </w:r>
      <w:r>
        <w:rPr>
          <w:rFonts w:hint="eastAsia" w:ascii="仿宋" w:hAnsi="仿宋" w:eastAsia="仿宋" w:cs="仿宋"/>
          <w:bCs/>
          <w:color w:val="000000" w:themeColor="text1"/>
          <w:sz w:val="24"/>
          <w:szCs w:val="24"/>
          <w:lang w:val="en-US" w:eastAsia="zh-CN"/>
          <w14:textFill>
            <w14:solidFill>
              <w14:schemeClr w14:val="tx1"/>
            </w14:solidFill>
          </w14:textFill>
        </w:rPr>
        <w:t>折抵下一年防贫保保费</w:t>
      </w:r>
      <w:r>
        <w:rPr>
          <w:rFonts w:hint="eastAsia" w:ascii="仿宋" w:hAnsi="仿宋" w:eastAsia="仿宋" w:cs="仿宋"/>
          <w:bCs/>
          <w:color w:val="000000" w:themeColor="text1"/>
          <w:sz w:val="24"/>
          <w:szCs w:val="24"/>
          <w14:textFill>
            <w14:solidFill>
              <w14:schemeClr w14:val="tx1"/>
            </w14:solidFill>
          </w14:textFill>
        </w:rPr>
        <w:t>，如赔付超出本年保费，则亏损部分由</w:t>
      </w:r>
      <w:r>
        <w:rPr>
          <w:rFonts w:hint="eastAsia" w:ascii="仿宋" w:hAnsi="仿宋" w:eastAsia="仿宋" w:cs="仿宋"/>
          <w:bCs/>
          <w:color w:val="000000" w:themeColor="text1"/>
          <w:sz w:val="24"/>
          <w:szCs w:val="24"/>
          <w:lang w:eastAsia="zh-CN"/>
          <w14:textFill>
            <w14:solidFill>
              <w14:schemeClr w14:val="tx1"/>
            </w14:solidFill>
          </w14:textFill>
        </w:rPr>
        <w:t>区</w:t>
      </w:r>
      <w:r>
        <w:rPr>
          <w:rFonts w:hint="eastAsia" w:ascii="仿宋" w:hAnsi="仿宋" w:eastAsia="仿宋" w:cs="仿宋"/>
          <w:bCs/>
          <w:color w:val="000000" w:themeColor="text1"/>
          <w:sz w:val="24"/>
          <w:szCs w:val="24"/>
          <w14:textFill>
            <w14:solidFill>
              <w14:schemeClr w14:val="tx1"/>
            </w14:solidFill>
          </w14:textFill>
        </w:rPr>
        <w:t>财政和承保保</w:t>
      </w:r>
      <w:r>
        <w:rPr>
          <w:rFonts w:hint="eastAsia" w:ascii="仿宋" w:hAnsi="仿宋" w:eastAsia="仿宋" w:cs="仿宋"/>
          <w:bCs/>
          <w:sz w:val="24"/>
          <w:szCs w:val="24"/>
        </w:rPr>
        <w:t>险公司各负担50%。</w:t>
      </w:r>
    </w:p>
    <w:p w14:paraId="17348B87">
      <w:pPr>
        <w:numPr>
          <w:ilvl w:val="0"/>
          <w:numId w:val="1"/>
        </w:numPr>
        <w:spacing w:line="360" w:lineRule="auto"/>
        <w:ind w:left="0" w:leftChars="0" w:firstLine="0" w:firstLineChars="0"/>
        <w:outlineLvl w:val="0"/>
        <w:rPr>
          <w:rFonts w:hint="eastAsia" w:ascii="仿宋" w:hAnsi="仿宋" w:eastAsia="仿宋" w:cs="仿宋"/>
          <w:b/>
          <w:bCs/>
          <w:sz w:val="24"/>
          <w:szCs w:val="24"/>
        </w:rPr>
      </w:pPr>
      <w:bookmarkStart w:id="15" w:name="_Toc23281"/>
      <w:r>
        <w:rPr>
          <w:rFonts w:hint="eastAsia" w:ascii="仿宋" w:hAnsi="仿宋" w:eastAsia="仿宋" w:cs="仿宋"/>
          <w:b/>
          <w:bCs/>
          <w:sz w:val="24"/>
          <w:szCs w:val="24"/>
        </w:rPr>
        <w:t>商务条款</w:t>
      </w:r>
      <w:bookmarkEnd w:id="15"/>
    </w:p>
    <w:p w14:paraId="5CECBDDB">
      <w:pPr>
        <w:spacing w:line="360" w:lineRule="auto"/>
        <w:rPr>
          <w:rFonts w:hint="eastAsia" w:ascii="仿宋" w:hAnsi="仿宋" w:eastAsia="仿宋" w:cs="仿宋"/>
          <w:bCs/>
          <w:sz w:val="24"/>
          <w:szCs w:val="24"/>
        </w:rPr>
      </w:pPr>
      <w:r>
        <w:rPr>
          <w:rFonts w:hint="eastAsia" w:ascii="仿宋" w:hAnsi="仿宋" w:eastAsia="仿宋" w:cs="仿宋"/>
          <w:bCs/>
          <w:sz w:val="24"/>
          <w:szCs w:val="24"/>
          <w:lang w:val="en-US" w:eastAsia="zh-CN"/>
        </w:rPr>
        <w:t xml:space="preserve">1、本磋商文件提出的是最低限度的要求，投标人应达到或优于本磋商文件要求，且符合国家（行业）相关规划、标准和规范要求。 </w:t>
      </w:r>
    </w:p>
    <w:p w14:paraId="2950AD06">
      <w:pPr>
        <w:spacing w:line="360" w:lineRule="auto"/>
        <w:rPr>
          <w:rFonts w:hint="eastAsia" w:ascii="仿宋" w:hAnsi="仿宋" w:eastAsia="仿宋" w:cs="仿宋"/>
          <w:bCs/>
          <w:sz w:val="24"/>
          <w:szCs w:val="24"/>
        </w:rPr>
      </w:pPr>
      <w:r>
        <w:rPr>
          <w:rFonts w:hint="eastAsia" w:ascii="仿宋" w:hAnsi="仿宋" w:eastAsia="仿宋" w:cs="仿宋"/>
          <w:bCs/>
          <w:sz w:val="24"/>
          <w:szCs w:val="24"/>
          <w:lang w:val="en-US" w:eastAsia="zh-CN"/>
        </w:rPr>
        <w:t xml:space="preserve">2、投标人须提供符合要求及标准的服务，并负责服务中出现的任何问题。 </w:t>
      </w:r>
    </w:p>
    <w:p w14:paraId="7F8967FF">
      <w:pPr>
        <w:spacing w:line="360" w:lineRule="auto"/>
      </w:pPr>
      <w:r>
        <w:rPr>
          <w:rFonts w:hint="eastAsia" w:ascii="仿宋" w:hAnsi="仿宋" w:eastAsia="仿宋" w:cs="仿宋"/>
          <w:bCs/>
          <w:sz w:val="24"/>
          <w:szCs w:val="24"/>
          <w:lang w:val="en-US" w:eastAsia="zh-CN"/>
        </w:rPr>
        <w:t>3、所有标的的知识产权问题，由各投标人自行负责。</w:t>
      </w:r>
    </w:p>
    <w:p w14:paraId="37A2E004">
      <w:pPr>
        <w:spacing w:line="360" w:lineRule="auto"/>
      </w:pPr>
      <w:r>
        <w:rPr>
          <w:rFonts w:hint="eastAsia" w:ascii="仿宋" w:hAnsi="仿宋" w:eastAsia="仿宋" w:cs="仿宋"/>
          <w:bCs/>
          <w:sz w:val="24"/>
          <w:szCs w:val="24"/>
          <w:lang w:val="en-US" w:eastAsia="zh-CN"/>
        </w:rPr>
        <w:t>4</w:t>
      </w:r>
      <w:r>
        <w:rPr>
          <w:rFonts w:hint="eastAsia" w:ascii="仿宋" w:hAnsi="仿宋" w:eastAsia="仿宋" w:cs="仿宋"/>
          <w:bCs/>
          <w:sz w:val="24"/>
          <w:szCs w:val="24"/>
        </w:rPr>
        <w:t>、报价要求：本项目为交钥匙项目，投标报价包含磋商文件规定的完成本项目相关服务所需的设备、人员、培训、技术支持、税费等一切相关费用。</w:t>
      </w:r>
    </w:p>
    <w:p w14:paraId="598126A2">
      <w:pPr>
        <w:spacing w:line="360" w:lineRule="auto"/>
        <w:rPr>
          <w:rFonts w:ascii="仿宋" w:hAnsi="仿宋" w:eastAsia="仿宋" w:cs="仿宋"/>
          <w:bCs/>
          <w:sz w:val="24"/>
          <w:szCs w:val="24"/>
        </w:rPr>
      </w:pPr>
      <w:r>
        <w:rPr>
          <w:rFonts w:hint="eastAsia" w:ascii="仿宋" w:hAnsi="仿宋" w:eastAsia="仿宋" w:cs="仿宋"/>
          <w:bCs/>
          <w:sz w:val="24"/>
          <w:szCs w:val="24"/>
          <w:lang w:val="en-US" w:eastAsia="zh-CN"/>
        </w:rPr>
        <w:t>5</w:t>
      </w:r>
      <w:r>
        <w:rPr>
          <w:rFonts w:hint="eastAsia" w:ascii="仿宋" w:hAnsi="仿宋" w:eastAsia="仿宋" w:cs="仿宋"/>
          <w:bCs/>
          <w:sz w:val="24"/>
          <w:szCs w:val="24"/>
        </w:rPr>
        <w:t>、付款方式：签订合同，保单生效后，成交供应商开具增值税发票，采购人一次性拨付保险费。</w:t>
      </w:r>
    </w:p>
    <w:p w14:paraId="2E452C60">
      <w:pPr>
        <w:spacing w:line="360" w:lineRule="auto"/>
        <w:rPr>
          <w:rFonts w:ascii="仿宋" w:hAnsi="仿宋" w:eastAsia="仿宋" w:cs="仿宋"/>
          <w:bCs/>
          <w:sz w:val="24"/>
          <w:szCs w:val="24"/>
        </w:rPr>
      </w:pPr>
      <w:r>
        <w:rPr>
          <w:rFonts w:hint="eastAsia" w:ascii="仿宋" w:hAnsi="仿宋" w:eastAsia="仿宋" w:cs="仿宋"/>
          <w:bCs/>
          <w:sz w:val="24"/>
          <w:szCs w:val="24"/>
          <w:lang w:val="en-US" w:eastAsia="zh-CN"/>
        </w:rPr>
        <w:t>6</w:t>
      </w:r>
      <w:r>
        <w:rPr>
          <w:rFonts w:hint="eastAsia" w:ascii="仿宋" w:hAnsi="仿宋" w:eastAsia="仿宋" w:cs="仿宋"/>
          <w:bCs/>
          <w:sz w:val="24"/>
          <w:szCs w:val="24"/>
        </w:rPr>
        <w:t>、合同履行期限：服务期限为一年。</w:t>
      </w:r>
    </w:p>
    <w:p w14:paraId="2151F86A">
      <w:pPr>
        <w:rPr>
          <w:rFonts w:hint="default" w:ascii="仿宋" w:hAnsi="仿宋" w:eastAsia="仿宋" w:cs="仿宋"/>
          <w:bCs/>
          <w:sz w:val="24"/>
          <w:szCs w:val="24"/>
          <w:lang w:val="en-US" w:eastAsia="zh-CN"/>
        </w:rPr>
      </w:pPr>
      <w:r>
        <w:rPr>
          <w:rFonts w:hint="eastAsia" w:ascii="仿宋" w:hAnsi="仿宋" w:eastAsia="仿宋" w:cs="仿宋"/>
          <w:bCs/>
          <w:sz w:val="24"/>
          <w:szCs w:val="24"/>
          <w:lang w:val="en-US" w:eastAsia="zh-CN"/>
        </w:rPr>
        <w:t>7</w:t>
      </w:r>
      <w:r>
        <w:rPr>
          <w:rFonts w:hint="eastAsia" w:ascii="仿宋" w:hAnsi="仿宋" w:eastAsia="仿宋" w:cs="仿宋"/>
          <w:bCs/>
          <w:sz w:val="24"/>
          <w:szCs w:val="24"/>
        </w:rPr>
        <w:t>、服务地点：采购人指定地点。</w:t>
      </w:r>
    </w:p>
    <w:p w14:paraId="41D61FA7">
      <w:bookmarkStart w:id="16" w:name="_GoBack"/>
      <w:bookmarkEnd w:id="16"/>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9F85D">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57ECC3">
                          <w:pPr>
                            <w:pStyle w:val="4"/>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1B57ECC3">
                    <w:pPr>
                      <w:pStyle w:val="4"/>
                    </w:pPr>
                    <w:r>
                      <w:fldChar w:fldCharType="begin"/>
                    </w:r>
                    <w:r>
                      <w:instrText xml:space="preserve"> PAGE  \* MERGEFORMAT </w:instrText>
                    </w:r>
                    <w:r>
                      <w:fldChar w:fldCharType="separate"/>
                    </w:r>
                    <w:r>
                      <w:t>45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36093F"/>
    <w:multiLevelType w:val="singleLevel"/>
    <w:tmpl w:val="EA36093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7EB8"/>
    <w:rsid w:val="00927E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next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2026-05-13T05:23:00Z</dcterms:created>
  <dc:creator>Administrator</dc:creator>
  <cp:lastModifiedBy>Administrator</cp:lastModifiedBy>
  <dcterms:modified xsi:type="dcterms:W3CDTF">2026-05-13T05:23:16Z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661DCD67649C4D82A8593083D63412ED_11</vt:lpwstr>
  </property>
  <property fmtid="{D5CDD505-2E9C-101B-9397-08002B2CF9AE}" pid="4" name="KSOTemplateDocerSaveRecord">
    <vt:lpwstr>eyJoZGlkIjoiODY3MTAyYmNmMTVlOTZjNmY2ZjZiYzk1ZWFkOTBlYmMiLCJ1c2VySWQiOiIxMjE0MjIyOTYzIn0=</vt:lpwstr>
  </property>
</Properties>
</file>