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67CCDB">
      <w:pPr>
        <w:pageBreakBefore w:val="0"/>
        <w:widowControl w:val="0"/>
        <w:wordWrap/>
        <w:overflowPunct/>
        <w:topLinePunct w:val="0"/>
        <w:bidi w:val="0"/>
        <w:spacing w:before="63" w:line="224" w:lineRule="auto"/>
        <w:jc w:val="center"/>
        <w:outlineLvl w:val="0"/>
        <w:rPr>
          <w:rFonts w:ascii="宋体" w:hAnsi="宋体" w:eastAsia="宋体" w:cs="宋体"/>
          <w:color w:val="auto"/>
          <w:spacing w:val="0"/>
          <w:position w:val="0"/>
          <w:sz w:val="31"/>
          <w:szCs w:val="31"/>
          <w:lang w:eastAsia="zh-CN"/>
        </w:rPr>
      </w:pPr>
      <w:bookmarkStart w:id="0" w:name="_Toc3672"/>
      <w:bookmarkStart w:id="1" w:name="_Toc28188"/>
      <w:r>
        <w:rPr>
          <w:rFonts w:ascii="宋体" w:hAnsi="宋体" w:eastAsia="宋体" w:cs="宋体"/>
          <w:color w:val="auto"/>
          <w:spacing w:val="0"/>
          <w:position w:val="0"/>
          <w:sz w:val="31"/>
          <w:szCs w:val="31"/>
          <w:lang w:eastAsia="zh-CN"/>
        </w:rPr>
        <w:t>第五章  采购需求</w:t>
      </w:r>
      <w:bookmarkEnd w:id="0"/>
      <w:bookmarkEnd w:id="1"/>
    </w:p>
    <w:p w14:paraId="461AEAE9">
      <w:pPr>
        <w:pageBreakBefore w:val="0"/>
        <w:widowControl w:val="0"/>
        <w:wordWrap/>
        <w:overflowPunct/>
        <w:topLinePunct w:val="0"/>
        <w:bidi w:val="0"/>
        <w:spacing w:line="309" w:lineRule="auto"/>
        <w:rPr>
          <w:color w:val="auto"/>
          <w:spacing w:val="0"/>
          <w:position w:val="0"/>
          <w:lang w:eastAsia="zh-CN"/>
        </w:rPr>
      </w:pPr>
    </w:p>
    <w:p w14:paraId="6065C0CB">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8"/>
          <w:szCs w:val="28"/>
        </w:rPr>
      </w:pPr>
      <w:bookmarkStart w:id="2" w:name="_Toc24631"/>
      <w:bookmarkStart w:id="3" w:name="_Toc20154"/>
      <w:r>
        <w:rPr>
          <w:rFonts w:ascii="宋体" w:hAnsi="宋体" w:eastAsia="宋体" w:cs="宋体"/>
          <w:color w:val="auto"/>
          <w:spacing w:val="0"/>
          <w:position w:val="0"/>
          <w:sz w:val="28"/>
          <w:szCs w:val="28"/>
        </w:rPr>
        <w:t>一、</w:t>
      </w:r>
      <w:r>
        <w:rPr>
          <w:rFonts w:hint="eastAsia" w:ascii="宋体" w:hAnsi="宋体" w:eastAsia="宋体" w:cs="宋体"/>
          <w:color w:val="auto"/>
          <w:spacing w:val="0"/>
          <w:position w:val="0"/>
          <w:sz w:val="28"/>
          <w:szCs w:val="28"/>
          <w:lang w:val="en-US" w:eastAsia="zh-CN"/>
        </w:rPr>
        <w:t>采购</w:t>
      </w:r>
      <w:r>
        <w:rPr>
          <w:rFonts w:ascii="宋体" w:hAnsi="宋体" w:eastAsia="宋体" w:cs="宋体"/>
          <w:color w:val="auto"/>
          <w:spacing w:val="0"/>
          <w:position w:val="0"/>
          <w:sz w:val="28"/>
          <w:szCs w:val="28"/>
        </w:rPr>
        <w:t>需求表</w:t>
      </w:r>
      <w:bookmarkEnd w:id="2"/>
      <w:bookmarkEnd w:id="3"/>
    </w:p>
    <w:p w14:paraId="126CE317">
      <w:pPr>
        <w:pageBreakBefore w:val="0"/>
        <w:widowControl w:val="0"/>
        <w:wordWrap/>
        <w:overflowPunct/>
        <w:topLinePunct w:val="0"/>
        <w:bidi w:val="0"/>
        <w:spacing w:before="64"/>
        <w:rPr>
          <w:color w:val="auto"/>
          <w:spacing w:val="0"/>
          <w:position w:val="0"/>
        </w:rPr>
      </w:pPr>
    </w:p>
    <w:tbl>
      <w:tblPr>
        <w:tblStyle w:val="7"/>
        <w:tblW w:w="10038"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80"/>
        <w:gridCol w:w="909"/>
        <w:gridCol w:w="6849"/>
      </w:tblGrid>
      <w:tr w14:paraId="76BE28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280" w:type="dxa"/>
            <w:tcBorders>
              <w:right w:val="nil"/>
            </w:tcBorders>
            <w:noWrap w:val="0"/>
            <w:vAlign w:val="top"/>
          </w:tcPr>
          <w:p w14:paraId="0D846FC1">
            <w:pPr>
              <w:pageBreakBefore w:val="0"/>
              <w:widowControl w:val="0"/>
              <w:wordWrap/>
              <w:overflowPunct/>
              <w:topLinePunct w:val="0"/>
              <w:bidi w:val="0"/>
              <w:spacing w:before="183" w:line="223" w:lineRule="auto"/>
              <w:ind w:left="109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rPr>
              <w:drawing>
                <wp:anchor distT="0" distB="0" distL="114300" distR="114300" simplePos="0" relativeHeight="251659264" behindDoc="1" locked="0" layoutInCell="1" allowOverlap="1">
                  <wp:simplePos x="0" y="0"/>
                  <wp:positionH relativeFrom="column">
                    <wp:posOffset>6985</wp:posOffset>
                  </wp:positionH>
                  <wp:positionV relativeFrom="paragraph">
                    <wp:posOffset>0</wp:posOffset>
                  </wp:positionV>
                  <wp:extent cx="2023745" cy="1466850"/>
                  <wp:effectExtent l="0" t="0" r="14605" b="0"/>
                  <wp:wrapNone/>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5"/>
                          <a:stretch>
                            <a:fillRect/>
                          </a:stretch>
                        </pic:blipFill>
                        <pic:spPr>
                          <a:xfrm>
                            <a:off x="0" y="0"/>
                            <a:ext cx="2023745" cy="1466850"/>
                          </a:xfrm>
                          <a:prstGeom prst="rect">
                            <a:avLst/>
                          </a:prstGeom>
                          <a:noFill/>
                          <a:ln>
                            <a:noFill/>
                          </a:ln>
                        </pic:spPr>
                      </pic:pic>
                    </a:graphicData>
                  </a:graphic>
                </wp:anchor>
              </w:drawing>
            </w:r>
            <w:r>
              <w:rPr>
                <w:rFonts w:hint="eastAsia" w:ascii="宋体" w:hAnsi="宋体" w:eastAsia="宋体" w:cs="宋体"/>
                <w:color w:val="auto"/>
                <w:spacing w:val="0"/>
                <w:position w:val="0"/>
                <w:sz w:val="24"/>
                <w:szCs w:val="24"/>
              </w:rPr>
              <w:t>名</w:t>
            </w:r>
          </w:p>
          <w:p w14:paraId="14F02224">
            <w:pPr>
              <w:pStyle w:val="8"/>
              <w:pageBreakBefore w:val="0"/>
              <w:widowControl w:val="0"/>
              <w:wordWrap/>
              <w:overflowPunct/>
              <w:topLinePunct w:val="0"/>
              <w:bidi w:val="0"/>
              <w:spacing w:line="245" w:lineRule="auto"/>
              <w:rPr>
                <w:rFonts w:hint="eastAsia" w:ascii="宋体" w:hAnsi="宋体" w:eastAsia="宋体" w:cs="宋体"/>
                <w:color w:val="auto"/>
                <w:spacing w:val="0"/>
                <w:position w:val="0"/>
              </w:rPr>
            </w:pPr>
          </w:p>
          <w:p w14:paraId="2A3ED0FB">
            <w:pPr>
              <w:pStyle w:val="8"/>
              <w:pageBreakBefore w:val="0"/>
              <w:widowControl w:val="0"/>
              <w:wordWrap/>
              <w:overflowPunct/>
              <w:topLinePunct w:val="0"/>
              <w:bidi w:val="0"/>
              <w:spacing w:line="246" w:lineRule="auto"/>
              <w:rPr>
                <w:rFonts w:hint="eastAsia" w:ascii="宋体" w:hAnsi="宋体" w:eastAsia="宋体" w:cs="宋体"/>
                <w:color w:val="auto"/>
                <w:spacing w:val="0"/>
                <w:position w:val="0"/>
              </w:rPr>
            </w:pPr>
          </w:p>
          <w:p w14:paraId="4F7C81F3">
            <w:pPr>
              <w:pageBreakBefore w:val="0"/>
              <w:widowControl w:val="0"/>
              <w:wordWrap/>
              <w:overflowPunct/>
              <w:topLinePunct w:val="0"/>
              <w:bidi w:val="0"/>
              <w:spacing w:before="78" w:line="219" w:lineRule="auto"/>
              <w:ind w:left="48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内</w:t>
            </w:r>
          </w:p>
          <w:p w14:paraId="1262E4EC">
            <w:pPr>
              <w:pStyle w:val="8"/>
              <w:pageBreakBefore w:val="0"/>
              <w:widowControl w:val="0"/>
              <w:wordWrap/>
              <w:overflowPunct/>
              <w:topLinePunct w:val="0"/>
              <w:bidi w:val="0"/>
              <w:spacing w:line="338" w:lineRule="auto"/>
              <w:rPr>
                <w:rFonts w:hint="eastAsia" w:ascii="宋体" w:hAnsi="宋体" w:eastAsia="宋体" w:cs="宋体"/>
                <w:color w:val="auto"/>
                <w:spacing w:val="0"/>
                <w:position w:val="0"/>
              </w:rPr>
            </w:pPr>
          </w:p>
          <w:p w14:paraId="5EE31C28">
            <w:pPr>
              <w:pageBreakBefore w:val="0"/>
              <w:widowControl w:val="0"/>
              <w:wordWrap/>
              <w:overflowPunct/>
              <w:topLinePunct w:val="0"/>
              <w:bidi w:val="0"/>
              <w:spacing w:before="78" w:line="220" w:lineRule="auto"/>
              <w:ind w:left="131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容</w:t>
            </w:r>
          </w:p>
        </w:tc>
        <w:tc>
          <w:tcPr>
            <w:tcW w:w="909" w:type="dxa"/>
            <w:tcBorders>
              <w:left w:val="nil"/>
            </w:tcBorders>
            <w:noWrap w:val="0"/>
            <w:vAlign w:val="top"/>
          </w:tcPr>
          <w:p w14:paraId="7CC8F11A">
            <w:pPr>
              <w:pStyle w:val="8"/>
              <w:pageBreakBefore w:val="0"/>
              <w:widowControl w:val="0"/>
              <w:wordWrap/>
              <w:overflowPunct/>
              <w:topLinePunct w:val="0"/>
              <w:bidi w:val="0"/>
              <w:spacing w:line="263" w:lineRule="auto"/>
              <w:rPr>
                <w:rFonts w:hint="eastAsia" w:ascii="宋体" w:hAnsi="宋体" w:eastAsia="宋体" w:cs="宋体"/>
                <w:color w:val="auto"/>
                <w:spacing w:val="0"/>
                <w:position w:val="0"/>
              </w:rPr>
            </w:pPr>
          </w:p>
          <w:p w14:paraId="4EB38FCD">
            <w:pPr>
              <w:pStyle w:val="8"/>
              <w:pageBreakBefore w:val="0"/>
              <w:widowControl w:val="0"/>
              <w:wordWrap/>
              <w:overflowPunct/>
              <w:topLinePunct w:val="0"/>
              <w:bidi w:val="0"/>
              <w:spacing w:line="263" w:lineRule="auto"/>
              <w:rPr>
                <w:rFonts w:hint="eastAsia" w:ascii="宋体" w:hAnsi="宋体" w:eastAsia="宋体" w:cs="宋体"/>
                <w:color w:val="auto"/>
                <w:spacing w:val="0"/>
                <w:position w:val="0"/>
              </w:rPr>
            </w:pPr>
          </w:p>
          <w:p w14:paraId="5CE3C7D5">
            <w:pPr>
              <w:pStyle w:val="8"/>
              <w:pageBreakBefore w:val="0"/>
              <w:widowControl w:val="0"/>
              <w:wordWrap/>
              <w:overflowPunct/>
              <w:topLinePunct w:val="0"/>
              <w:bidi w:val="0"/>
              <w:spacing w:line="264" w:lineRule="auto"/>
              <w:rPr>
                <w:rFonts w:hint="eastAsia" w:ascii="宋体" w:hAnsi="宋体" w:eastAsia="宋体" w:cs="宋体"/>
                <w:color w:val="auto"/>
                <w:spacing w:val="0"/>
                <w:position w:val="0"/>
              </w:rPr>
            </w:pPr>
          </w:p>
          <w:p w14:paraId="2DEAE804">
            <w:pPr>
              <w:pageBreakBefore w:val="0"/>
              <w:widowControl w:val="0"/>
              <w:wordWrap/>
              <w:overflowPunct/>
              <w:topLinePunct w:val="0"/>
              <w:bidi w:val="0"/>
              <w:spacing w:before="78" w:line="221" w:lineRule="auto"/>
              <w:ind w:left="192"/>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称</w:t>
            </w:r>
          </w:p>
        </w:tc>
        <w:tc>
          <w:tcPr>
            <w:tcW w:w="6849" w:type="dxa"/>
            <w:noWrap w:val="0"/>
            <w:vAlign w:val="center"/>
          </w:tcPr>
          <w:p w14:paraId="626AAD4D">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2026年南昌市本级“洪漂人才荟”系列招聘活动采购项目</w:t>
            </w:r>
          </w:p>
        </w:tc>
      </w:tr>
      <w:tr w14:paraId="4286BD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3189" w:type="dxa"/>
            <w:gridSpan w:val="2"/>
            <w:noWrap w:val="0"/>
            <w:vAlign w:val="top"/>
          </w:tcPr>
          <w:p w14:paraId="7565025E">
            <w:pPr>
              <w:pageBreakBefore w:val="0"/>
              <w:widowControl w:val="0"/>
              <w:wordWrap/>
              <w:overflowPunct/>
              <w:topLinePunct w:val="0"/>
              <w:bidi w:val="0"/>
              <w:spacing w:before="253" w:line="219" w:lineRule="auto"/>
              <w:ind w:left="1188"/>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数量</w:t>
            </w:r>
          </w:p>
        </w:tc>
        <w:tc>
          <w:tcPr>
            <w:tcW w:w="6849" w:type="dxa"/>
            <w:noWrap w:val="0"/>
            <w:vAlign w:val="center"/>
          </w:tcPr>
          <w:p w14:paraId="2A2E8701">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一年</w:t>
            </w:r>
          </w:p>
        </w:tc>
      </w:tr>
      <w:tr w14:paraId="3C3820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3189" w:type="dxa"/>
            <w:gridSpan w:val="2"/>
            <w:noWrap w:val="0"/>
            <w:vAlign w:val="top"/>
          </w:tcPr>
          <w:p w14:paraId="39F0BECF">
            <w:pPr>
              <w:pageBreakBefore w:val="0"/>
              <w:widowControl w:val="0"/>
              <w:wordWrap/>
              <w:overflowPunct/>
              <w:topLinePunct w:val="0"/>
              <w:bidi w:val="0"/>
              <w:spacing w:before="253" w:line="219" w:lineRule="auto"/>
              <w:ind w:left="107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期</w:t>
            </w:r>
          </w:p>
        </w:tc>
        <w:tc>
          <w:tcPr>
            <w:tcW w:w="6849" w:type="dxa"/>
            <w:noWrap w:val="0"/>
            <w:vAlign w:val="center"/>
          </w:tcPr>
          <w:p w14:paraId="7275B517">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合</w:t>
            </w:r>
            <w:r>
              <w:rPr>
                <w:rFonts w:hint="eastAsia" w:ascii="宋体" w:hAnsi="宋体" w:eastAsia="宋体" w:cs="宋体"/>
                <w:color w:val="auto"/>
                <w:spacing w:val="0"/>
                <w:position w:val="0"/>
                <w:sz w:val="24"/>
                <w:szCs w:val="24"/>
                <w:highlight w:val="none"/>
                <w:lang w:val="en-US" w:eastAsia="zh-CN"/>
              </w:rPr>
              <w:t>同签订后至2026年12月31日。</w:t>
            </w:r>
          </w:p>
        </w:tc>
      </w:tr>
      <w:tr w14:paraId="2AB1CE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3189" w:type="dxa"/>
            <w:gridSpan w:val="2"/>
            <w:noWrap w:val="0"/>
            <w:vAlign w:val="top"/>
          </w:tcPr>
          <w:p w14:paraId="6210F515">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地点</w:t>
            </w:r>
          </w:p>
        </w:tc>
        <w:tc>
          <w:tcPr>
            <w:tcW w:w="6849" w:type="dxa"/>
            <w:noWrap w:val="0"/>
            <w:vAlign w:val="center"/>
          </w:tcPr>
          <w:p w14:paraId="052BE2B0">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highlight w:val="none"/>
                <w:lang w:val="en-US" w:eastAsia="zh-CN"/>
              </w:rPr>
              <w:t>采购人指定地点</w:t>
            </w:r>
          </w:p>
        </w:tc>
      </w:tr>
      <w:tr w14:paraId="7D3DF3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3189" w:type="dxa"/>
            <w:gridSpan w:val="2"/>
            <w:noWrap w:val="0"/>
            <w:vAlign w:val="top"/>
          </w:tcPr>
          <w:p w14:paraId="3402E829">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highlight w:val="none"/>
              </w:rPr>
              <w:t>备注</w:t>
            </w:r>
          </w:p>
        </w:tc>
        <w:tc>
          <w:tcPr>
            <w:tcW w:w="6849" w:type="dxa"/>
            <w:noWrap w:val="0"/>
            <w:vAlign w:val="center"/>
          </w:tcPr>
          <w:p w14:paraId="7B521772">
            <w:pPr>
              <w:pageBreakBefore w:val="0"/>
              <w:widowControl w:val="0"/>
              <w:wordWrap/>
              <w:overflowPunct/>
              <w:topLinePunct w:val="0"/>
              <w:bidi w:val="0"/>
              <w:spacing w:before="253" w:line="219" w:lineRule="auto"/>
              <w:ind w:left="0"/>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highlight w:val="none"/>
                <w:lang w:val="en-US" w:eastAsia="zh-CN"/>
              </w:rPr>
              <w:t>包含所有服务费用，合同价为含税价。</w:t>
            </w:r>
          </w:p>
        </w:tc>
      </w:tr>
    </w:tbl>
    <w:p w14:paraId="7F2E4FA1">
      <w:pPr>
        <w:pageBreakBefore w:val="0"/>
        <w:widowControl w:val="0"/>
        <w:wordWrap/>
        <w:overflowPunct/>
        <w:topLinePunct w:val="0"/>
        <w:bidi w:val="0"/>
        <w:rPr>
          <w:color w:val="auto"/>
          <w:spacing w:val="0"/>
          <w:position w:val="0"/>
        </w:rPr>
      </w:pPr>
    </w:p>
    <w:p w14:paraId="7626AF9F">
      <w:pPr>
        <w:pageBreakBefore w:val="0"/>
        <w:widowControl w:val="0"/>
        <w:wordWrap/>
        <w:overflowPunct/>
        <w:topLinePunct w:val="0"/>
        <w:bidi w:val="0"/>
        <w:rPr>
          <w:color w:val="auto"/>
          <w:spacing w:val="0"/>
          <w:position w:val="0"/>
        </w:rPr>
        <w:sectPr>
          <w:footerReference r:id="rId3" w:type="default"/>
          <w:pgSz w:w="11906" w:h="16839"/>
          <w:pgMar w:top="1134" w:right="1134" w:bottom="1134" w:left="1134" w:header="0" w:footer="994" w:gutter="0"/>
          <w:pgNumType w:fmt="decimal"/>
          <w:cols w:space="720" w:num="1"/>
        </w:sectPr>
      </w:pPr>
    </w:p>
    <w:p w14:paraId="5CF4478B">
      <w:pPr>
        <w:pageBreakBefore w:val="0"/>
        <w:widowControl w:val="0"/>
        <w:wordWrap/>
        <w:overflowPunct/>
        <w:topLinePunct w:val="0"/>
        <w:bidi w:val="0"/>
        <w:spacing w:before="47" w:line="219" w:lineRule="auto"/>
        <w:ind w:left="3805"/>
        <w:outlineLvl w:val="1"/>
        <w:rPr>
          <w:rFonts w:hint="default" w:ascii="宋体" w:hAnsi="宋体" w:eastAsia="宋体" w:cs="宋体"/>
          <w:color w:val="auto"/>
          <w:spacing w:val="0"/>
          <w:position w:val="0"/>
          <w:sz w:val="28"/>
          <w:szCs w:val="28"/>
          <w:lang w:val="en-US" w:eastAsia="zh-CN"/>
        </w:rPr>
      </w:pPr>
      <w:bookmarkStart w:id="4" w:name="_Toc5369"/>
      <w:bookmarkStart w:id="5" w:name="_Toc21603"/>
      <w:bookmarkStart w:id="19" w:name="_GoBack"/>
      <w:bookmarkEnd w:id="19"/>
      <w:r>
        <w:rPr>
          <w:rFonts w:ascii="宋体" w:hAnsi="宋体" w:eastAsia="宋体" w:cs="宋体"/>
          <w:color w:val="auto"/>
          <w:spacing w:val="0"/>
          <w:position w:val="0"/>
          <w:sz w:val="28"/>
          <w:szCs w:val="28"/>
        </w:rPr>
        <w:t>二、</w:t>
      </w:r>
      <w:r>
        <w:rPr>
          <w:rFonts w:hint="eastAsia" w:ascii="宋体" w:hAnsi="宋体" w:eastAsia="宋体" w:cs="宋体"/>
          <w:color w:val="auto"/>
          <w:spacing w:val="0"/>
          <w:position w:val="0"/>
          <w:sz w:val="28"/>
          <w:szCs w:val="28"/>
          <w:lang w:val="en-US" w:eastAsia="zh-CN"/>
        </w:rPr>
        <w:t>技术要求</w:t>
      </w:r>
      <w:bookmarkEnd w:id="4"/>
      <w:bookmarkEnd w:id="5"/>
    </w:p>
    <w:p w14:paraId="62520BB7">
      <w:pPr>
        <w:pageBreakBefore w:val="0"/>
        <w:widowControl w:val="0"/>
        <w:wordWrap/>
        <w:overflowPunct/>
        <w:topLinePunct w:val="0"/>
        <w:bidi w:val="0"/>
        <w:spacing w:line="258" w:lineRule="auto"/>
        <w:rPr>
          <w:color w:val="auto"/>
          <w:spacing w:val="0"/>
          <w:position w:val="0"/>
        </w:rPr>
      </w:pPr>
    </w:p>
    <w:p w14:paraId="19B41D35">
      <w:pPr>
        <w:pageBreakBefore w:val="0"/>
        <w:widowControl w:val="0"/>
        <w:wordWrap/>
        <w:overflowPunct/>
        <w:topLinePunct w:val="0"/>
        <w:bidi w:val="0"/>
        <w:spacing w:line="258" w:lineRule="auto"/>
        <w:rPr>
          <w:color w:val="auto"/>
          <w:spacing w:val="0"/>
          <w:position w:val="0"/>
        </w:rPr>
      </w:pPr>
    </w:p>
    <w:p w14:paraId="2E1FC838">
      <w:pPr>
        <w:keepNext w:val="0"/>
        <w:keepLines w:val="0"/>
        <w:pageBreakBefore w:val="0"/>
        <w:wordWrap/>
        <w:overflowPunct/>
        <w:topLinePunct w:val="0"/>
        <w:autoSpaceDE w:val="0"/>
        <w:autoSpaceDN w:val="0"/>
        <w:bidi w:val="0"/>
        <w:spacing w:line="460" w:lineRule="exact"/>
        <w:rPr>
          <w:rFonts w:hint="eastAsia" w:ascii="宋体" w:hAnsi="宋体" w:eastAsia="宋体" w:cs="宋体"/>
          <w:b/>
          <w:bCs/>
          <w:sz w:val="24"/>
          <w:szCs w:val="24"/>
          <w:lang w:val="en-US" w:eastAsia="zh-CN"/>
        </w:rPr>
      </w:pPr>
      <w:r>
        <w:rPr>
          <w:rFonts w:hint="eastAsia" w:ascii="宋体" w:hAnsi="宋体" w:eastAsia="宋体" w:cs="宋体"/>
          <w:b/>
          <w:bCs/>
          <w:color w:val="000000"/>
          <w:sz w:val="24"/>
          <w:szCs w:val="24"/>
          <w:lang w:val="en-US" w:eastAsia="zh-CN"/>
        </w:rPr>
        <w:t>一、“洪漂人才荟”招聘活动</w:t>
      </w:r>
    </w:p>
    <w:p w14:paraId="4277C2A3">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一</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rPr>
        <w:t>场次</w:t>
      </w:r>
      <w:r>
        <w:rPr>
          <w:rFonts w:hint="eastAsia" w:ascii="宋体" w:hAnsi="宋体" w:eastAsia="宋体" w:cs="宋体"/>
          <w:b w:val="0"/>
          <w:bCs w:val="0"/>
          <w:color w:val="auto"/>
          <w:sz w:val="24"/>
          <w:szCs w:val="24"/>
          <w:lang w:val="en-US" w:eastAsia="zh-CN"/>
        </w:rPr>
        <w:t>安排</w:t>
      </w:r>
    </w:p>
    <w:p w14:paraId="0197FC78">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活动数量及规模：</w:t>
      </w: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6</w:t>
      </w:r>
      <w:r>
        <w:rPr>
          <w:rFonts w:hint="eastAsia" w:ascii="宋体" w:hAnsi="宋体" w:eastAsia="宋体" w:cs="宋体"/>
          <w:color w:val="000000"/>
          <w:sz w:val="24"/>
          <w:szCs w:val="24"/>
          <w:highlight w:val="none"/>
        </w:rPr>
        <w:t>年，以青年群体为主，在采购人指定地点举办</w:t>
      </w:r>
      <w:r>
        <w:rPr>
          <w:rFonts w:hint="eastAsia" w:ascii="宋体" w:hAnsi="宋体" w:eastAsia="宋体" w:cs="宋体"/>
          <w:color w:val="000000"/>
          <w:sz w:val="24"/>
          <w:szCs w:val="24"/>
          <w:highlight w:val="none"/>
          <w:lang w:val="en-US" w:eastAsia="zh-CN"/>
        </w:rPr>
        <w:t>9</w:t>
      </w:r>
      <w:r>
        <w:rPr>
          <w:rFonts w:hint="eastAsia" w:ascii="宋体" w:hAnsi="宋体" w:eastAsia="宋体" w:cs="宋体"/>
          <w:color w:val="000000"/>
          <w:sz w:val="24"/>
          <w:szCs w:val="24"/>
          <w:highlight w:val="none"/>
        </w:rPr>
        <w:t>场线下专场招聘活动，并根据</w:t>
      </w:r>
      <w:r>
        <w:rPr>
          <w:rFonts w:hint="eastAsia" w:ascii="宋体" w:hAnsi="宋体" w:eastAsia="宋体" w:cs="宋体"/>
          <w:color w:val="000000"/>
          <w:sz w:val="24"/>
          <w:szCs w:val="24"/>
          <w:highlight w:val="none"/>
          <w:lang w:eastAsia="zh-CN"/>
        </w:rPr>
        <w:t>采购人</w:t>
      </w:r>
      <w:r>
        <w:rPr>
          <w:rFonts w:hint="eastAsia" w:ascii="宋体" w:hAnsi="宋体" w:eastAsia="宋体" w:cs="宋体"/>
          <w:color w:val="000000"/>
          <w:sz w:val="24"/>
          <w:szCs w:val="24"/>
          <w:highlight w:val="none"/>
        </w:rPr>
        <w:t>要求在专业招聘服务网站提供线上服务。</w:t>
      </w:r>
    </w:p>
    <w:tbl>
      <w:tblPr>
        <w:tblStyle w:val="5"/>
        <w:tblW w:w="9578" w:type="dxa"/>
        <w:tblInd w:w="93" w:type="dxa"/>
        <w:tblLayout w:type="autofit"/>
        <w:tblCellMar>
          <w:top w:w="0" w:type="dxa"/>
          <w:left w:w="108" w:type="dxa"/>
          <w:bottom w:w="0" w:type="dxa"/>
          <w:right w:w="108" w:type="dxa"/>
        </w:tblCellMar>
      </w:tblPr>
      <w:tblGrid>
        <w:gridCol w:w="1299"/>
        <w:gridCol w:w="1785"/>
        <w:gridCol w:w="1299"/>
        <w:gridCol w:w="1299"/>
        <w:gridCol w:w="1299"/>
        <w:gridCol w:w="770"/>
        <w:gridCol w:w="1827"/>
      </w:tblGrid>
      <w:tr w14:paraId="629F1FA6">
        <w:tblPrEx>
          <w:tblCellMar>
            <w:top w:w="0" w:type="dxa"/>
            <w:left w:w="108" w:type="dxa"/>
            <w:bottom w:w="0" w:type="dxa"/>
            <w:right w:w="108" w:type="dxa"/>
          </w:tblCellMar>
        </w:tblPrEx>
        <w:trPr>
          <w:trHeight w:val="938" w:hRule="atLeast"/>
        </w:trPr>
        <w:tc>
          <w:tcPr>
            <w:tcW w:w="1299" w:type="dxa"/>
            <w:tcBorders>
              <w:top w:val="single" w:color="000000" w:sz="8" w:space="0"/>
              <w:left w:val="single" w:color="000000" w:sz="8" w:space="0"/>
              <w:bottom w:val="single" w:color="000000" w:sz="8" w:space="0"/>
              <w:right w:val="single" w:color="000000" w:sz="8" w:space="0"/>
            </w:tcBorders>
            <w:noWrap w:val="0"/>
            <w:vAlign w:val="center"/>
          </w:tcPr>
          <w:p w14:paraId="7D8BD697">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lang w:eastAsia="zh-CN"/>
              </w:rPr>
            </w:pPr>
            <w:r>
              <w:rPr>
                <w:rStyle w:val="9"/>
                <w:rFonts w:hint="eastAsia" w:ascii="宋体" w:hAnsi="宋体" w:eastAsia="宋体" w:cs="宋体"/>
                <w:b/>
                <w:bCs/>
                <w:color w:val="000000"/>
                <w:sz w:val="24"/>
                <w:szCs w:val="24"/>
                <w:highlight w:val="none"/>
                <w:lang w:val="en-US" w:eastAsia="zh-CN" w:bidi="ar"/>
              </w:rPr>
              <w:t>项目</w:t>
            </w:r>
          </w:p>
        </w:tc>
        <w:tc>
          <w:tcPr>
            <w:tcW w:w="1785" w:type="dxa"/>
            <w:tcBorders>
              <w:top w:val="single" w:color="000000" w:sz="8" w:space="0"/>
              <w:left w:val="nil"/>
              <w:bottom w:val="single" w:color="000000" w:sz="8" w:space="0"/>
              <w:right w:val="single" w:color="000000" w:sz="8" w:space="0"/>
            </w:tcBorders>
            <w:noWrap w:val="0"/>
            <w:vAlign w:val="center"/>
          </w:tcPr>
          <w:p w14:paraId="61CD5280">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rPr>
              <w:t>活动</w:t>
            </w:r>
            <w:r>
              <w:rPr>
                <w:rFonts w:hint="eastAsia" w:ascii="宋体" w:hAnsi="宋体" w:eastAsia="宋体" w:cs="宋体"/>
                <w:b/>
                <w:bCs/>
                <w:color w:val="000000"/>
                <w:sz w:val="24"/>
                <w:szCs w:val="24"/>
                <w:lang w:val="en-US" w:eastAsia="zh-CN"/>
              </w:rPr>
              <w:t>主题</w:t>
            </w:r>
          </w:p>
        </w:tc>
        <w:tc>
          <w:tcPr>
            <w:tcW w:w="1299" w:type="dxa"/>
            <w:tcBorders>
              <w:top w:val="single" w:color="000000" w:sz="8" w:space="0"/>
              <w:left w:val="nil"/>
              <w:bottom w:val="single" w:color="000000" w:sz="8" w:space="0"/>
              <w:right w:val="single" w:color="000000" w:sz="8" w:space="0"/>
            </w:tcBorders>
            <w:noWrap w:val="0"/>
            <w:vAlign w:val="center"/>
          </w:tcPr>
          <w:p w14:paraId="40145420">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Style w:val="9"/>
                <w:rFonts w:hint="eastAsia" w:ascii="宋体" w:hAnsi="宋体" w:eastAsia="宋体" w:cs="宋体"/>
                <w:b/>
                <w:bCs/>
                <w:color w:val="000000"/>
                <w:sz w:val="24"/>
                <w:szCs w:val="24"/>
                <w:highlight w:val="none"/>
                <w:lang w:bidi="ar"/>
              </w:rPr>
              <w:t>活动时间</w:t>
            </w:r>
          </w:p>
        </w:tc>
        <w:tc>
          <w:tcPr>
            <w:tcW w:w="1299" w:type="dxa"/>
            <w:tcBorders>
              <w:top w:val="single" w:color="000000" w:sz="8" w:space="0"/>
              <w:left w:val="nil"/>
              <w:bottom w:val="single" w:color="000000" w:sz="8" w:space="0"/>
              <w:right w:val="single" w:color="000000" w:sz="8" w:space="0"/>
            </w:tcBorders>
            <w:noWrap w:val="0"/>
            <w:vAlign w:val="center"/>
          </w:tcPr>
          <w:p w14:paraId="46D783CF">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Style w:val="10"/>
                <w:rFonts w:hint="eastAsia" w:ascii="宋体" w:hAnsi="宋体" w:eastAsia="宋体" w:cs="宋体"/>
                <w:b/>
                <w:bCs/>
                <w:color w:val="000000"/>
                <w:sz w:val="24"/>
                <w:szCs w:val="24"/>
                <w:highlight w:val="none"/>
                <w:lang w:bidi="ar"/>
              </w:rPr>
              <w:t>单场规模</w:t>
            </w:r>
          </w:p>
        </w:tc>
        <w:tc>
          <w:tcPr>
            <w:tcW w:w="1299" w:type="dxa"/>
            <w:tcBorders>
              <w:top w:val="single" w:color="000000" w:sz="8" w:space="0"/>
              <w:left w:val="nil"/>
              <w:bottom w:val="single" w:color="000000" w:sz="8" w:space="0"/>
              <w:right w:val="single" w:color="000000" w:sz="8" w:space="0"/>
            </w:tcBorders>
            <w:noWrap w:val="0"/>
            <w:vAlign w:val="center"/>
          </w:tcPr>
          <w:p w14:paraId="35E986B4">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Style w:val="10"/>
                <w:rFonts w:hint="eastAsia" w:ascii="宋体" w:hAnsi="宋体" w:eastAsia="宋体" w:cs="宋体"/>
                <w:b/>
                <w:bCs/>
                <w:color w:val="000000"/>
                <w:sz w:val="24"/>
                <w:szCs w:val="24"/>
                <w:highlight w:val="none"/>
                <w:lang w:bidi="ar"/>
              </w:rPr>
              <w:t>单场岗招聘人数</w:t>
            </w:r>
          </w:p>
        </w:tc>
        <w:tc>
          <w:tcPr>
            <w:tcW w:w="770" w:type="dxa"/>
            <w:tcBorders>
              <w:top w:val="single" w:color="000000" w:sz="8" w:space="0"/>
              <w:left w:val="nil"/>
              <w:bottom w:val="single" w:color="000000" w:sz="8" w:space="0"/>
              <w:right w:val="single" w:color="000000" w:sz="8" w:space="0"/>
            </w:tcBorders>
            <w:noWrap w:val="0"/>
            <w:vAlign w:val="center"/>
          </w:tcPr>
          <w:p w14:paraId="466FC3C5">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Style w:val="9"/>
                <w:rFonts w:hint="eastAsia" w:ascii="宋体" w:hAnsi="宋体" w:eastAsia="宋体" w:cs="宋体"/>
                <w:b/>
                <w:bCs/>
                <w:color w:val="000000"/>
                <w:sz w:val="24"/>
                <w:szCs w:val="24"/>
                <w:highlight w:val="none"/>
                <w:lang w:bidi="ar"/>
              </w:rPr>
              <w:t>场次</w:t>
            </w:r>
          </w:p>
        </w:tc>
        <w:tc>
          <w:tcPr>
            <w:tcW w:w="1827" w:type="dxa"/>
            <w:tcBorders>
              <w:top w:val="single" w:color="000000" w:sz="8" w:space="0"/>
              <w:left w:val="nil"/>
              <w:bottom w:val="single" w:color="000000" w:sz="8" w:space="0"/>
              <w:right w:val="single" w:color="000000" w:sz="8" w:space="0"/>
            </w:tcBorders>
            <w:noWrap w:val="0"/>
            <w:vAlign w:val="center"/>
          </w:tcPr>
          <w:p w14:paraId="1A76A222">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Style w:val="10"/>
                <w:rFonts w:hint="eastAsia" w:ascii="宋体" w:hAnsi="宋体" w:eastAsia="宋体" w:cs="宋体"/>
                <w:b/>
                <w:bCs/>
                <w:color w:val="000000"/>
                <w:sz w:val="24"/>
                <w:szCs w:val="24"/>
                <w:highlight w:val="none"/>
                <w:lang w:bidi="ar"/>
              </w:rPr>
              <w:t>办会地点</w:t>
            </w:r>
          </w:p>
        </w:tc>
      </w:tr>
      <w:tr w14:paraId="3543AC46">
        <w:tblPrEx>
          <w:tblCellMar>
            <w:top w:w="0" w:type="dxa"/>
            <w:left w:w="108" w:type="dxa"/>
            <w:bottom w:w="0" w:type="dxa"/>
            <w:right w:w="108" w:type="dxa"/>
          </w:tblCellMar>
        </w:tblPrEx>
        <w:trPr>
          <w:trHeight w:val="938" w:hRule="atLeast"/>
        </w:trPr>
        <w:tc>
          <w:tcPr>
            <w:tcW w:w="1299" w:type="dxa"/>
            <w:vMerge w:val="restart"/>
            <w:tcBorders>
              <w:top w:val="single" w:color="000000" w:sz="8" w:space="0"/>
              <w:left w:val="single" w:color="000000" w:sz="8" w:space="0"/>
              <w:bottom w:val="single" w:color="000000" w:sz="8" w:space="0"/>
              <w:right w:val="single" w:color="000000" w:sz="8" w:space="0"/>
            </w:tcBorders>
            <w:noWrap w:val="0"/>
            <w:vAlign w:val="center"/>
          </w:tcPr>
          <w:p w14:paraId="357FDC9A">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b/>
                <w:bCs/>
                <w:color w:val="000000"/>
                <w:sz w:val="24"/>
                <w:szCs w:val="24"/>
                <w:highlight w:val="none"/>
              </w:rPr>
            </w:pPr>
            <w:r>
              <w:rPr>
                <w:rStyle w:val="9"/>
                <w:rFonts w:hint="eastAsia" w:ascii="宋体" w:hAnsi="宋体" w:eastAsia="宋体" w:cs="宋体"/>
                <w:b/>
                <w:bCs/>
                <w:color w:val="000000"/>
                <w:sz w:val="24"/>
                <w:szCs w:val="24"/>
                <w:highlight w:val="none"/>
                <w:lang w:bidi="ar"/>
              </w:rPr>
              <w:t>202</w:t>
            </w:r>
            <w:r>
              <w:rPr>
                <w:rStyle w:val="9"/>
                <w:rFonts w:hint="eastAsia" w:ascii="宋体" w:hAnsi="宋体" w:eastAsia="宋体" w:cs="宋体"/>
                <w:b/>
                <w:bCs/>
                <w:color w:val="000000"/>
                <w:sz w:val="24"/>
                <w:szCs w:val="24"/>
                <w:highlight w:val="none"/>
                <w:lang w:val="en-US" w:eastAsia="zh-CN" w:bidi="ar"/>
              </w:rPr>
              <w:t>6</w:t>
            </w:r>
            <w:r>
              <w:rPr>
                <w:rStyle w:val="9"/>
                <w:rFonts w:hint="eastAsia" w:ascii="宋体" w:hAnsi="宋体" w:eastAsia="宋体" w:cs="宋体"/>
                <w:b/>
                <w:bCs/>
                <w:color w:val="000000"/>
                <w:sz w:val="24"/>
                <w:szCs w:val="24"/>
                <w:highlight w:val="none"/>
                <w:lang w:bidi="ar"/>
              </w:rPr>
              <w:t>年“洪漂人才荟”系列招聘活动</w:t>
            </w:r>
          </w:p>
        </w:tc>
        <w:tc>
          <w:tcPr>
            <w:tcW w:w="1785" w:type="dxa"/>
            <w:tcBorders>
              <w:top w:val="single" w:color="000000" w:sz="8" w:space="0"/>
              <w:left w:val="nil"/>
              <w:bottom w:val="single" w:color="000000" w:sz="8" w:space="0"/>
              <w:right w:val="single" w:color="000000" w:sz="8" w:space="0"/>
            </w:tcBorders>
            <w:noWrap w:val="0"/>
            <w:vAlign w:val="center"/>
          </w:tcPr>
          <w:p w14:paraId="179BEA20">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芳春游园系列招聘会</w:t>
            </w:r>
          </w:p>
        </w:tc>
        <w:tc>
          <w:tcPr>
            <w:tcW w:w="1299" w:type="dxa"/>
            <w:tcBorders>
              <w:top w:val="single" w:color="000000" w:sz="8" w:space="0"/>
              <w:left w:val="nil"/>
              <w:bottom w:val="single" w:color="000000" w:sz="8" w:space="0"/>
              <w:right w:val="single" w:color="000000" w:sz="8" w:space="0"/>
            </w:tcBorders>
            <w:noWrap w:val="0"/>
            <w:vAlign w:val="center"/>
          </w:tcPr>
          <w:p w14:paraId="792D9A61">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6月</w:t>
            </w:r>
          </w:p>
        </w:tc>
        <w:tc>
          <w:tcPr>
            <w:tcW w:w="1299" w:type="dxa"/>
            <w:tcBorders>
              <w:top w:val="single" w:color="000000" w:sz="8" w:space="0"/>
              <w:left w:val="nil"/>
              <w:bottom w:val="single" w:color="000000" w:sz="8" w:space="0"/>
              <w:right w:val="single" w:color="000000" w:sz="8" w:space="0"/>
            </w:tcBorders>
            <w:noWrap w:val="0"/>
            <w:vAlign w:val="center"/>
          </w:tcPr>
          <w:p w14:paraId="265ED6C7">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≥30家企业</w:t>
            </w:r>
          </w:p>
        </w:tc>
        <w:tc>
          <w:tcPr>
            <w:tcW w:w="1299" w:type="dxa"/>
            <w:tcBorders>
              <w:top w:val="single" w:color="000000" w:sz="8" w:space="0"/>
              <w:left w:val="nil"/>
              <w:bottom w:val="single" w:color="000000" w:sz="8" w:space="0"/>
              <w:right w:val="single" w:color="000000" w:sz="8" w:space="0"/>
            </w:tcBorders>
            <w:noWrap w:val="0"/>
            <w:vAlign w:val="center"/>
          </w:tcPr>
          <w:p w14:paraId="17F1FC03">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kern w:val="0"/>
                <w:sz w:val="24"/>
                <w:szCs w:val="24"/>
                <w:highlight w:val="none"/>
                <w:lang w:bidi="ar"/>
              </w:rPr>
              <w:t>≥500</w:t>
            </w:r>
            <w:r>
              <w:rPr>
                <w:rFonts w:hint="eastAsia" w:ascii="宋体" w:hAnsi="宋体" w:eastAsia="宋体" w:cs="宋体"/>
                <w:color w:val="000000"/>
                <w:kern w:val="0"/>
                <w:sz w:val="24"/>
                <w:szCs w:val="24"/>
                <w:highlight w:val="none"/>
                <w:lang w:val="en-US" w:eastAsia="zh-CN" w:bidi="ar"/>
              </w:rPr>
              <w:t>个</w:t>
            </w:r>
          </w:p>
        </w:tc>
        <w:tc>
          <w:tcPr>
            <w:tcW w:w="770" w:type="dxa"/>
            <w:tcBorders>
              <w:top w:val="single" w:color="000000" w:sz="8" w:space="0"/>
              <w:left w:val="nil"/>
              <w:bottom w:val="single" w:color="000000" w:sz="8" w:space="0"/>
              <w:right w:val="single" w:color="000000" w:sz="8" w:space="0"/>
            </w:tcBorders>
            <w:noWrap w:val="0"/>
            <w:vAlign w:val="center"/>
          </w:tcPr>
          <w:p w14:paraId="4DBE3610">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lang w:eastAsia="zh-CN"/>
              </w:rPr>
            </w:pPr>
            <w:r>
              <w:rPr>
                <w:rFonts w:hint="eastAsia" w:ascii="宋体" w:hAnsi="宋体" w:eastAsia="宋体" w:cs="宋体"/>
                <w:color w:val="000000"/>
                <w:kern w:val="0"/>
                <w:sz w:val="24"/>
                <w:szCs w:val="24"/>
                <w:highlight w:val="none"/>
                <w:lang w:val="en-US" w:eastAsia="zh-CN" w:bidi="ar"/>
              </w:rPr>
              <w:t>1</w:t>
            </w:r>
          </w:p>
        </w:tc>
        <w:tc>
          <w:tcPr>
            <w:tcW w:w="1827" w:type="dxa"/>
            <w:vMerge w:val="restart"/>
            <w:tcBorders>
              <w:top w:val="single" w:color="000000" w:sz="8" w:space="0"/>
              <w:left w:val="nil"/>
              <w:right w:val="single" w:color="000000" w:sz="8" w:space="0"/>
            </w:tcBorders>
            <w:noWrap w:val="0"/>
            <w:vAlign w:val="center"/>
          </w:tcPr>
          <w:p w14:paraId="6551D774">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val="en-US" w:eastAsia="zh-CN" w:bidi="ar"/>
              </w:rPr>
              <w:t>南昌西站、摩天轮广场、梦时代广场、艾溪湖嘻街、绿地双子塔等</w:t>
            </w:r>
            <w:r>
              <w:rPr>
                <w:rFonts w:hint="eastAsia" w:ascii="宋体" w:hAnsi="宋体" w:eastAsia="宋体" w:cs="宋体"/>
                <w:color w:val="000000"/>
                <w:kern w:val="0"/>
                <w:sz w:val="24"/>
                <w:szCs w:val="24"/>
                <w:highlight w:val="none"/>
                <w:lang w:bidi="ar"/>
              </w:rPr>
              <w:t>采购人指定办会场地</w:t>
            </w:r>
            <w:r>
              <w:rPr>
                <w:rFonts w:hint="eastAsia" w:ascii="宋体" w:hAnsi="宋体" w:eastAsia="宋体" w:cs="宋体"/>
                <w:color w:val="000000"/>
                <w:kern w:val="0"/>
                <w:sz w:val="24"/>
                <w:szCs w:val="24"/>
                <w:highlight w:val="none"/>
                <w:lang w:eastAsia="zh-CN" w:bidi="ar"/>
              </w:rPr>
              <w:t>。</w:t>
            </w:r>
            <w:r>
              <w:rPr>
                <w:rFonts w:hint="eastAsia" w:ascii="宋体" w:hAnsi="宋体" w:eastAsia="宋体" w:cs="宋体"/>
                <w:color w:val="000000"/>
                <w:sz w:val="24"/>
                <w:szCs w:val="24"/>
                <w:lang w:val="en-US" w:eastAsia="zh-CN"/>
              </w:rPr>
              <w:t>（活动产生的场地费、水电、物业费、租赁费等均由中标人承担）</w:t>
            </w:r>
          </w:p>
        </w:tc>
      </w:tr>
      <w:tr w14:paraId="54A5F717">
        <w:tblPrEx>
          <w:tblCellMar>
            <w:top w:w="0" w:type="dxa"/>
            <w:left w:w="108" w:type="dxa"/>
            <w:bottom w:w="0" w:type="dxa"/>
            <w:right w:w="108" w:type="dxa"/>
          </w:tblCellMar>
        </w:tblPrEx>
        <w:trPr>
          <w:trHeight w:val="938" w:hRule="atLeast"/>
        </w:trPr>
        <w:tc>
          <w:tcPr>
            <w:tcW w:w="1299" w:type="dxa"/>
            <w:vMerge w:val="continue"/>
            <w:tcBorders>
              <w:top w:val="single" w:color="000000" w:sz="8" w:space="0"/>
              <w:left w:val="single" w:color="000000" w:sz="8" w:space="0"/>
              <w:bottom w:val="single" w:color="000000" w:sz="8" w:space="0"/>
              <w:right w:val="single" w:color="000000" w:sz="8" w:space="0"/>
            </w:tcBorders>
            <w:noWrap w:val="0"/>
            <w:vAlign w:val="center"/>
          </w:tcPr>
          <w:p w14:paraId="3010905C">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b/>
                <w:bCs/>
                <w:color w:val="000000"/>
                <w:sz w:val="24"/>
                <w:szCs w:val="24"/>
                <w:highlight w:val="none"/>
              </w:rPr>
            </w:pPr>
          </w:p>
        </w:tc>
        <w:tc>
          <w:tcPr>
            <w:tcW w:w="1785" w:type="dxa"/>
            <w:tcBorders>
              <w:top w:val="single" w:color="000000" w:sz="8" w:space="0"/>
              <w:left w:val="nil"/>
              <w:bottom w:val="single" w:color="000000" w:sz="8" w:space="0"/>
              <w:right w:val="single" w:color="000000" w:sz="8" w:space="0"/>
            </w:tcBorders>
            <w:noWrap w:val="0"/>
            <w:vAlign w:val="center"/>
          </w:tcPr>
          <w:p w14:paraId="29736439">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夏季夜市系列招聘会</w:t>
            </w:r>
          </w:p>
        </w:tc>
        <w:tc>
          <w:tcPr>
            <w:tcW w:w="1299" w:type="dxa"/>
            <w:tcBorders>
              <w:top w:val="single" w:color="000000" w:sz="8" w:space="0"/>
              <w:left w:val="nil"/>
              <w:bottom w:val="single" w:color="000000" w:sz="8" w:space="0"/>
              <w:right w:val="single" w:color="000000" w:sz="8" w:space="0"/>
            </w:tcBorders>
            <w:noWrap w:val="0"/>
            <w:vAlign w:val="center"/>
          </w:tcPr>
          <w:p w14:paraId="13F79B6B">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7-</w:t>
            </w:r>
            <w:r>
              <w:rPr>
                <w:rFonts w:hint="eastAsia" w:ascii="宋体" w:hAnsi="宋体" w:eastAsia="宋体" w:cs="宋体"/>
                <w:color w:val="000000"/>
                <w:kern w:val="0"/>
                <w:sz w:val="24"/>
                <w:szCs w:val="24"/>
                <w:highlight w:val="none"/>
                <w:lang w:val="en-US" w:eastAsia="zh-CN" w:bidi="ar"/>
              </w:rPr>
              <w:t>9</w:t>
            </w:r>
            <w:r>
              <w:rPr>
                <w:rFonts w:hint="eastAsia" w:ascii="宋体" w:hAnsi="宋体" w:eastAsia="宋体" w:cs="宋体"/>
                <w:color w:val="000000"/>
                <w:kern w:val="0"/>
                <w:sz w:val="24"/>
                <w:szCs w:val="24"/>
                <w:highlight w:val="none"/>
                <w:lang w:bidi="ar"/>
              </w:rPr>
              <w:t>月</w:t>
            </w:r>
          </w:p>
        </w:tc>
        <w:tc>
          <w:tcPr>
            <w:tcW w:w="1299" w:type="dxa"/>
            <w:tcBorders>
              <w:top w:val="single" w:color="000000" w:sz="8" w:space="0"/>
              <w:left w:val="nil"/>
              <w:bottom w:val="single" w:color="000000" w:sz="8" w:space="0"/>
              <w:right w:val="single" w:color="000000" w:sz="8" w:space="0"/>
            </w:tcBorders>
            <w:noWrap w:val="0"/>
            <w:vAlign w:val="center"/>
          </w:tcPr>
          <w:p w14:paraId="3B6F8B2F">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≥30家企业</w:t>
            </w:r>
          </w:p>
        </w:tc>
        <w:tc>
          <w:tcPr>
            <w:tcW w:w="1299" w:type="dxa"/>
            <w:tcBorders>
              <w:top w:val="single" w:color="000000" w:sz="8" w:space="0"/>
              <w:left w:val="nil"/>
              <w:bottom w:val="single" w:color="000000" w:sz="8" w:space="0"/>
              <w:right w:val="single" w:color="000000" w:sz="8" w:space="0"/>
            </w:tcBorders>
            <w:noWrap w:val="0"/>
            <w:vAlign w:val="center"/>
          </w:tcPr>
          <w:p w14:paraId="598CF6AA">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≥500</w:t>
            </w:r>
            <w:r>
              <w:rPr>
                <w:rFonts w:hint="eastAsia" w:ascii="宋体" w:hAnsi="宋体" w:eastAsia="宋体" w:cs="宋体"/>
                <w:color w:val="000000"/>
                <w:kern w:val="0"/>
                <w:sz w:val="24"/>
                <w:szCs w:val="24"/>
                <w:highlight w:val="none"/>
                <w:lang w:val="en-US" w:eastAsia="zh-CN" w:bidi="ar"/>
              </w:rPr>
              <w:t>个</w:t>
            </w:r>
          </w:p>
        </w:tc>
        <w:tc>
          <w:tcPr>
            <w:tcW w:w="770" w:type="dxa"/>
            <w:tcBorders>
              <w:top w:val="single" w:color="000000" w:sz="8" w:space="0"/>
              <w:left w:val="nil"/>
              <w:bottom w:val="single" w:color="000000" w:sz="8" w:space="0"/>
              <w:right w:val="single" w:color="000000" w:sz="8" w:space="0"/>
            </w:tcBorders>
            <w:noWrap w:val="0"/>
            <w:vAlign w:val="center"/>
          </w:tcPr>
          <w:p w14:paraId="11D39ABE">
            <w:pPr>
              <w:keepNext w:val="0"/>
              <w:keepLines w:val="0"/>
              <w:pageBreakBefore w:val="0"/>
              <w:widowControl/>
              <w:wordWrap/>
              <w:overflowPunct/>
              <w:topLinePunct w:val="0"/>
              <w:autoSpaceDE w:val="0"/>
              <w:autoSpaceDN w:val="0"/>
              <w:bidi w:val="0"/>
              <w:spacing w:line="460" w:lineRule="exact"/>
              <w:jc w:val="center"/>
              <w:textAlignment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4</w:t>
            </w:r>
          </w:p>
        </w:tc>
        <w:tc>
          <w:tcPr>
            <w:tcW w:w="1827" w:type="dxa"/>
            <w:vMerge w:val="continue"/>
            <w:tcBorders>
              <w:left w:val="nil"/>
              <w:right w:val="single" w:color="000000" w:sz="8" w:space="0"/>
            </w:tcBorders>
            <w:noWrap w:val="0"/>
            <w:vAlign w:val="center"/>
          </w:tcPr>
          <w:p w14:paraId="35AB1144">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p>
        </w:tc>
      </w:tr>
      <w:tr w14:paraId="160B88C6">
        <w:tblPrEx>
          <w:tblCellMar>
            <w:top w:w="0" w:type="dxa"/>
            <w:left w:w="108" w:type="dxa"/>
            <w:bottom w:w="0" w:type="dxa"/>
            <w:right w:w="108" w:type="dxa"/>
          </w:tblCellMar>
        </w:tblPrEx>
        <w:trPr>
          <w:trHeight w:val="938" w:hRule="atLeast"/>
        </w:trPr>
        <w:tc>
          <w:tcPr>
            <w:tcW w:w="1299" w:type="dxa"/>
            <w:vMerge w:val="continue"/>
            <w:tcBorders>
              <w:top w:val="single" w:color="000000" w:sz="8" w:space="0"/>
              <w:left w:val="single" w:color="000000" w:sz="8" w:space="0"/>
              <w:bottom w:val="single" w:color="000000" w:sz="8" w:space="0"/>
              <w:right w:val="single" w:color="000000" w:sz="8" w:space="0"/>
            </w:tcBorders>
            <w:noWrap w:val="0"/>
            <w:vAlign w:val="center"/>
          </w:tcPr>
          <w:p w14:paraId="21760BD3">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b/>
                <w:bCs/>
                <w:color w:val="000000"/>
                <w:sz w:val="24"/>
                <w:szCs w:val="24"/>
                <w:highlight w:val="none"/>
              </w:rPr>
            </w:pPr>
          </w:p>
        </w:tc>
        <w:tc>
          <w:tcPr>
            <w:tcW w:w="1785" w:type="dxa"/>
            <w:tcBorders>
              <w:top w:val="single" w:color="000000" w:sz="8" w:space="0"/>
              <w:left w:val="nil"/>
              <w:bottom w:val="single" w:color="000000" w:sz="8" w:space="0"/>
              <w:right w:val="single" w:color="000000" w:sz="8" w:space="0"/>
            </w:tcBorders>
            <w:noWrap w:val="0"/>
            <w:vAlign w:val="center"/>
          </w:tcPr>
          <w:p w14:paraId="507CD9B7">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金秋文旅系列招聘会</w:t>
            </w:r>
          </w:p>
        </w:tc>
        <w:tc>
          <w:tcPr>
            <w:tcW w:w="1299" w:type="dxa"/>
            <w:tcBorders>
              <w:top w:val="single" w:color="000000" w:sz="8" w:space="0"/>
              <w:left w:val="nil"/>
              <w:bottom w:val="single" w:color="000000" w:sz="8" w:space="0"/>
              <w:right w:val="single" w:color="000000" w:sz="8" w:space="0"/>
            </w:tcBorders>
            <w:noWrap w:val="0"/>
            <w:vAlign w:val="center"/>
          </w:tcPr>
          <w:p w14:paraId="17E96259">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val="en-US" w:eastAsia="zh-CN" w:bidi="ar"/>
              </w:rPr>
              <w:t>10-</w:t>
            </w:r>
            <w:r>
              <w:rPr>
                <w:rFonts w:hint="eastAsia" w:ascii="宋体" w:hAnsi="宋体" w:eastAsia="宋体" w:cs="宋体"/>
                <w:color w:val="000000"/>
                <w:kern w:val="0"/>
                <w:sz w:val="24"/>
                <w:szCs w:val="24"/>
                <w:highlight w:val="none"/>
                <w:lang w:bidi="ar"/>
              </w:rPr>
              <w:t>11月</w:t>
            </w:r>
          </w:p>
        </w:tc>
        <w:tc>
          <w:tcPr>
            <w:tcW w:w="1299" w:type="dxa"/>
            <w:tcBorders>
              <w:top w:val="single" w:color="000000" w:sz="8" w:space="0"/>
              <w:left w:val="nil"/>
              <w:bottom w:val="single" w:color="000000" w:sz="8" w:space="0"/>
              <w:right w:val="single" w:color="000000" w:sz="8" w:space="0"/>
            </w:tcBorders>
            <w:noWrap w:val="0"/>
            <w:vAlign w:val="center"/>
          </w:tcPr>
          <w:p w14:paraId="1564C220">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≥30家企业</w:t>
            </w:r>
          </w:p>
        </w:tc>
        <w:tc>
          <w:tcPr>
            <w:tcW w:w="1299" w:type="dxa"/>
            <w:tcBorders>
              <w:top w:val="single" w:color="000000" w:sz="8" w:space="0"/>
              <w:left w:val="nil"/>
              <w:bottom w:val="single" w:color="000000" w:sz="8" w:space="0"/>
              <w:right w:val="single" w:color="000000" w:sz="8" w:space="0"/>
            </w:tcBorders>
            <w:noWrap w:val="0"/>
            <w:vAlign w:val="center"/>
          </w:tcPr>
          <w:p w14:paraId="17D498D7">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≥500</w:t>
            </w:r>
            <w:r>
              <w:rPr>
                <w:rFonts w:hint="eastAsia" w:ascii="宋体" w:hAnsi="宋体" w:eastAsia="宋体" w:cs="宋体"/>
                <w:color w:val="000000"/>
                <w:kern w:val="0"/>
                <w:sz w:val="24"/>
                <w:szCs w:val="24"/>
                <w:highlight w:val="none"/>
                <w:lang w:val="en-US" w:eastAsia="zh-CN" w:bidi="ar"/>
              </w:rPr>
              <w:t>个</w:t>
            </w:r>
          </w:p>
        </w:tc>
        <w:tc>
          <w:tcPr>
            <w:tcW w:w="770" w:type="dxa"/>
            <w:tcBorders>
              <w:top w:val="single" w:color="000000" w:sz="8" w:space="0"/>
              <w:left w:val="nil"/>
              <w:bottom w:val="single" w:color="000000" w:sz="8" w:space="0"/>
              <w:right w:val="single" w:color="000000" w:sz="8" w:space="0"/>
            </w:tcBorders>
            <w:noWrap w:val="0"/>
            <w:vAlign w:val="center"/>
          </w:tcPr>
          <w:p w14:paraId="412973CC">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lang w:eastAsia="zh-CN"/>
              </w:rPr>
            </w:pPr>
            <w:r>
              <w:rPr>
                <w:rFonts w:hint="eastAsia" w:ascii="宋体" w:hAnsi="宋体" w:eastAsia="宋体" w:cs="宋体"/>
                <w:color w:val="000000"/>
                <w:kern w:val="0"/>
                <w:sz w:val="24"/>
                <w:szCs w:val="24"/>
                <w:highlight w:val="none"/>
                <w:lang w:val="en-US" w:eastAsia="zh-CN" w:bidi="ar"/>
              </w:rPr>
              <w:t>2</w:t>
            </w:r>
          </w:p>
        </w:tc>
        <w:tc>
          <w:tcPr>
            <w:tcW w:w="1827" w:type="dxa"/>
            <w:vMerge w:val="continue"/>
            <w:tcBorders>
              <w:left w:val="nil"/>
              <w:right w:val="single" w:color="000000" w:sz="8" w:space="0"/>
            </w:tcBorders>
            <w:noWrap w:val="0"/>
            <w:vAlign w:val="center"/>
          </w:tcPr>
          <w:p w14:paraId="66C40D5A">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p>
        </w:tc>
      </w:tr>
      <w:tr w14:paraId="039F5F31">
        <w:tblPrEx>
          <w:tblCellMar>
            <w:top w:w="0" w:type="dxa"/>
            <w:left w:w="108" w:type="dxa"/>
            <w:bottom w:w="0" w:type="dxa"/>
            <w:right w:w="108" w:type="dxa"/>
          </w:tblCellMar>
        </w:tblPrEx>
        <w:trPr>
          <w:trHeight w:val="938" w:hRule="atLeast"/>
        </w:trPr>
        <w:tc>
          <w:tcPr>
            <w:tcW w:w="1299"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F49EBF">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b/>
                <w:bCs/>
                <w:color w:val="000000"/>
                <w:sz w:val="24"/>
                <w:szCs w:val="24"/>
                <w:highlight w:val="none"/>
              </w:rPr>
            </w:pPr>
          </w:p>
        </w:tc>
        <w:tc>
          <w:tcPr>
            <w:tcW w:w="1785" w:type="dxa"/>
            <w:tcBorders>
              <w:top w:val="single" w:color="000000" w:sz="8" w:space="0"/>
              <w:left w:val="nil"/>
              <w:bottom w:val="single" w:color="000000" w:sz="8" w:space="0"/>
              <w:right w:val="single" w:color="000000" w:sz="8" w:space="0"/>
            </w:tcBorders>
            <w:noWrap w:val="0"/>
            <w:vAlign w:val="center"/>
          </w:tcPr>
          <w:p w14:paraId="35179336">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冬日暖心商圈招聘会</w:t>
            </w:r>
          </w:p>
        </w:tc>
        <w:tc>
          <w:tcPr>
            <w:tcW w:w="1299" w:type="dxa"/>
            <w:tcBorders>
              <w:top w:val="single" w:color="000000" w:sz="8" w:space="0"/>
              <w:left w:val="nil"/>
              <w:bottom w:val="single" w:color="000000" w:sz="8" w:space="0"/>
              <w:right w:val="single" w:color="000000" w:sz="8" w:space="0"/>
            </w:tcBorders>
            <w:noWrap w:val="0"/>
            <w:vAlign w:val="center"/>
          </w:tcPr>
          <w:p w14:paraId="133A6D03">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12月</w:t>
            </w:r>
          </w:p>
        </w:tc>
        <w:tc>
          <w:tcPr>
            <w:tcW w:w="1299" w:type="dxa"/>
            <w:tcBorders>
              <w:top w:val="single" w:color="000000" w:sz="8" w:space="0"/>
              <w:left w:val="nil"/>
              <w:bottom w:val="single" w:color="000000" w:sz="8" w:space="0"/>
              <w:right w:val="single" w:color="000000" w:sz="8" w:space="0"/>
            </w:tcBorders>
            <w:noWrap w:val="0"/>
            <w:vAlign w:val="center"/>
          </w:tcPr>
          <w:p w14:paraId="5C5F2522">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≥30家企业</w:t>
            </w:r>
          </w:p>
        </w:tc>
        <w:tc>
          <w:tcPr>
            <w:tcW w:w="1299" w:type="dxa"/>
            <w:tcBorders>
              <w:top w:val="single" w:color="000000" w:sz="8" w:space="0"/>
              <w:left w:val="nil"/>
              <w:bottom w:val="single" w:color="000000" w:sz="8" w:space="0"/>
              <w:right w:val="single" w:color="000000" w:sz="8" w:space="0"/>
            </w:tcBorders>
            <w:noWrap w:val="0"/>
            <w:vAlign w:val="center"/>
          </w:tcPr>
          <w:p w14:paraId="0A6B4C17">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≥500</w:t>
            </w:r>
            <w:r>
              <w:rPr>
                <w:rFonts w:hint="eastAsia" w:ascii="宋体" w:hAnsi="宋体" w:eastAsia="宋体" w:cs="宋体"/>
                <w:color w:val="000000"/>
                <w:kern w:val="0"/>
                <w:sz w:val="24"/>
                <w:szCs w:val="24"/>
                <w:highlight w:val="none"/>
                <w:lang w:val="en-US" w:eastAsia="zh-CN" w:bidi="ar"/>
              </w:rPr>
              <w:t>个</w:t>
            </w:r>
          </w:p>
        </w:tc>
        <w:tc>
          <w:tcPr>
            <w:tcW w:w="770" w:type="dxa"/>
            <w:tcBorders>
              <w:top w:val="single" w:color="000000" w:sz="8" w:space="0"/>
              <w:left w:val="nil"/>
              <w:bottom w:val="single" w:color="000000" w:sz="8" w:space="0"/>
              <w:right w:val="single" w:color="000000" w:sz="8" w:space="0"/>
            </w:tcBorders>
            <w:noWrap w:val="0"/>
            <w:vAlign w:val="center"/>
          </w:tcPr>
          <w:p w14:paraId="1563B3A6">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w:t>
            </w:r>
          </w:p>
        </w:tc>
        <w:tc>
          <w:tcPr>
            <w:tcW w:w="1827" w:type="dxa"/>
            <w:vMerge w:val="continue"/>
            <w:tcBorders>
              <w:left w:val="nil"/>
              <w:right w:val="single" w:color="000000" w:sz="8" w:space="0"/>
            </w:tcBorders>
            <w:noWrap w:val="0"/>
            <w:vAlign w:val="center"/>
          </w:tcPr>
          <w:p w14:paraId="3BA21BF9">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p>
        </w:tc>
      </w:tr>
      <w:tr w14:paraId="2AB4A667">
        <w:tblPrEx>
          <w:tblCellMar>
            <w:top w:w="0" w:type="dxa"/>
            <w:left w:w="108" w:type="dxa"/>
            <w:bottom w:w="0" w:type="dxa"/>
            <w:right w:w="108" w:type="dxa"/>
          </w:tblCellMar>
        </w:tblPrEx>
        <w:trPr>
          <w:trHeight w:val="1796" w:hRule="atLeast"/>
        </w:trPr>
        <w:tc>
          <w:tcPr>
            <w:tcW w:w="1299" w:type="dxa"/>
            <w:vMerge w:val="continue"/>
            <w:tcBorders>
              <w:top w:val="single" w:color="000000" w:sz="8" w:space="0"/>
              <w:left w:val="single" w:color="000000" w:sz="8" w:space="0"/>
              <w:bottom w:val="single" w:color="000000" w:sz="8" w:space="0"/>
              <w:right w:val="single" w:color="000000" w:sz="8" w:space="0"/>
            </w:tcBorders>
            <w:noWrap w:val="0"/>
            <w:vAlign w:val="center"/>
          </w:tcPr>
          <w:p w14:paraId="4C8D1D48">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b/>
                <w:bCs/>
                <w:color w:val="000000"/>
                <w:sz w:val="24"/>
                <w:szCs w:val="24"/>
                <w:highlight w:val="none"/>
              </w:rPr>
            </w:pPr>
          </w:p>
        </w:tc>
        <w:tc>
          <w:tcPr>
            <w:tcW w:w="1785" w:type="dxa"/>
            <w:tcBorders>
              <w:top w:val="single" w:color="000000" w:sz="8" w:space="0"/>
              <w:left w:val="nil"/>
              <w:bottom w:val="single" w:color="000000" w:sz="8" w:space="0"/>
              <w:right w:val="single" w:color="000000" w:sz="8" w:space="0"/>
            </w:tcBorders>
            <w:noWrap w:val="0"/>
            <w:vAlign w:val="center"/>
          </w:tcPr>
          <w:p w14:paraId="593B9C04">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val="en-US" w:eastAsia="zh-CN" w:bidi="ar"/>
              </w:rPr>
              <w:t>西站</w:t>
            </w:r>
            <w:r>
              <w:rPr>
                <w:rFonts w:hint="eastAsia" w:ascii="宋体" w:hAnsi="宋体" w:eastAsia="宋体" w:cs="宋体"/>
                <w:color w:val="000000"/>
                <w:kern w:val="0"/>
                <w:sz w:val="24"/>
                <w:szCs w:val="24"/>
                <w:highlight w:val="none"/>
                <w:lang w:bidi="ar"/>
              </w:rPr>
              <w:t>招聘会</w:t>
            </w:r>
          </w:p>
        </w:tc>
        <w:tc>
          <w:tcPr>
            <w:tcW w:w="1299" w:type="dxa"/>
            <w:tcBorders>
              <w:top w:val="single" w:color="000000" w:sz="8" w:space="0"/>
              <w:left w:val="nil"/>
              <w:bottom w:val="single" w:color="000000" w:sz="8" w:space="0"/>
              <w:right w:val="single" w:color="000000" w:sz="8" w:space="0"/>
            </w:tcBorders>
            <w:noWrap w:val="0"/>
            <w:vAlign w:val="center"/>
          </w:tcPr>
          <w:p w14:paraId="66DA079A">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Style w:val="10"/>
                <w:rFonts w:hint="eastAsia" w:ascii="宋体" w:hAnsi="宋体" w:eastAsia="宋体" w:cs="宋体"/>
                <w:b w:val="0"/>
                <w:bCs w:val="0"/>
                <w:color w:val="000000"/>
                <w:sz w:val="24"/>
                <w:szCs w:val="24"/>
                <w:highlight w:val="none"/>
                <w:lang w:bidi="ar"/>
              </w:rPr>
              <w:t>全年</w:t>
            </w:r>
          </w:p>
        </w:tc>
        <w:tc>
          <w:tcPr>
            <w:tcW w:w="1299" w:type="dxa"/>
            <w:tcBorders>
              <w:top w:val="single" w:color="000000" w:sz="8" w:space="0"/>
              <w:left w:val="nil"/>
              <w:bottom w:val="single" w:color="000000" w:sz="8" w:space="0"/>
              <w:right w:val="single" w:color="000000" w:sz="8" w:space="0"/>
            </w:tcBorders>
            <w:noWrap w:val="0"/>
            <w:vAlign w:val="center"/>
          </w:tcPr>
          <w:p w14:paraId="2A570BE8">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≥50家企业</w:t>
            </w:r>
          </w:p>
        </w:tc>
        <w:tc>
          <w:tcPr>
            <w:tcW w:w="1299" w:type="dxa"/>
            <w:tcBorders>
              <w:top w:val="single" w:color="000000" w:sz="8" w:space="0"/>
              <w:left w:val="nil"/>
              <w:bottom w:val="single" w:color="000000" w:sz="8" w:space="0"/>
              <w:right w:val="single" w:color="000000" w:sz="8" w:space="0"/>
            </w:tcBorders>
            <w:noWrap w:val="0"/>
            <w:vAlign w:val="center"/>
          </w:tcPr>
          <w:p w14:paraId="76BCBB5B">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≥700</w:t>
            </w:r>
            <w:r>
              <w:rPr>
                <w:rFonts w:hint="eastAsia" w:ascii="宋体" w:hAnsi="宋体" w:eastAsia="宋体" w:cs="宋体"/>
                <w:color w:val="000000"/>
                <w:kern w:val="0"/>
                <w:sz w:val="24"/>
                <w:szCs w:val="24"/>
                <w:highlight w:val="none"/>
                <w:lang w:val="en-US" w:eastAsia="zh-CN" w:bidi="ar"/>
              </w:rPr>
              <w:t>个</w:t>
            </w:r>
          </w:p>
        </w:tc>
        <w:tc>
          <w:tcPr>
            <w:tcW w:w="770" w:type="dxa"/>
            <w:tcBorders>
              <w:top w:val="single" w:color="000000" w:sz="8" w:space="0"/>
              <w:left w:val="nil"/>
              <w:bottom w:val="single" w:color="000000" w:sz="8" w:space="0"/>
              <w:right w:val="single" w:color="000000" w:sz="8" w:space="0"/>
            </w:tcBorders>
            <w:noWrap w:val="0"/>
            <w:vAlign w:val="center"/>
          </w:tcPr>
          <w:p w14:paraId="684AE351">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w:t>
            </w:r>
          </w:p>
        </w:tc>
        <w:tc>
          <w:tcPr>
            <w:tcW w:w="1827" w:type="dxa"/>
            <w:vMerge w:val="continue"/>
            <w:tcBorders>
              <w:left w:val="nil"/>
              <w:bottom w:val="single" w:color="000000" w:sz="8" w:space="0"/>
              <w:right w:val="single" w:color="000000" w:sz="8" w:space="0"/>
            </w:tcBorders>
            <w:noWrap w:val="0"/>
            <w:vAlign w:val="center"/>
          </w:tcPr>
          <w:p w14:paraId="586F609D">
            <w:pPr>
              <w:keepNext w:val="0"/>
              <w:keepLines w:val="0"/>
              <w:pageBreakBefore w:val="0"/>
              <w:widowControl/>
              <w:wordWrap/>
              <w:overflowPunct/>
              <w:topLinePunct w:val="0"/>
              <w:autoSpaceDE w:val="0"/>
              <w:autoSpaceDN w:val="0"/>
              <w:bidi w:val="0"/>
              <w:spacing w:line="460" w:lineRule="exact"/>
              <w:jc w:val="center"/>
              <w:textAlignment w:val="center"/>
              <w:rPr>
                <w:rFonts w:hint="eastAsia" w:ascii="宋体" w:hAnsi="宋体" w:eastAsia="宋体" w:cs="宋体"/>
                <w:color w:val="000000"/>
                <w:sz w:val="24"/>
                <w:szCs w:val="24"/>
                <w:highlight w:val="none"/>
              </w:rPr>
            </w:pPr>
          </w:p>
        </w:tc>
      </w:tr>
    </w:tbl>
    <w:p w14:paraId="24826826">
      <w:pPr>
        <w:keepNext w:val="0"/>
        <w:keepLines w:val="0"/>
        <w:pageBreakBefore w:val="0"/>
        <w:widowControl w:val="0"/>
        <w:kinsoku/>
        <w:wordWrap/>
        <w:overflowPunct/>
        <w:topLinePunct w:val="0"/>
        <w:autoSpaceDE w:val="0"/>
        <w:autoSpaceDN w:val="0"/>
        <w:bidi w:val="0"/>
        <w:adjustRightInd w:val="0"/>
        <w:snapToGrid w:val="0"/>
        <w:spacing w:line="460" w:lineRule="exact"/>
        <w:ind w:left="0" w:firstLine="480" w:firstLineChars="200"/>
        <w:jc w:val="both"/>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二</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lang w:val="en-US" w:eastAsia="zh-CN"/>
        </w:rPr>
        <w:t>活动形式</w:t>
      </w:r>
    </w:p>
    <w:p w14:paraId="6DB54C56">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每场活动采取线上+线下的形式，在线下招聘活动举办的同时，同步开展线上招聘活动。</w:t>
      </w:r>
    </w:p>
    <w:p w14:paraId="7C0E2CE9">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2" w:firstLineChars="200"/>
        <w:textAlignment w:val="auto"/>
        <w:rPr>
          <w:rFonts w:hint="eastAsia" w:ascii="宋体" w:hAnsi="宋体" w:eastAsia="宋体" w:cs="宋体"/>
          <w:color w:val="000000"/>
          <w:sz w:val="24"/>
          <w:szCs w:val="24"/>
        </w:rPr>
      </w:pPr>
      <w:r>
        <w:rPr>
          <w:rFonts w:hint="eastAsia" w:ascii="宋体" w:hAnsi="宋体" w:eastAsia="宋体" w:cs="宋体"/>
          <w:b/>
          <w:bCs/>
          <w:color w:val="000000"/>
          <w:sz w:val="24"/>
          <w:szCs w:val="24"/>
          <w:lang w:val="en-US" w:eastAsia="zh-CN"/>
        </w:rPr>
        <w:t>1.</w:t>
      </w:r>
      <w:r>
        <w:rPr>
          <w:rFonts w:hint="eastAsia" w:ascii="宋体" w:hAnsi="宋体" w:eastAsia="宋体" w:cs="宋体"/>
          <w:b/>
          <w:bCs/>
          <w:color w:val="000000"/>
          <w:sz w:val="24"/>
          <w:szCs w:val="24"/>
        </w:rPr>
        <w:t>线上：</w:t>
      </w:r>
      <w:r>
        <w:rPr>
          <w:rFonts w:hint="eastAsia" w:ascii="宋体" w:hAnsi="宋体" w:eastAsia="宋体" w:cs="宋体"/>
          <w:color w:val="000000"/>
          <w:sz w:val="24"/>
          <w:szCs w:val="24"/>
        </w:rPr>
        <w:t>在</w:t>
      </w:r>
      <w:r>
        <w:rPr>
          <w:rFonts w:hint="eastAsia" w:ascii="宋体" w:hAnsi="宋体" w:eastAsia="宋体" w:cs="宋体"/>
          <w:color w:val="000000"/>
          <w:sz w:val="24"/>
          <w:szCs w:val="24"/>
          <w:lang w:val="en-US" w:eastAsia="zh-CN"/>
        </w:rPr>
        <w:t>洪城就业通平台</w:t>
      </w:r>
      <w:r>
        <w:rPr>
          <w:rFonts w:hint="eastAsia" w:ascii="宋体" w:hAnsi="宋体" w:eastAsia="宋体" w:cs="宋体"/>
          <w:color w:val="000000"/>
          <w:sz w:val="24"/>
          <w:szCs w:val="24"/>
        </w:rPr>
        <w:t>开设专栏，至少提前七天发布活动预告，全程提供企业报名、简历投递等线上服务，必须开展直播带岗活动，通过线上平台进行企业空中宣讲、岗位信息推介、就业政策解读，保障线上求职群体的参与体验</w:t>
      </w:r>
      <w:r>
        <w:rPr>
          <w:rFonts w:hint="eastAsia" w:ascii="宋体" w:hAnsi="宋体" w:eastAsia="宋体" w:cs="宋体"/>
          <w:b w:val="0"/>
          <w:bCs w:val="0"/>
          <w:color w:val="000000"/>
          <w:sz w:val="24"/>
          <w:szCs w:val="24"/>
          <w:lang w:val="en-US" w:eastAsia="zh-CN"/>
        </w:rPr>
        <w:t>；</w:t>
      </w:r>
    </w:p>
    <w:p w14:paraId="7DCF1FC1">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2" w:firstLineChars="200"/>
        <w:textAlignment w:val="auto"/>
        <w:rPr>
          <w:rFonts w:hint="eastAsia" w:ascii="宋体" w:hAnsi="宋体" w:eastAsia="宋体" w:cs="宋体"/>
          <w:color w:val="000000"/>
          <w:sz w:val="24"/>
          <w:szCs w:val="24"/>
          <w:highlight w:val="none"/>
        </w:rPr>
      </w:pPr>
      <w:r>
        <w:rPr>
          <w:rFonts w:hint="eastAsia" w:ascii="宋体" w:hAnsi="宋体" w:eastAsia="宋体" w:cs="宋体"/>
          <w:b/>
          <w:bCs/>
          <w:color w:val="000000"/>
          <w:sz w:val="24"/>
          <w:szCs w:val="24"/>
          <w:lang w:val="en-US" w:eastAsia="zh-CN"/>
        </w:rPr>
        <w:t>2.线下：</w:t>
      </w:r>
      <w:r>
        <w:rPr>
          <w:rFonts w:hint="eastAsia" w:ascii="宋体" w:hAnsi="宋体" w:eastAsia="宋体" w:cs="宋体"/>
          <w:color w:val="000000"/>
          <w:sz w:val="24"/>
          <w:szCs w:val="24"/>
        </w:rPr>
        <w:t>招聘会要设置政策咨询、招聘、就业指导等服务专区，每场活动专区设置需根据活动内容确定，确保专区布局合理、功能完善。</w:t>
      </w:r>
    </w:p>
    <w:p w14:paraId="0C82547E">
      <w:pPr>
        <w:keepNext w:val="0"/>
        <w:keepLines w:val="0"/>
        <w:pageBreakBefore w:val="0"/>
        <w:widowControl w:val="0"/>
        <w:numPr>
          <w:ilvl w:val="0"/>
          <w:numId w:val="0"/>
        </w:numPr>
        <w:kinsoku/>
        <w:wordWrap/>
        <w:overflowPunct/>
        <w:topLinePunct w:val="0"/>
        <w:autoSpaceDE w:val="0"/>
        <w:autoSpaceDN w:val="0"/>
        <w:bidi w:val="0"/>
        <w:adjustRightInd w:val="0"/>
        <w:snapToGrid w:val="0"/>
        <w:spacing w:line="460" w:lineRule="exact"/>
        <w:ind w:left="0" w:firstLine="480" w:firstLineChars="200"/>
        <w:jc w:val="both"/>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三</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lang w:val="en-US" w:eastAsia="zh-CN"/>
        </w:rPr>
        <w:t>执行要求</w:t>
      </w:r>
    </w:p>
    <w:p w14:paraId="78D5FE3C">
      <w:pPr>
        <w:pStyle w:val="2"/>
        <w:keepNext w:val="0"/>
        <w:keepLines w:val="0"/>
        <w:pageBreakBefore w:val="0"/>
        <w:widowControl w:val="0"/>
        <w:kinsoku/>
        <w:wordWrap/>
        <w:overflowPunct/>
        <w:topLinePunct w:val="0"/>
        <w:autoSpaceDE w:val="0"/>
        <w:autoSpaceDN w:val="0"/>
        <w:bidi w:val="0"/>
        <w:adjustRightInd/>
        <w:snapToGrid/>
        <w:spacing w:before="0" w:line="460" w:lineRule="exact"/>
        <w:ind w:left="0" w:firstLine="480" w:firstLineChars="200"/>
        <w:textAlignment w:val="auto"/>
        <w:rPr>
          <w:rFonts w:hint="eastAsia" w:ascii="宋体" w:hAnsi="宋体" w:eastAsia="宋体" w:cs="宋体"/>
          <w:b w:val="0"/>
          <w:bCs w:val="0"/>
          <w:color w:val="000000"/>
          <w:sz w:val="24"/>
          <w:szCs w:val="24"/>
          <w:lang w:val="en-US" w:eastAsia="zh-CN"/>
        </w:rPr>
      </w:pPr>
      <w:bookmarkStart w:id="6" w:name="_Toc31137"/>
      <w:r>
        <w:rPr>
          <w:rFonts w:hint="eastAsia" w:ascii="宋体" w:hAnsi="宋体" w:eastAsia="宋体" w:cs="宋体"/>
          <w:b w:val="0"/>
          <w:bCs w:val="0"/>
          <w:color w:val="000000"/>
          <w:sz w:val="24"/>
          <w:szCs w:val="24"/>
          <w:lang w:val="en-US" w:eastAsia="zh-CN"/>
        </w:rPr>
        <w:t>1.全流程平台管控。所有招聘活动的组织、信息发布、流程实施均需通过“洪城就业通”平台完成，确保线上线下信息同源、数据同步、服务同质；</w:t>
      </w:r>
    </w:p>
    <w:p w14:paraId="7289EE07">
      <w:pPr>
        <w:pStyle w:val="2"/>
        <w:keepNext w:val="0"/>
        <w:keepLines w:val="0"/>
        <w:pageBreakBefore w:val="0"/>
        <w:widowControl w:val="0"/>
        <w:kinsoku/>
        <w:wordWrap/>
        <w:overflowPunct/>
        <w:topLinePunct w:val="0"/>
        <w:autoSpaceDE w:val="0"/>
        <w:autoSpaceDN w:val="0"/>
        <w:bidi w:val="0"/>
        <w:adjustRightInd/>
        <w:snapToGrid/>
        <w:spacing w:before="0" w:line="460" w:lineRule="exact"/>
        <w:ind w:left="0"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2.方案报批要求。签订合同后15日内，中标人要制定整体活动策划方案报采购人审定；每场活动开展10日前，需提交活动执行方案、应急预案和布展效果图至采购人审核，并在采购人提出意见的24小时内予以响应并调整到位，经采购人同意后方可实施；</w:t>
      </w:r>
    </w:p>
    <w:p w14:paraId="34DCC7A9">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3.对接落实。中标人</w:t>
      </w:r>
      <w:r>
        <w:rPr>
          <w:rFonts w:hint="eastAsia" w:ascii="宋体" w:hAnsi="宋体" w:eastAsia="宋体" w:cs="宋体"/>
          <w:b w:val="0"/>
          <w:bCs w:val="0"/>
          <w:sz w:val="24"/>
          <w:szCs w:val="24"/>
        </w:rPr>
        <w:t>负责对接活动举办</w:t>
      </w:r>
      <w:r>
        <w:rPr>
          <w:rFonts w:hint="eastAsia" w:ascii="宋体" w:hAnsi="宋体" w:eastAsia="宋体" w:cs="宋体"/>
          <w:b w:val="0"/>
          <w:bCs w:val="0"/>
          <w:sz w:val="24"/>
          <w:szCs w:val="24"/>
          <w:lang w:val="en-US" w:eastAsia="zh-CN"/>
        </w:rPr>
        <w:t>地管理方</w:t>
      </w:r>
      <w:r>
        <w:rPr>
          <w:rFonts w:hint="eastAsia" w:ascii="宋体" w:hAnsi="宋体" w:eastAsia="宋体" w:cs="宋体"/>
          <w:b w:val="0"/>
          <w:bCs w:val="0"/>
          <w:sz w:val="24"/>
          <w:szCs w:val="24"/>
        </w:rPr>
        <w:t>，落实</w:t>
      </w:r>
      <w:r>
        <w:rPr>
          <w:rFonts w:hint="eastAsia" w:ascii="宋体" w:hAnsi="宋体" w:eastAsia="宋体" w:cs="宋体"/>
          <w:b w:val="0"/>
          <w:bCs w:val="0"/>
          <w:sz w:val="24"/>
          <w:szCs w:val="24"/>
          <w:lang w:val="en-US" w:eastAsia="zh-CN"/>
        </w:rPr>
        <w:t>布展、</w:t>
      </w:r>
      <w:r>
        <w:rPr>
          <w:rFonts w:hint="eastAsia" w:ascii="宋体" w:hAnsi="宋体" w:eastAsia="宋体" w:cs="宋体"/>
          <w:b w:val="0"/>
          <w:bCs w:val="0"/>
          <w:sz w:val="24"/>
          <w:szCs w:val="24"/>
        </w:rPr>
        <w:t>场地等相关事宜，</w:t>
      </w:r>
      <w:r>
        <w:rPr>
          <w:rFonts w:hint="eastAsia" w:ascii="宋体" w:hAnsi="宋体" w:eastAsia="宋体" w:cs="宋体"/>
          <w:b w:val="0"/>
          <w:bCs w:val="0"/>
          <w:color w:val="000000"/>
          <w:sz w:val="24"/>
          <w:szCs w:val="24"/>
          <w:lang w:val="en-US" w:eastAsia="zh-CN"/>
        </w:rPr>
        <w:t>并</w:t>
      </w:r>
      <w:r>
        <w:rPr>
          <w:rFonts w:hint="eastAsia" w:ascii="宋体" w:hAnsi="宋体" w:eastAsia="宋体" w:cs="宋体"/>
          <w:b w:val="0"/>
          <w:bCs w:val="0"/>
          <w:color w:val="000000"/>
          <w:sz w:val="24"/>
          <w:szCs w:val="24"/>
        </w:rPr>
        <w:t>按程序</w:t>
      </w:r>
      <w:r>
        <w:rPr>
          <w:rFonts w:hint="eastAsia" w:ascii="宋体" w:hAnsi="宋体" w:eastAsia="宋体" w:cs="宋体"/>
          <w:b w:val="0"/>
          <w:bCs w:val="0"/>
          <w:color w:val="000000"/>
          <w:sz w:val="24"/>
          <w:szCs w:val="24"/>
          <w:lang w:val="en-US" w:eastAsia="zh-CN"/>
        </w:rPr>
        <w:t>向相关部门报批并实施</w:t>
      </w:r>
      <w:r>
        <w:rPr>
          <w:rFonts w:hint="eastAsia" w:cs="宋体"/>
          <w:b w:val="0"/>
          <w:bCs w:val="0"/>
          <w:color w:val="000000"/>
          <w:sz w:val="24"/>
          <w:szCs w:val="24"/>
          <w:lang w:val="en-US" w:eastAsia="zh-CN"/>
        </w:rPr>
        <w:t>；</w:t>
      </w:r>
      <w:r>
        <w:rPr>
          <w:rFonts w:hint="eastAsia" w:ascii="宋体" w:hAnsi="宋体" w:eastAsia="宋体" w:cs="宋体"/>
          <w:b w:val="0"/>
          <w:bCs w:val="0"/>
          <w:color w:val="000000"/>
          <w:sz w:val="24"/>
          <w:szCs w:val="24"/>
          <w:lang w:val="en-US" w:eastAsia="zh-CN"/>
        </w:rPr>
        <w:t>工作人员注意服务礼仪，保证参会人员有良好的参会体验；</w:t>
      </w:r>
      <w:bookmarkEnd w:id="6"/>
    </w:p>
    <w:p w14:paraId="29B5D6D1">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eastAsia" w:ascii="宋体" w:hAnsi="宋体" w:eastAsia="宋体" w:cs="宋体"/>
          <w:sz w:val="24"/>
          <w:szCs w:val="24"/>
          <w:lang w:val="en-US" w:eastAsia="zh-CN"/>
        </w:rPr>
        <w:t>参会单位</w:t>
      </w:r>
      <w:r>
        <w:rPr>
          <w:rFonts w:hint="default" w:ascii="宋体" w:hAnsi="宋体" w:eastAsia="宋体" w:cs="宋体"/>
          <w:sz w:val="24"/>
          <w:szCs w:val="24"/>
        </w:rPr>
        <w:t>到场要求。</w:t>
      </w:r>
      <w:r>
        <w:rPr>
          <w:rFonts w:hint="default" w:ascii="宋体" w:hAnsi="宋体" w:eastAsia="宋体" w:cs="宋体"/>
          <w:color w:val="000000"/>
          <w:sz w:val="24"/>
          <w:szCs w:val="24"/>
        </w:rPr>
        <w:t>需制定</w:t>
      </w:r>
      <w:r>
        <w:rPr>
          <w:rFonts w:hint="eastAsia" w:ascii="宋体" w:hAnsi="宋体" w:eastAsia="宋体" w:cs="宋体"/>
          <w:sz w:val="24"/>
          <w:szCs w:val="24"/>
          <w:lang w:val="en-US" w:eastAsia="zh-CN"/>
        </w:rPr>
        <w:t>单位</w:t>
      </w:r>
      <w:r>
        <w:rPr>
          <w:rFonts w:hint="default" w:ascii="宋体" w:hAnsi="宋体" w:eastAsia="宋体" w:cs="宋体"/>
          <w:color w:val="000000"/>
          <w:sz w:val="24"/>
          <w:szCs w:val="24"/>
        </w:rPr>
        <w:t>邀约与到场保障机制，确保每场活动</w:t>
      </w:r>
      <w:r>
        <w:rPr>
          <w:rFonts w:hint="eastAsia" w:ascii="宋体" w:hAnsi="宋体" w:eastAsia="宋体" w:cs="宋体"/>
          <w:color w:val="000000"/>
          <w:sz w:val="24"/>
          <w:szCs w:val="24"/>
          <w:lang w:val="en-US" w:eastAsia="zh-CN"/>
        </w:rPr>
        <w:t>单位代表准时到场，全程参加</w:t>
      </w:r>
      <w:r>
        <w:rPr>
          <w:rFonts w:hint="eastAsia" w:ascii="宋体" w:hAnsi="宋体" w:eastAsia="宋体" w:cs="宋体"/>
          <w:b w:val="0"/>
          <w:bCs w:val="0"/>
          <w:color w:val="000000"/>
          <w:sz w:val="24"/>
          <w:szCs w:val="24"/>
          <w:lang w:val="en-US" w:eastAsia="zh-CN"/>
        </w:rPr>
        <w:t>；</w:t>
      </w:r>
      <w:r>
        <w:rPr>
          <w:rFonts w:hint="default" w:ascii="宋体" w:hAnsi="宋体" w:eastAsia="宋体" w:cs="宋体"/>
          <w:color w:val="000000"/>
          <w:sz w:val="24"/>
          <w:szCs w:val="24"/>
        </w:rPr>
        <w:t>​</w:t>
      </w:r>
    </w:p>
    <w:p w14:paraId="1036EC09">
      <w:pPr>
        <w:pStyle w:val="2"/>
        <w:keepNext w:val="0"/>
        <w:keepLines w:val="0"/>
        <w:pageBreakBefore w:val="0"/>
        <w:widowControl w:val="0"/>
        <w:kinsoku/>
        <w:wordWrap/>
        <w:overflowPunct/>
        <w:topLinePunct w:val="0"/>
        <w:autoSpaceDE w:val="0"/>
        <w:autoSpaceDN w:val="0"/>
        <w:bidi w:val="0"/>
        <w:adjustRightInd/>
        <w:snapToGrid/>
        <w:spacing w:before="0" w:line="460" w:lineRule="exact"/>
        <w:ind w:firstLine="480" w:firstLineChars="200"/>
        <w:textAlignment w:val="auto"/>
        <w:rPr>
          <w:rFonts w:hint="eastAsia" w:ascii="宋体" w:hAnsi="宋体" w:eastAsia="宋体" w:cs="宋体"/>
          <w:b w:val="0"/>
          <w:bCs w:val="0"/>
          <w:color w:val="000000"/>
          <w:sz w:val="24"/>
          <w:szCs w:val="24"/>
          <w:lang w:val="en-US" w:eastAsia="zh-CN"/>
        </w:rPr>
      </w:pPr>
      <w:bookmarkStart w:id="7" w:name="_Toc17521"/>
      <w:r>
        <w:rPr>
          <w:rFonts w:hint="eastAsia" w:cs="宋体"/>
          <w:b w:val="0"/>
          <w:bCs w:val="0"/>
          <w:color w:val="000000"/>
          <w:sz w:val="24"/>
          <w:szCs w:val="24"/>
          <w:lang w:val="en-US" w:eastAsia="zh-CN"/>
        </w:rPr>
        <w:t>5</w:t>
      </w:r>
      <w:r>
        <w:rPr>
          <w:rFonts w:hint="eastAsia" w:ascii="宋体" w:hAnsi="宋体" w:eastAsia="宋体" w:cs="宋体"/>
          <w:b w:val="0"/>
          <w:bCs w:val="0"/>
          <w:color w:val="000000"/>
          <w:sz w:val="24"/>
          <w:szCs w:val="24"/>
          <w:lang w:val="en-US" w:eastAsia="zh-CN"/>
        </w:rPr>
        <w:t>.数据统计反馈。中标人负责通过“洪城就业通”平台统计参会企业名单、岗位数量；实时记录活动当日进场人数、意向签约数、现场签约数。活动结束后，需反馈最终实际签约数据，确保数据真实、准确、可追溯；</w:t>
      </w:r>
    </w:p>
    <w:p w14:paraId="0A5C2D70">
      <w:pPr>
        <w:pStyle w:val="2"/>
        <w:keepNext w:val="0"/>
        <w:keepLines w:val="0"/>
        <w:pageBreakBefore w:val="0"/>
        <w:widowControl w:val="0"/>
        <w:kinsoku/>
        <w:wordWrap/>
        <w:overflowPunct/>
        <w:topLinePunct w:val="0"/>
        <w:autoSpaceDE w:val="0"/>
        <w:autoSpaceDN w:val="0"/>
        <w:bidi w:val="0"/>
        <w:adjustRightInd/>
        <w:snapToGrid/>
        <w:spacing w:before="0" w:line="460" w:lineRule="exact"/>
        <w:ind w:left="0" w:firstLine="480" w:firstLineChars="200"/>
        <w:textAlignment w:val="auto"/>
        <w:rPr>
          <w:rFonts w:hint="eastAsia" w:ascii="宋体" w:hAnsi="宋体" w:eastAsia="宋体" w:cs="宋体"/>
          <w:b w:val="0"/>
          <w:bCs w:val="0"/>
          <w:color w:val="000000"/>
          <w:sz w:val="24"/>
          <w:szCs w:val="24"/>
          <w:lang w:val="en-US" w:eastAsia="zh-CN"/>
        </w:rPr>
      </w:pPr>
      <w:r>
        <w:rPr>
          <w:rFonts w:hint="eastAsia" w:cs="宋体"/>
          <w:b w:val="0"/>
          <w:bCs w:val="0"/>
          <w:color w:val="000000"/>
          <w:sz w:val="24"/>
          <w:szCs w:val="24"/>
          <w:lang w:val="en-US" w:eastAsia="zh-CN"/>
        </w:rPr>
        <w:t>6</w:t>
      </w:r>
      <w:r>
        <w:rPr>
          <w:rFonts w:hint="eastAsia" w:ascii="宋体" w:hAnsi="宋体" w:eastAsia="宋体" w:cs="宋体"/>
          <w:b w:val="0"/>
          <w:bCs w:val="0"/>
          <w:color w:val="000000"/>
          <w:sz w:val="24"/>
          <w:szCs w:val="24"/>
          <w:lang w:val="en-US" w:eastAsia="zh-CN"/>
        </w:rPr>
        <w:t>.活动筹备工作</w:t>
      </w:r>
      <w:r>
        <w:rPr>
          <w:rFonts w:hint="eastAsia" w:cs="宋体"/>
          <w:b w:val="0"/>
          <w:bCs w:val="0"/>
          <w:color w:val="000000"/>
          <w:sz w:val="24"/>
          <w:szCs w:val="24"/>
          <w:lang w:val="en-US" w:eastAsia="zh-CN"/>
        </w:rPr>
        <w:t>。</w:t>
      </w:r>
      <w:r>
        <w:rPr>
          <w:rFonts w:hint="eastAsia" w:ascii="宋体" w:hAnsi="宋体" w:eastAsia="宋体" w:cs="宋体"/>
          <w:b w:val="0"/>
          <w:bCs w:val="0"/>
          <w:color w:val="000000"/>
          <w:sz w:val="24"/>
          <w:szCs w:val="24"/>
          <w:lang w:val="en-US" w:eastAsia="zh-CN"/>
        </w:rPr>
        <w:t>调度用人单位及相关参会人员开展直播带岗、政策宣讲、就业服务等活动；</w:t>
      </w:r>
      <w:bookmarkEnd w:id="7"/>
    </w:p>
    <w:p w14:paraId="28E36D5F">
      <w:pPr>
        <w:keepNext w:val="0"/>
        <w:keepLines w:val="0"/>
        <w:widowControl w:val="0"/>
        <w:kinsoku/>
        <w:adjustRightInd/>
        <w:snapToGrid/>
        <w:spacing w:line="440" w:lineRule="exact"/>
        <w:ind w:firstLine="480" w:firstLineChars="200"/>
        <w:textAlignment w:val="auto"/>
        <w:rPr>
          <w:rFonts w:hint="default"/>
          <w:color w:val="auto"/>
          <w:highlight w:val="none"/>
          <w:lang w:val="en-US" w:eastAsia="zh-CN"/>
        </w:rPr>
      </w:pPr>
      <w:bookmarkStart w:id="8" w:name="_Toc26943"/>
      <w:r>
        <w:rPr>
          <w:rFonts w:hint="eastAsia" w:ascii="宋体" w:hAnsi="宋体" w:eastAsia="宋体" w:cs="宋体"/>
          <w:b w:val="0"/>
          <w:bCs w:val="0"/>
          <w:color w:val="auto"/>
          <w:sz w:val="24"/>
          <w:szCs w:val="24"/>
          <w:highlight w:val="white"/>
          <w:lang w:val="en-US" w:eastAsia="zh-CN"/>
        </w:rPr>
        <w:t>7.</w:t>
      </w:r>
      <w:r>
        <w:rPr>
          <w:rFonts w:hint="default" w:ascii="宋体" w:hAnsi="宋体" w:eastAsia="宋体" w:cs="宋体"/>
          <w:b w:val="0"/>
          <w:bCs w:val="0"/>
          <w:color w:val="auto"/>
          <w:sz w:val="24"/>
          <w:szCs w:val="24"/>
        </w:rPr>
        <w:t>专业团队配置</w:t>
      </w:r>
      <w:r>
        <w:rPr>
          <w:rFonts w:hint="eastAsia" w:ascii="宋体" w:hAnsi="宋体" w:eastAsia="宋体" w:cs="宋体"/>
          <w:b w:val="0"/>
          <w:bCs w:val="0"/>
          <w:color w:val="auto"/>
          <w:sz w:val="24"/>
          <w:szCs w:val="24"/>
          <w:lang w:eastAsia="zh-CN"/>
        </w:rPr>
        <w:t>。</w:t>
      </w:r>
      <w:r>
        <w:rPr>
          <w:rFonts w:hint="default" w:ascii="宋体" w:hAnsi="宋体" w:eastAsia="宋体" w:cs="宋体"/>
          <w:b w:val="0"/>
          <w:bCs w:val="0"/>
          <w:color w:val="auto"/>
          <w:sz w:val="24"/>
          <w:szCs w:val="24"/>
          <w:lang w:val="en-US" w:eastAsia="zh-CN"/>
        </w:rPr>
        <w:t>需</w:t>
      </w:r>
      <w:r>
        <w:rPr>
          <w:rFonts w:hint="eastAsia" w:ascii="宋体" w:hAnsi="宋体" w:eastAsia="宋体" w:cs="宋体"/>
          <w:b w:val="0"/>
          <w:bCs w:val="0"/>
          <w:color w:val="auto"/>
          <w:sz w:val="24"/>
          <w:szCs w:val="24"/>
          <w:lang w:val="en-US" w:eastAsia="zh-CN"/>
        </w:rPr>
        <w:t>为本项目组建不少于5人专职团队（含项目负责人</w:t>
      </w:r>
      <w:r>
        <w:rPr>
          <w:rFonts w:hint="eastAsia" w:ascii="宋体" w:hAnsi="宋体" w:eastAsia="宋体" w:cs="宋体"/>
          <w:b w:val="0"/>
          <w:bCs w:val="0"/>
          <w:color w:val="auto"/>
          <w:sz w:val="24"/>
          <w:szCs w:val="24"/>
          <w:highlight w:val="none"/>
          <w:lang w:val="en-US" w:eastAsia="zh-CN"/>
        </w:rPr>
        <w:t>），团队</w:t>
      </w:r>
      <w:r>
        <w:rPr>
          <w:rFonts w:hint="default" w:ascii="宋体" w:hAnsi="宋体" w:eastAsia="宋体" w:cs="宋体"/>
          <w:b w:val="0"/>
          <w:bCs w:val="0"/>
          <w:color w:val="auto"/>
          <w:sz w:val="24"/>
          <w:szCs w:val="24"/>
          <w:highlight w:val="none"/>
          <w:lang w:val="en-US" w:eastAsia="zh-CN"/>
        </w:rPr>
        <w:t>配备持有</w:t>
      </w:r>
      <w:r>
        <w:rPr>
          <w:rFonts w:hint="eastAsia" w:ascii="宋体" w:hAnsi="宋体" w:eastAsia="宋体" w:cs="宋体"/>
          <w:b w:val="0"/>
          <w:bCs w:val="0"/>
          <w:color w:val="auto"/>
          <w:sz w:val="24"/>
          <w:szCs w:val="24"/>
          <w:highlight w:val="none"/>
          <w:lang w:val="en-US" w:eastAsia="zh-CN"/>
        </w:rPr>
        <w:t>人力资源相关</w:t>
      </w:r>
      <w:r>
        <w:rPr>
          <w:rFonts w:hint="default" w:ascii="宋体" w:hAnsi="宋体" w:eastAsia="宋体" w:cs="宋体"/>
          <w:b w:val="0"/>
          <w:bCs w:val="0"/>
          <w:color w:val="auto"/>
          <w:sz w:val="24"/>
          <w:szCs w:val="24"/>
          <w:highlight w:val="none"/>
          <w:lang w:val="en-US" w:eastAsia="zh-CN"/>
        </w:rPr>
        <w:t>证书的人员，以及具备</w:t>
      </w:r>
      <w:r>
        <w:rPr>
          <w:rFonts w:hint="eastAsia" w:ascii="宋体" w:hAnsi="宋体" w:eastAsia="宋体" w:cs="宋体"/>
          <w:b w:val="0"/>
          <w:bCs w:val="0"/>
          <w:color w:val="auto"/>
          <w:sz w:val="24"/>
          <w:szCs w:val="24"/>
          <w:highlight w:val="none"/>
          <w:lang w:val="en-US" w:eastAsia="zh-CN"/>
        </w:rPr>
        <w:t>人力资源相关</w:t>
      </w:r>
      <w:r>
        <w:rPr>
          <w:rFonts w:hint="default" w:ascii="宋体" w:hAnsi="宋体" w:eastAsia="宋体" w:cs="宋体"/>
          <w:b w:val="0"/>
          <w:bCs w:val="0"/>
          <w:color w:val="auto"/>
          <w:sz w:val="24"/>
          <w:szCs w:val="24"/>
          <w:highlight w:val="none"/>
          <w:lang w:val="en-US" w:eastAsia="zh-CN"/>
        </w:rPr>
        <w:t>资质、求职能力训练营结业资质的实操型人员，为求职者提供专业化职业指导服务；</w:t>
      </w:r>
      <w:r>
        <w:rPr>
          <w:rFonts w:hint="eastAsia" w:ascii="宋体" w:hAnsi="宋体" w:eastAsia="宋体" w:cs="宋体"/>
          <w:b w:val="0"/>
          <w:bCs w:val="0"/>
          <w:color w:val="auto"/>
          <w:sz w:val="24"/>
          <w:szCs w:val="24"/>
          <w:highlight w:val="none"/>
          <w:lang w:val="en-US" w:eastAsia="zh-CN"/>
        </w:rPr>
        <w:t>团队人员</w:t>
      </w:r>
      <w:r>
        <w:rPr>
          <w:rFonts w:hint="default" w:ascii="宋体" w:hAnsi="宋体" w:eastAsia="宋体" w:cs="宋体"/>
          <w:b w:val="0"/>
          <w:bCs w:val="0"/>
          <w:color w:val="auto"/>
          <w:sz w:val="24"/>
          <w:szCs w:val="24"/>
          <w:highlight w:val="none"/>
          <w:lang w:val="en-US" w:eastAsia="zh-CN"/>
        </w:rPr>
        <w:t>负责统筹直播带岗、政策宣讲等线上活动的策划与执行</w:t>
      </w:r>
      <w:r>
        <w:rPr>
          <w:rFonts w:hint="eastAsia" w:ascii="宋体" w:hAnsi="宋体" w:eastAsia="宋体" w:cs="宋体"/>
          <w:b w:val="0"/>
          <w:bCs w:val="0"/>
          <w:color w:val="000000"/>
          <w:sz w:val="24"/>
          <w:szCs w:val="24"/>
          <w:highlight w:val="none"/>
          <w:lang w:val="en-US" w:eastAsia="zh-CN"/>
        </w:rPr>
        <w:t>；</w:t>
      </w:r>
    </w:p>
    <w:p w14:paraId="327841BA">
      <w:pPr>
        <w:pStyle w:val="2"/>
        <w:keepNext w:val="0"/>
        <w:keepLines w:val="0"/>
        <w:pageBreakBefore w:val="0"/>
        <w:widowControl w:val="0"/>
        <w:kinsoku/>
        <w:wordWrap/>
        <w:overflowPunct/>
        <w:topLinePunct w:val="0"/>
        <w:autoSpaceDE w:val="0"/>
        <w:autoSpaceDN w:val="0"/>
        <w:bidi w:val="0"/>
        <w:adjustRightInd/>
        <w:snapToGrid/>
        <w:spacing w:before="0" w:line="460" w:lineRule="exact"/>
        <w:ind w:left="0"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snapToGrid w:val="0"/>
          <w:color w:val="auto"/>
          <w:sz w:val="24"/>
          <w:szCs w:val="24"/>
          <w:lang w:val="en-US" w:eastAsia="zh-CN" w:bidi="ar-SA"/>
        </w:rPr>
        <w:t>8.专区设计。</w:t>
      </w:r>
      <w:r>
        <w:rPr>
          <w:rFonts w:hint="eastAsia" w:ascii="宋体" w:hAnsi="宋体" w:eastAsia="宋体" w:cs="宋体"/>
          <w:b w:val="0"/>
          <w:bCs w:val="0"/>
          <w:color w:val="000000"/>
          <w:sz w:val="24"/>
          <w:szCs w:val="24"/>
          <w:lang w:val="en-US" w:eastAsia="zh-CN"/>
        </w:rPr>
        <w:t>中标人需结合“洪漂人才荟”活动特点设计展区，体现城市特色和营造爱才重才的氛围，融合政策推介、城市推介等功能；</w:t>
      </w:r>
      <w:bookmarkEnd w:id="8"/>
    </w:p>
    <w:p w14:paraId="2B7893F2">
      <w:pPr>
        <w:pStyle w:val="2"/>
        <w:keepNext w:val="0"/>
        <w:keepLines w:val="0"/>
        <w:pageBreakBefore w:val="0"/>
        <w:widowControl w:val="0"/>
        <w:kinsoku/>
        <w:wordWrap/>
        <w:overflowPunct/>
        <w:topLinePunct w:val="0"/>
        <w:autoSpaceDE w:val="0"/>
        <w:autoSpaceDN w:val="0"/>
        <w:bidi w:val="0"/>
        <w:adjustRightInd/>
        <w:snapToGrid/>
        <w:spacing w:before="0" w:line="460" w:lineRule="exact"/>
        <w:ind w:left="0" w:firstLine="480" w:firstLineChars="200"/>
        <w:textAlignment w:val="auto"/>
        <w:rPr>
          <w:rFonts w:hint="eastAsia" w:ascii="宋体" w:hAnsi="宋体" w:eastAsia="宋体" w:cs="宋体"/>
          <w:b w:val="0"/>
          <w:bCs w:val="0"/>
          <w:color w:val="000000"/>
          <w:sz w:val="24"/>
          <w:szCs w:val="24"/>
          <w:lang w:val="en-US" w:eastAsia="zh-CN"/>
        </w:rPr>
      </w:pPr>
      <w:bookmarkStart w:id="9" w:name="_Toc18593"/>
      <w:r>
        <w:rPr>
          <w:rFonts w:hint="eastAsia" w:ascii="宋体" w:hAnsi="宋体" w:eastAsia="宋体" w:cs="宋体"/>
          <w:b w:val="0"/>
          <w:bCs w:val="0"/>
          <w:color w:val="000000"/>
          <w:sz w:val="24"/>
          <w:szCs w:val="24"/>
          <w:lang w:val="en-US" w:eastAsia="zh-CN"/>
        </w:rPr>
        <w:t>9.媒体宣传与案例挖掘。协助采购人对接各级媒体资源，在国家级、省级、市级官方宣传媒介开展活动宣传，并在自有宣传平台（招聘网站、公众号等）同步展示“洪城就业通”活动链接；需挖掘并反馈真实的签约成功典型案例，全年收集的成功案例总数不得低于活动总场次；</w:t>
      </w:r>
    </w:p>
    <w:p w14:paraId="4F45C6E8">
      <w:pPr>
        <w:pStyle w:val="2"/>
        <w:keepNext w:val="0"/>
        <w:keepLines w:val="0"/>
        <w:pageBreakBefore w:val="0"/>
        <w:widowControl w:val="0"/>
        <w:kinsoku/>
        <w:wordWrap/>
        <w:overflowPunct/>
        <w:topLinePunct w:val="0"/>
        <w:autoSpaceDE w:val="0"/>
        <w:autoSpaceDN w:val="0"/>
        <w:bidi w:val="0"/>
        <w:adjustRightInd/>
        <w:snapToGrid/>
        <w:spacing w:before="0" w:line="460" w:lineRule="exact"/>
        <w:ind w:left="0" w:firstLine="480" w:firstLineChars="200"/>
        <w:textAlignment w:val="auto"/>
        <w:rPr>
          <w:rFonts w:hint="default" w:ascii="宋体" w:hAnsi="宋体" w:eastAsia="宋体" w:cs="宋体"/>
          <w:b w:val="0"/>
          <w:bCs w:val="0"/>
          <w:color w:val="000000"/>
          <w:sz w:val="24"/>
          <w:szCs w:val="24"/>
        </w:rPr>
      </w:pPr>
      <w:r>
        <w:rPr>
          <w:rFonts w:hint="eastAsia" w:ascii="宋体" w:hAnsi="宋体" w:eastAsia="宋体" w:cs="宋体"/>
          <w:b w:val="0"/>
          <w:bCs w:val="0"/>
          <w:color w:val="000000"/>
          <w:sz w:val="24"/>
          <w:szCs w:val="24"/>
          <w:lang w:val="en-US" w:eastAsia="zh-CN"/>
        </w:rPr>
        <w:t>10.</w:t>
      </w:r>
      <w:bookmarkEnd w:id="9"/>
      <w:bookmarkStart w:id="10" w:name="_Toc19574"/>
      <w:r>
        <w:rPr>
          <w:rFonts w:hint="default" w:ascii="宋体" w:hAnsi="宋体" w:eastAsia="宋体" w:cs="宋体"/>
          <w:b w:val="0"/>
          <w:bCs w:val="0"/>
          <w:color w:val="000000"/>
          <w:sz w:val="24"/>
          <w:szCs w:val="24"/>
          <w:lang w:val="en-US" w:eastAsia="zh-CN"/>
        </w:rPr>
        <w:t>宣传稿件报送</w:t>
      </w:r>
      <w:r>
        <w:rPr>
          <w:rFonts w:hint="eastAsia" w:ascii="宋体" w:hAnsi="宋体" w:eastAsia="宋体" w:cs="宋体"/>
          <w:b w:val="0"/>
          <w:bCs w:val="0"/>
          <w:color w:val="000000"/>
          <w:sz w:val="24"/>
          <w:szCs w:val="24"/>
          <w:lang w:val="en-US" w:eastAsia="zh-CN"/>
        </w:rPr>
        <w:t>。</w:t>
      </w:r>
      <w:r>
        <w:rPr>
          <w:rFonts w:hint="default" w:ascii="宋体" w:hAnsi="宋体" w:eastAsia="宋体" w:cs="宋体"/>
          <w:b w:val="0"/>
          <w:bCs w:val="0"/>
          <w:color w:val="000000"/>
          <w:sz w:val="24"/>
          <w:szCs w:val="24"/>
          <w:lang w:val="en-US" w:eastAsia="zh-CN"/>
        </w:rPr>
        <w:t>每</w:t>
      </w:r>
      <w:r>
        <w:rPr>
          <w:rFonts w:hint="default" w:ascii="宋体" w:hAnsi="宋体" w:eastAsia="宋体" w:cs="宋体"/>
          <w:b w:val="0"/>
          <w:bCs w:val="0"/>
          <w:color w:val="000000"/>
          <w:sz w:val="24"/>
          <w:szCs w:val="24"/>
        </w:rPr>
        <w:t>场活动前3个工作日提交预热宣传稿，活动结束当日提交成效总结宣传稿，稿件需包含活动亮点、参与规模、服务成效等核心信息</w:t>
      </w:r>
      <w:r>
        <w:rPr>
          <w:rFonts w:hint="eastAsia" w:ascii="宋体" w:hAnsi="宋体" w:eastAsia="宋体" w:cs="宋体"/>
          <w:b w:val="0"/>
          <w:bCs w:val="0"/>
          <w:color w:val="000000"/>
          <w:sz w:val="24"/>
          <w:szCs w:val="24"/>
          <w:lang w:val="en-US" w:eastAsia="zh-CN"/>
        </w:rPr>
        <w:t>；</w:t>
      </w:r>
    </w:p>
    <w:bookmarkEnd w:id="10"/>
    <w:p w14:paraId="1D45D610">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lang w:val="en-US" w:eastAsia="zh-CN"/>
        </w:rPr>
      </w:pPr>
      <w:bookmarkStart w:id="11" w:name="_Toc13174"/>
      <w:r>
        <w:rPr>
          <w:rFonts w:hint="eastAsia" w:ascii="宋体" w:hAnsi="宋体" w:eastAsia="宋体" w:cs="宋体"/>
          <w:color w:val="000000"/>
          <w:sz w:val="24"/>
          <w:szCs w:val="24"/>
          <w:lang w:val="en-US" w:eastAsia="zh-CN"/>
        </w:rPr>
        <w:t>11.</w:t>
      </w:r>
      <w:r>
        <w:rPr>
          <w:rFonts w:hint="eastAsia" w:ascii="宋体" w:hAnsi="宋体" w:eastAsia="宋体" w:cs="宋体"/>
          <w:sz w:val="24"/>
          <w:szCs w:val="24"/>
          <w:lang w:val="en-US" w:eastAsia="zh-CN"/>
        </w:rPr>
        <w:t>视频制作。中标人需委托专业视频制作公司为整体活动制作宣传视频，视频总时长不超过5分钟</w:t>
      </w:r>
      <w:r>
        <w:rPr>
          <w:rFonts w:hint="eastAsia" w:ascii="宋体" w:hAnsi="宋体" w:eastAsia="宋体" w:cs="宋体"/>
          <w:b w:val="0"/>
          <w:bCs w:val="0"/>
          <w:color w:val="000000"/>
          <w:sz w:val="24"/>
          <w:szCs w:val="24"/>
          <w:lang w:val="en-US" w:eastAsia="zh-CN"/>
        </w:rPr>
        <w:t>；</w:t>
      </w:r>
    </w:p>
    <w:bookmarkEnd w:id="11"/>
    <w:p w14:paraId="42DDBFB2">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b w:val="0"/>
          <w:bCs w:val="0"/>
          <w:snapToGrid w:val="0"/>
          <w:color w:val="000000"/>
          <w:sz w:val="24"/>
          <w:szCs w:val="24"/>
          <w:lang w:val="en-US" w:eastAsia="zh-CN" w:bidi="ar-SA"/>
        </w:rPr>
      </w:pPr>
      <w:bookmarkStart w:id="12" w:name="_Toc19272"/>
      <w:r>
        <w:rPr>
          <w:rFonts w:hint="eastAsia" w:ascii="宋体" w:hAnsi="宋体" w:eastAsia="宋体" w:cs="宋体"/>
          <w:b w:val="0"/>
          <w:bCs w:val="0"/>
          <w:snapToGrid w:val="0"/>
          <w:color w:val="000000"/>
          <w:sz w:val="24"/>
          <w:szCs w:val="24"/>
          <w:lang w:val="en-US" w:eastAsia="zh-CN" w:bidi="ar-SA"/>
        </w:rPr>
        <w:t>12.推行绿色招聘。活动现场需推行“无纸化”招聘模式，引导求职者与企业通过“洪城就业通”平台二维码完成简历投递与接收；中标人需督促企业在活动结束后2周内，对活动当日接收的简历在线查看</w:t>
      </w:r>
      <w:bookmarkEnd w:id="12"/>
      <w:r>
        <w:rPr>
          <w:rFonts w:hint="eastAsia" w:ascii="宋体" w:hAnsi="宋体" w:eastAsia="宋体" w:cs="宋体"/>
          <w:b w:val="0"/>
          <w:bCs w:val="0"/>
          <w:color w:val="000000"/>
          <w:sz w:val="24"/>
          <w:szCs w:val="24"/>
          <w:lang w:val="en-US" w:eastAsia="zh-CN"/>
        </w:rPr>
        <w:t>；</w:t>
      </w:r>
    </w:p>
    <w:p w14:paraId="2FB41DE7">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13.活动保险。每场活动中标人需购买公众责任险。</w:t>
      </w:r>
    </w:p>
    <w:p w14:paraId="210157FD">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14.场地筛选。中标人须对每场待定场地开展人流量实测、求职需求摸排，评估场地日均 / 时段人流量，以选择活动举办时间。</w:t>
      </w:r>
    </w:p>
    <w:p w14:paraId="0844AFD6">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15.联动对接。每场活动提前7日对接场地所在社区 / 街道，了解辖区未就业人员等需求。通过社区公告、网格员推送等方式，引导辖区求职人员参会；对接场地周边学校（本科、高职、中职）就业部门，邀请应届 / 往届毕业生参会。</w:t>
      </w:r>
    </w:p>
    <w:p w14:paraId="679822AA">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leftChars="0"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每场次活动需求清单</w:t>
      </w:r>
    </w:p>
    <w:tbl>
      <w:tblPr>
        <w:tblStyle w:val="5"/>
        <w:tblW w:w="9151"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72"/>
        <w:gridCol w:w="1552"/>
        <w:gridCol w:w="4160"/>
        <w:gridCol w:w="1063"/>
        <w:gridCol w:w="1404"/>
      </w:tblGrid>
      <w:tr w14:paraId="1C531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blHeader/>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28D1EE1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49F4DF4A">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741779B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技术、规格</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3BA2145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2BF78BD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r>
      <w:tr w14:paraId="67526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49FFFE2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07AC9C12">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大型宣传展板</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3E61204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每个不小于3</w:t>
            </w:r>
            <w:r>
              <w:rPr>
                <w:rFonts w:hint="eastAsia" w:eastAsia="宋体"/>
                <w:lang w:val="en-US" w:eastAsia="zh-CN"/>
              </w:rPr>
              <w:t>M*</w:t>
            </w:r>
            <w:r>
              <w:rPr>
                <w:rFonts w:hint="eastAsia" w:ascii="宋体" w:hAnsi="宋体" w:eastAsia="宋体" w:cs="宋体"/>
                <w:i w:val="0"/>
                <w:iCs w:val="0"/>
                <w:color w:val="000000"/>
                <w:kern w:val="0"/>
                <w:sz w:val="24"/>
                <w:szCs w:val="24"/>
                <w:u w:val="none"/>
                <w:lang w:val="en-US" w:eastAsia="zh-CN" w:bidi="ar"/>
              </w:rPr>
              <w:t>*6</w:t>
            </w:r>
            <w:r>
              <w:rPr>
                <w:rFonts w:hint="eastAsia" w:eastAsia="宋体"/>
                <w:lang w:val="en-US" w:eastAsia="zh-CN"/>
              </w:rPr>
              <w:t>M*</w:t>
            </w:r>
            <w:r>
              <w:rPr>
                <w:rFonts w:hint="eastAsia" w:ascii="宋体" w:hAnsi="宋体" w:eastAsia="宋体" w:cs="宋体"/>
                <w:i w:val="0"/>
                <w:iCs w:val="0"/>
                <w:color w:val="000000"/>
                <w:kern w:val="0"/>
                <w:sz w:val="24"/>
                <w:szCs w:val="24"/>
                <w:u w:val="none"/>
                <w:lang w:val="en-US" w:eastAsia="zh-CN" w:bidi="ar"/>
              </w:rPr>
              <w:t>，材料：黑白喷绘布，造型需使用pvc材质，每个不少于4组灯光</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0DB29A0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25D6777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68A32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33E4E3B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71C922D5">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彩虹门</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4FFA484">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18</w:t>
            </w:r>
            <w:r>
              <w:rPr>
                <w:rFonts w:hint="eastAsia" w:ascii="宋体" w:hAnsi="宋体" w:eastAsia="宋体" w:cs="宋体"/>
                <w:i w:val="0"/>
                <w:iCs w:val="0"/>
                <w:color w:val="000000"/>
                <w:kern w:val="0"/>
                <w:sz w:val="24"/>
                <w:szCs w:val="24"/>
                <w:u w:val="none"/>
                <w:lang w:val="en-US" w:eastAsia="zh-CN" w:bidi="ar"/>
              </w:rPr>
              <w:t>M</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7EB5B89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3B8F7F1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2B18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7E0209F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203CF22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高清电子屏</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317A767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r>
              <w:rPr>
                <w:rFonts w:hint="eastAsia" w:eastAsia="宋体"/>
                <w:lang w:val="en-US" w:eastAsia="zh-CN"/>
              </w:rPr>
              <w:t>M*</w:t>
            </w:r>
            <w:r>
              <w:rPr>
                <w:rFonts w:hint="eastAsia" w:ascii="宋体" w:hAnsi="宋体" w:eastAsia="宋体" w:cs="宋体"/>
                <w:i w:val="0"/>
                <w:iCs w:val="0"/>
                <w:color w:val="000000"/>
                <w:kern w:val="0"/>
                <w:sz w:val="24"/>
                <w:szCs w:val="24"/>
                <w:u w:val="none"/>
                <w:lang w:val="en-US" w:eastAsia="zh-CN" w:bidi="ar"/>
              </w:rPr>
              <w:t>*6</w:t>
            </w:r>
            <w:r>
              <w:rPr>
                <w:rFonts w:hint="eastAsia" w:eastAsia="宋体"/>
                <w:lang w:val="en-US" w:eastAsia="zh-CN"/>
              </w:rPr>
              <w:t>M*</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7BB95D34">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17A7EC9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E4F7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3D0D221A">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5804323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龙门架</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4F74058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4面龙门立柱不小于宽0.6M高3M，门入口处宽不低于4M</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662E686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0A65B7E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0665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8"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4BF87C6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47419814">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洪漂人才荟小型发光字</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4CFD9C6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发光字高度不低于25CM，长度不低于200CM，安装于企业展架顶部正面</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6BA956B5">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6B8C8AD">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0C76D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8"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0F81965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3A1FD1BA">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洪漂人才荟中型发光字</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3CC5A19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发光字高度不低于40CM，长度不低于300CM，安装于龙门架顶部正反面</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735F12D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33AD2D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6A154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0610376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57F49E5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洪漂人才荟大型发光字LOGO</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79872A4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高度不低于1.2M，长度不低于6.8M</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F4233D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394FA40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78FC2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5A22854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618525B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企业展架</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1BFBB49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根据设计选择型号</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EA80A3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A84300D">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与企业数一致</w:t>
            </w:r>
          </w:p>
        </w:tc>
      </w:tr>
      <w:tr w14:paraId="07C7B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1B54EBF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6E7CC0D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一桌三椅</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5055F864">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需折叠椅或更高规格</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6D8ECA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15CB37E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与企业数一致</w:t>
            </w:r>
          </w:p>
        </w:tc>
      </w:tr>
      <w:tr w14:paraId="65CE2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6E25A16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051C495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横幅</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AD6859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根据场地定尺寸</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8D4A15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E8B6F8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51B42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5F7ACDA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361F725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政策咨询专区物料</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29C500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宣传折页</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541ED58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份</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4D6A4FE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1000</w:t>
            </w:r>
          </w:p>
        </w:tc>
      </w:tr>
      <w:tr w14:paraId="56583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48B93DB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552" w:type="dxa"/>
            <w:vMerge w:val="restart"/>
            <w:tcBorders>
              <w:top w:val="single" w:color="000000" w:sz="4" w:space="0"/>
              <w:left w:val="single" w:color="000000" w:sz="4" w:space="0"/>
              <w:right w:val="single" w:color="000000" w:sz="4" w:space="0"/>
            </w:tcBorders>
            <w:noWrap w:val="0"/>
            <w:vAlign w:val="center"/>
          </w:tcPr>
          <w:p w14:paraId="3A6218F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政策咨询专区</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1668FA4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桁架或门型展架</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A6B7B6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6FCFCE9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41B1E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57614335">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552" w:type="dxa"/>
            <w:vMerge w:val="continue"/>
            <w:tcBorders>
              <w:left w:val="single" w:color="000000" w:sz="4" w:space="0"/>
              <w:bottom w:val="single" w:color="000000" w:sz="4" w:space="0"/>
              <w:right w:val="single" w:color="000000" w:sz="4" w:space="0"/>
            </w:tcBorders>
            <w:noWrap w:val="0"/>
            <w:vAlign w:val="center"/>
          </w:tcPr>
          <w:p w14:paraId="7E2C4F6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266AFE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工作人员</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7B3A271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5299202">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67A5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64831D1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14</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091F25F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招聘专区</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51861BD4">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工作人员</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24CBD6A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2E3C21C5">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0D28A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3F1CC3F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64DE76C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参会证</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3E52EE99">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8</w:t>
            </w:r>
            <w:r>
              <w:rPr>
                <w:rFonts w:hint="eastAsia" w:ascii="宋体" w:hAnsi="宋体" w:eastAsia="宋体" w:cs="宋体"/>
                <w:i w:val="0"/>
                <w:iCs w:val="0"/>
                <w:color w:val="000000"/>
                <w:sz w:val="24"/>
                <w:szCs w:val="24"/>
                <w:u w:val="none"/>
                <w:lang w:val="en-US" w:eastAsia="zh-CN"/>
              </w:rPr>
              <w:t>CM</w:t>
            </w:r>
            <w:r>
              <w:rPr>
                <w:rFonts w:hint="eastAsia" w:ascii="宋体" w:hAnsi="宋体" w:eastAsia="宋体" w:cs="宋体"/>
                <w:i w:val="0"/>
                <w:iCs w:val="0"/>
                <w:color w:val="000000"/>
                <w:sz w:val="24"/>
                <w:szCs w:val="24"/>
                <w:u w:val="none"/>
              </w:rPr>
              <w:t>*12</w:t>
            </w:r>
            <w:r>
              <w:rPr>
                <w:rFonts w:hint="eastAsia" w:ascii="宋体" w:hAnsi="宋体" w:eastAsia="宋体" w:cs="宋体"/>
                <w:i w:val="0"/>
                <w:iCs w:val="0"/>
                <w:color w:val="000000"/>
                <w:sz w:val="24"/>
                <w:szCs w:val="24"/>
                <w:u w:val="none"/>
                <w:lang w:val="en-US" w:eastAsia="zh-CN"/>
              </w:rPr>
              <w:t>CM</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0058242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47D86B4D">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以企业参会人员数量为准</w:t>
            </w:r>
          </w:p>
        </w:tc>
      </w:tr>
      <w:tr w14:paraId="4640B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5F8F6612">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7BF78F4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饮用水</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38B6CA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500ml</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6849DD92">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箱/24瓶</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5DDDC37">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i w:val="0"/>
                <w:iCs w:val="0"/>
                <w:color w:val="000000"/>
                <w:sz w:val="24"/>
                <w:szCs w:val="24"/>
                <w:u w:val="none"/>
                <w:lang w:val="en-US" w:eastAsia="zh-CN" w:bidi="zh-CN"/>
              </w:rPr>
            </w:pPr>
            <w:r>
              <w:rPr>
                <w:rFonts w:hint="eastAsia" w:ascii="宋体" w:hAnsi="宋体" w:eastAsia="宋体" w:cs="宋体"/>
                <w:i w:val="0"/>
                <w:iCs w:val="0"/>
                <w:color w:val="000000"/>
                <w:sz w:val="24"/>
                <w:szCs w:val="24"/>
                <w:u w:val="none"/>
                <w:lang w:val="en-US" w:eastAsia="zh-CN"/>
              </w:rPr>
              <w:t>5</w:t>
            </w:r>
          </w:p>
        </w:tc>
      </w:tr>
      <w:tr w14:paraId="0A4EB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2384898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26D0AD0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工作餐（根据活动时间决定是否提供）</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7F9D8E7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两荤两素</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5F64D6B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份</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63A694B8">
            <w:pPr>
              <w:keepNext w:val="0"/>
              <w:keepLines w:val="0"/>
              <w:pageBreakBefore w:val="0"/>
              <w:wordWrap/>
              <w:overflowPunct/>
              <w:topLinePunct w:val="0"/>
              <w:autoSpaceDE w:val="0"/>
              <w:autoSpaceDN w:val="0"/>
              <w:bidi w:val="0"/>
              <w:spacing w:line="46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以企业参会人员数量为准</w:t>
            </w:r>
          </w:p>
        </w:tc>
      </w:tr>
      <w:tr w14:paraId="1AAB1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77B31B1D">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3488FFD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企业人员伴手礼</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34C8A32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手提袋、空白简历、签字笔等</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640E44AD">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份</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359CD93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与企业数一致</w:t>
            </w:r>
          </w:p>
        </w:tc>
      </w:tr>
      <w:tr w14:paraId="38229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2354FF8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38A67DE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求职人员伴手礼</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51F42AD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定制钥匙扣、手机支架等小礼品</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8DC713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份</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1FCF5374">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w:t>
            </w:r>
          </w:p>
        </w:tc>
      </w:tr>
      <w:tr w14:paraId="37457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8"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40C1752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6336694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宣传预热</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4928E4A">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新闻媒体、地铁广告、电梯广告、公众号、视频号、网站等宣传渠道</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BC5316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5580D3F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43F66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1A11D1F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4C7B00D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视频媒体制作（含专职摄影、摄像人员）</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7EE9CA15">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剪辑发布活动短视频</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50C21BC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40D99D5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3DB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387B742A">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57192EF1">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专家</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3CE3D09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lang w:val="en-US" w:bidi="ar"/>
              </w:rPr>
            </w:pPr>
            <w:r>
              <w:rPr>
                <w:rFonts w:hint="eastAsia" w:ascii="宋体" w:hAnsi="宋体" w:eastAsia="宋体" w:cs="宋体"/>
                <w:b w:val="0"/>
                <w:bCs w:val="0"/>
                <w:color w:val="000000"/>
                <w:spacing w:val="0"/>
                <w:sz w:val="24"/>
                <w:szCs w:val="24"/>
                <w:lang w:val="en-US" w:eastAsia="zh-CN" w:bidi="ar"/>
              </w:rPr>
              <w:t>创业相关、职业指导相关专家人员</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124596D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lang w:val="en-US" w:bidi="ar"/>
              </w:rPr>
            </w:pPr>
            <w:r>
              <w:rPr>
                <w:rFonts w:hint="eastAsia" w:ascii="宋体" w:hAnsi="宋体" w:eastAsia="宋体" w:cs="宋体"/>
                <w:i w:val="0"/>
                <w:iCs w:val="0"/>
                <w:color w:val="000000"/>
                <w:kern w:val="0"/>
                <w:sz w:val="24"/>
                <w:szCs w:val="24"/>
                <w:u w:val="none"/>
                <w:lang w:val="en-US" w:eastAsia="zh-CN" w:bidi="ar"/>
              </w:rPr>
              <w:t>人</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214A48D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C4D5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972" w:type="dxa"/>
            <w:vMerge w:val="restart"/>
            <w:tcBorders>
              <w:top w:val="single" w:color="000000" w:sz="4" w:space="0"/>
              <w:left w:val="single" w:color="000000" w:sz="4" w:space="0"/>
              <w:right w:val="single" w:color="000000" w:sz="4" w:space="0"/>
            </w:tcBorders>
            <w:noWrap w:val="0"/>
            <w:vAlign w:val="center"/>
          </w:tcPr>
          <w:p w14:paraId="1B8B9D5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552" w:type="dxa"/>
            <w:vMerge w:val="restart"/>
            <w:tcBorders>
              <w:top w:val="single" w:color="000000" w:sz="4" w:space="0"/>
              <w:left w:val="single" w:color="000000" w:sz="4" w:space="0"/>
              <w:right w:val="single" w:color="000000" w:sz="4" w:space="0"/>
            </w:tcBorders>
            <w:noWrap w:val="0"/>
            <w:vAlign w:val="center"/>
          </w:tcPr>
          <w:p w14:paraId="364A1555">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问卷调查</w:t>
            </w:r>
          </w:p>
        </w:tc>
        <w:tc>
          <w:tcPr>
            <w:tcW w:w="4160" w:type="dxa"/>
            <w:tcBorders>
              <w:top w:val="single" w:color="000000" w:sz="4" w:space="0"/>
              <w:left w:val="single" w:color="000000" w:sz="4" w:space="0"/>
              <w:bottom w:val="single" w:color="auto" w:sz="4" w:space="0"/>
              <w:right w:val="single" w:color="000000" w:sz="4" w:space="0"/>
            </w:tcBorders>
            <w:noWrap w:val="0"/>
            <w:vAlign w:val="center"/>
          </w:tcPr>
          <w:p w14:paraId="35D3AE1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针对求职者</w:t>
            </w:r>
          </w:p>
        </w:tc>
        <w:tc>
          <w:tcPr>
            <w:tcW w:w="1063" w:type="dxa"/>
            <w:tcBorders>
              <w:top w:val="single" w:color="000000" w:sz="4" w:space="0"/>
              <w:left w:val="single" w:color="000000" w:sz="4" w:space="0"/>
              <w:bottom w:val="single" w:color="auto" w:sz="4" w:space="0"/>
              <w:right w:val="single" w:color="000000" w:sz="4" w:space="0"/>
            </w:tcBorders>
            <w:noWrap w:val="0"/>
            <w:vAlign w:val="center"/>
          </w:tcPr>
          <w:p w14:paraId="450EC29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份</w:t>
            </w:r>
          </w:p>
        </w:tc>
        <w:tc>
          <w:tcPr>
            <w:tcW w:w="1404" w:type="dxa"/>
            <w:tcBorders>
              <w:top w:val="single" w:color="000000" w:sz="4" w:space="0"/>
              <w:left w:val="single" w:color="000000" w:sz="4" w:space="0"/>
              <w:bottom w:val="single" w:color="auto" w:sz="4" w:space="0"/>
              <w:right w:val="single" w:color="000000" w:sz="4" w:space="0"/>
            </w:tcBorders>
            <w:noWrap w:val="0"/>
            <w:vAlign w:val="center"/>
          </w:tcPr>
          <w:p w14:paraId="312A070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w:t>
            </w:r>
          </w:p>
        </w:tc>
      </w:tr>
      <w:tr w14:paraId="5B36D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6" w:hRule="atLeast"/>
        </w:trPr>
        <w:tc>
          <w:tcPr>
            <w:tcW w:w="972" w:type="dxa"/>
            <w:vMerge w:val="continue"/>
            <w:tcBorders>
              <w:left w:val="single" w:color="000000" w:sz="4" w:space="0"/>
              <w:bottom w:val="single" w:color="000000" w:sz="4" w:space="0"/>
              <w:right w:val="single" w:color="000000" w:sz="4" w:space="0"/>
            </w:tcBorders>
            <w:noWrap w:val="0"/>
            <w:vAlign w:val="center"/>
          </w:tcPr>
          <w:p w14:paraId="59CA86F2">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kern w:val="0"/>
                <w:sz w:val="24"/>
                <w:szCs w:val="24"/>
                <w:u w:val="none"/>
                <w:lang w:val="en-US" w:eastAsia="zh-CN" w:bidi="ar"/>
              </w:rPr>
            </w:pPr>
          </w:p>
        </w:tc>
        <w:tc>
          <w:tcPr>
            <w:tcW w:w="1552" w:type="dxa"/>
            <w:vMerge w:val="continue"/>
            <w:tcBorders>
              <w:left w:val="single" w:color="000000" w:sz="4" w:space="0"/>
              <w:bottom w:val="single" w:color="000000" w:sz="4" w:space="0"/>
              <w:right w:val="single" w:color="000000" w:sz="4" w:space="0"/>
            </w:tcBorders>
            <w:noWrap w:val="0"/>
            <w:vAlign w:val="center"/>
          </w:tcPr>
          <w:p w14:paraId="01AC2DC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kern w:val="0"/>
                <w:sz w:val="24"/>
                <w:szCs w:val="24"/>
                <w:u w:val="none"/>
                <w:lang w:val="en-US" w:eastAsia="zh-CN" w:bidi="ar"/>
              </w:rPr>
            </w:pPr>
          </w:p>
        </w:tc>
        <w:tc>
          <w:tcPr>
            <w:tcW w:w="4160" w:type="dxa"/>
            <w:tcBorders>
              <w:top w:val="single" w:color="auto" w:sz="4" w:space="0"/>
              <w:left w:val="single" w:color="000000" w:sz="4" w:space="0"/>
              <w:bottom w:val="single" w:color="000000" w:sz="4" w:space="0"/>
              <w:right w:val="single" w:color="000000" w:sz="4" w:space="0"/>
            </w:tcBorders>
            <w:noWrap w:val="0"/>
            <w:vAlign w:val="center"/>
          </w:tcPr>
          <w:p w14:paraId="26B820ED">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针对企业</w:t>
            </w:r>
          </w:p>
        </w:tc>
        <w:tc>
          <w:tcPr>
            <w:tcW w:w="1063" w:type="dxa"/>
            <w:tcBorders>
              <w:top w:val="single" w:color="auto" w:sz="4" w:space="0"/>
              <w:left w:val="single" w:color="000000" w:sz="4" w:space="0"/>
              <w:bottom w:val="single" w:color="000000" w:sz="4" w:space="0"/>
              <w:right w:val="single" w:color="000000" w:sz="4" w:space="0"/>
            </w:tcBorders>
            <w:noWrap w:val="0"/>
            <w:vAlign w:val="center"/>
          </w:tcPr>
          <w:p w14:paraId="0AE5ADF8">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份</w:t>
            </w:r>
          </w:p>
        </w:tc>
        <w:tc>
          <w:tcPr>
            <w:tcW w:w="1404" w:type="dxa"/>
            <w:tcBorders>
              <w:top w:val="single" w:color="auto" w:sz="4" w:space="0"/>
              <w:left w:val="single" w:color="000000" w:sz="4" w:space="0"/>
              <w:bottom w:val="single" w:color="000000" w:sz="4" w:space="0"/>
              <w:right w:val="single" w:color="000000" w:sz="4" w:space="0"/>
            </w:tcBorders>
            <w:noWrap w:val="0"/>
            <w:vAlign w:val="center"/>
          </w:tcPr>
          <w:p w14:paraId="24CE5BB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r>
      <w:tr w14:paraId="7B33C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5570F0EE">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3D492846">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直播带岗及直播间设计、布置、安装</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5D4B0C2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含设备租赁、隔音布置、人员工资</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3936534F">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场</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29F1AAF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6F403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22F7BC2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5B0AB7DB">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物料搬运费（含人、车）</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6613979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满足活动现场布置</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7BF06B50">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场</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690CE8B9">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56E2B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4" w:space="0"/>
              <w:left w:val="single" w:color="000000" w:sz="4" w:space="0"/>
              <w:bottom w:val="single" w:color="000000" w:sz="4" w:space="0"/>
              <w:right w:val="single" w:color="000000" w:sz="4" w:space="0"/>
            </w:tcBorders>
            <w:noWrap w:val="0"/>
            <w:vAlign w:val="center"/>
          </w:tcPr>
          <w:p w14:paraId="485B6C84">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14:paraId="1BC5C04A">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场地后勤保障工作人员</w:t>
            </w:r>
          </w:p>
        </w:tc>
        <w:tc>
          <w:tcPr>
            <w:tcW w:w="4160" w:type="dxa"/>
            <w:tcBorders>
              <w:top w:val="single" w:color="000000" w:sz="4" w:space="0"/>
              <w:left w:val="single" w:color="000000" w:sz="4" w:space="0"/>
              <w:bottom w:val="single" w:color="000000" w:sz="4" w:space="0"/>
              <w:right w:val="single" w:color="000000" w:sz="4" w:space="0"/>
            </w:tcBorders>
            <w:noWrap w:val="0"/>
            <w:vAlign w:val="center"/>
          </w:tcPr>
          <w:p w14:paraId="0E01E88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保洁、安保人员</w:t>
            </w:r>
          </w:p>
        </w:tc>
        <w:tc>
          <w:tcPr>
            <w:tcW w:w="1063" w:type="dxa"/>
            <w:tcBorders>
              <w:top w:val="single" w:color="000000" w:sz="4" w:space="0"/>
              <w:left w:val="single" w:color="000000" w:sz="4" w:space="0"/>
              <w:bottom w:val="single" w:color="000000" w:sz="4" w:space="0"/>
              <w:right w:val="single" w:color="000000" w:sz="4" w:space="0"/>
            </w:tcBorders>
            <w:noWrap w:val="0"/>
            <w:vAlign w:val="center"/>
          </w:tcPr>
          <w:p w14:paraId="32D439F3">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7E9A3F0C">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r>
      <w:tr w14:paraId="1653F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151" w:type="dxa"/>
            <w:gridSpan w:val="5"/>
            <w:tcBorders>
              <w:top w:val="single" w:color="000000" w:sz="4" w:space="0"/>
              <w:left w:val="single" w:color="000000" w:sz="4" w:space="0"/>
              <w:bottom w:val="single" w:color="000000" w:sz="4" w:space="0"/>
              <w:right w:val="single" w:color="000000" w:sz="4" w:space="0"/>
            </w:tcBorders>
            <w:noWrap w:val="0"/>
            <w:vAlign w:val="center"/>
          </w:tcPr>
          <w:p w14:paraId="2D83EAD7">
            <w:pPr>
              <w:keepNext w:val="0"/>
              <w:keepLines w:val="0"/>
              <w:pageBreakBefore w:val="0"/>
              <w:widowControl/>
              <w:suppressLineNumbers w:val="0"/>
              <w:wordWrap/>
              <w:overflowPunct/>
              <w:topLinePunct w:val="0"/>
              <w:autoSpaceDE w:val="0"/>
              <w:autoSpaceDN w:val="0"/>
              <w:bidi w:val="0"/>
              <w:spacing w:line="460" w:lineRule="exact"/>
              <w:jc w:val="center"/>
              <w:textAlignment w:val="center"/>
              <w:rPr>
                <w:rFonts w:hint="eastAsia" w:ascii="宋体" w:hAnsi="宋体" w:eastAsia="宋体" w:cs="宋体"/>
                <w:i w:val="0"/>
                <w:iCs w:val="0"/>
                <w:color w:val="000000"/>
                <w:kern w:val="0"/>
                <w:sz w:val="24"/>
                <w:szCs w:val="24"/>
                <w:u w:val="single"/>
                <w:lang w:val="en-US" w:eastAsia="zh-CN" w:bidi="ar"/>
              </w:rPr>
            </w:pPr>
            <w:r>
              <w:rPr>
                <w:rFonts w:hint="eastAsia" w:ascii="宋体" w:hAnsi="宋体" w:eastAsia="宋体" w:cs="宋体"/>
                <w:i w:val="0"/>
                <w:iCs w:val="0"/>
                <w:color w:val="000000"/>
                <w:kern w:val="0"/>
                <w:sz w:val="24"/>
                <w:szCs w:val="24"/>
                <w:u w:val="single"/>
                <w:lang w:val="en-US" w:eastAsia="zh-CN" w:bidi="ar"/>
              </w:rPr>
              <w:t>50家企业以上活动，增加2块大型宣传展板、高清电子屏（4*8米）、1个龙门架、4套小型发光字、2套中型发光字，并搭建展台（不小于4m*8m）、屏幕（不小于4m*8m）</w:t>
            </w:r>
          </w:p>
        </w:tc>
      </w:tr>
      <w:tr w14:paraId="4708F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51" w:type="dxa"/>
            <w:gridSpan w:val="5"/>
            <w:tcBorders>
              <w:top w:val="nil"/>
              <w:left w:val="nil"/>
              <w:bottom w:val="nil"/>
              <w:right w:val="nil"/>
            </w:tcBorders>
            <w:noWrap w:val="0"/>
            <w:vAlign w:val="center"/>
          </w:tcPr>
          <w:p w14:paraId="63769AA0">
            <w:pPr>
              <w:keepNext w:val="0"/>
              <w:keepLines w:val="0"/>
              <w:pageBreakBefore w:val="0"/>
              <w:widowControl/>
              <w:suppressLineNumbers w:val="0"/>
              <w:wordWrap/>
              <w:overflowPunct/>
              <w:topLinePunct w:val="0"/>
              <w:autoSpaceDE w:val="0"/>
              <w:autoSpaceDN w:val="0"/>
              <w:bidi w:val="0"/>
              <w:spacing w:line="460" w:lineRule="exact"/>
              <w:jc w:val="left"/>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注：所有物料需在活动前一天布置完毕，规格须等于或高于表内要求。</w:t>
            </w:r>
          </w:p>
          <w:p w14:paraId="149C2107">
            <w:pPr>
              <w:keepNext w:val="0"/>
              <w:keepLines w:val="0"/>
              <w:pageBreakBefore w:val="0"/>
              <w:widowControl/>
              <w:suppressLineNumbers w:val="0"/>
              <w:wordWrap/>
              <w:overflowPunct/>
              <w:topLinePunct w:val="0"/>
              <w:autoSpaceDE w:val="0"/>
              <w:autoSpaceDN w:val="0"/>
              <w:bidi w:val="0"/>
              <w:spacing w:line="46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highlight w:val="none"/>
                <w:lang w:eastAsia="zh-CN"/>
              </w:rPr>
              <w:t>采购人</w:t>
            </w:r>
            <w:r>
              <w:rPr>
                <w:rFonts w:hint="eastAsia" w:ascii="宋体" w:hAnsi="宋体" w:eastAsia="宋体" w:cs="宋体"/>
                <w:color w:val="000000"/>
                <w:sz w:val="24"/>
                <w:szCs w:val="24"/>
                <w:highlight w:val="none"/>
                <w:lang w:val="en-US" w:eastAsia="zh-CN"/>
              </w:rPr>
              <w:t>可根据天气及场地条件对需求清单进行调整。</w:t>
            </w:r>
          </w:p>
        </w:tc>
      </w:tr>
    </w:tbl>
    <w:p w14:paraId="3D7E902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460" w:lineRule="exact"/>
        <w:ind w:left="0" w:firstLine="482" w:firstLineChars="200"/>
        <w:jc w:val="both"/>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三、其他要求</w:t>
      </w:r>
    </w:p>
    <w:p w14:paraId="7906025C">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default" w:ascii="宋体" w:hAnsi="宋体" w:eastAsia="宋体" w:cs="宋体"/>
          <w:sz w:val="24"/>
          <w:szCs w:val="24"/>
        </w:rPr>
        <w:t>企业与岗位筛选</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每场活动</w:t>
      </w:r>
      <w:r>
        <w:rPr>
          <w:rFonts w:hint="eastAsia" w:ascii="宋体" w:hAnsi="宋体" w:eastAsia="宋体" w:cs="宋体"/>
          <w:color w:val="000000"/>
          <w:sz w:val="24"/>
          <w:szCs w:val="24"/>
          <w:lang w:val="en-US" w:eastAsia="zh-CN"/>
        </w:rPr>
        <w:t>按照</w:t>
      </w:r>
      <w:r>
        <w:rPr>
          <w:rFonts w:hint="eastAsia" w:ascii="宋体" w:hAnsi="宋体" w:eastAsia="宋体" w:cs="宋体"/>
          <w:color w:val="000000"/>
          <w:sz w:val="24"/>
          <w:szCs w:val="24"/>
        </w:rPr>
        <w:t>供需对接准、人岗匹配高</w:t>
      </w:r>
      <w:r>
        <w:rPr>
          <w:rFonts w:hint="eastAsia" w:ascii="宋体" w:hAnsi="宋体" w:eastAsia="宋体" w:cs="宋体"/>
          <w:color w:val="000000"/>
          <w:sz w:val="24"/>
          <w:szCs w:val="24"/>
          <w:lang w:val="en-US" w:eastAsia="zh-CN"/>
        </w:rPr>
        <w:t>的要求</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中标人</w:t>
      </w:r>
      <w:r>
        <w:rPr>
          <w:rFonts w:hint="eastAsia" w:ascii="宋体" w:hAnsi="宋体" w:eastAsia="宋体" w:cs="宋体"/>
          <w:color w:val="000000"/>
          <w:sz w:val="24"/>
          <w:szCs w:val="24"/>
        </w:rPr>
        <w:t>根据不同的活动主题，邀约</w:t>
      </w:r>
      <w:r>
        <w:rPr>
          <w:rFonts w:hint="eastAsia" w:ascii="宋体" w:hAnsi="宋体" w:eastAsia="宋体" w:cs="宋体"/>
          <w:color w:val="000000"/>
          <w:sz w:val="24"/>
          <w:szCs w:val="24"/>
          <w:lang w:val="en-US" w:eastAsia="zh-CN"/>
        </w:rPr>
        <w:t>相关</w:t>
      </w:r>
      <w:r>
        <w:rPr>
          <w:rFonts w:hint="eastAsia" w:ascii="宋体" w:hAnsi="宋体" w:eastAsia="宋体" w:cs="宋体"/>
          <w:color w:val="000000"/>
          <w:sz w:val="24"/>
          <w:szCs w:val="24"/>
        </w:rPr>
        <w:t>企业、筛选相应岗位，确保企业和岗位信息真实有效,于活动举办前</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个工作日</w:t>
      </w:r>
      <w:r>
        <w:rPr>
          <w:rFonts w:hint="eastAsia" w:ascii="宋体" w:hAnsi="宋体" w:eastAsia="宋体" w:cs="宋体"/>
          <w:color w:val="000000"/>
          <w:sz w:val="24"/>
          <w:szCs w:val="24"/>
          <w:lang w:val="en-US" w:eastAsia="zh-CN"/>
        </w:rPr>
        <w:t>在洪城就业通平台提交采购人审核</w:t>
      </w:r>
      <w:r>
        <w:rPr>
          <w:rFonts w:hint="eastAsia" w:ascii="宋体" w:hAnsi="宋体" w:eastAsia="宋体" w:cs="宋体"/>
          <w:color w:val="000000"/>
          <w:sz w:val="24"/>
          <w:szCs w:val="24"/>
        </w:rPr>
        <w:t>；</w:t>
      </w:r>
    </w:p>
    <w:p w14:paraId="486F9289">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宣传投入。</w:t>
      </w:r>
      <w:r>
        <w:rPr>
          <w:rFonts w:hint="eastAsia" w:ascii="宋体" w:hAnsi="宋体" w:eastAsia="宋体" w:cs="宋体"/>
          <w:color w:val="000000"/>
          <w:sz w:val="24"/>
          <w:szCs w:val="24"/>
        </w:rPr>
        <w:t>在招聘活动开展前期，</w:t>
      </w:r>
      <w:r>
        <w:rPr>
          <w:rFonts w:hint="eastAsia" w:ascii="宋体" w:hAnsi="宋体" w:eastAsia="宋体" w:cs="宋体"/>
          <w:color w:val="000000"/>
          <w:sz w:val="24"/>
          <w:szCs w:val="24"/>
          <w:lang w:val="en-US" w:eastAsia="zh-CN"/>
        </w:rPr>
        <w:t>中标人需</w:t>
      </w:r>
      <w:r>
        <w:rPr>
          <w:rFonts w:hint="eastAsia" w:ascii="宋体" w:hAnsi="宋体" w:eastAsia="宋体" w:cs="宋体"/>
          <w:color w:val="000000"/>
          <w:sz w:val="24"/>
          <w:szCs w:val="24"/>
        </w:rPr>
        <w:t>在新闻媒体、地铁广告、电梯广告等宣传渠道进行广告投放，提升活动影响力和覆盖面，吸引更多人群参与。全年宣传推广费用不低于中标总价</w:t>
      </w:r>
      <w:r>
        <w:rPr>
          <w:rFonts w:hint="eastAsia" w:ascii="宋体" w:hAnsi="宋体" w:eastAsia="宋体" w:cs="宋体"/>
          <w:sz w:val="24"/>
          <w:szCs w:val="24"/>
          <w:highlight w:val="none"/>
          <w:lang w:eastAsia="zh-CN" w:bidi="ar-SA"/>
        </w:rPr>
        <w:t>（</w:t>
      </w:r>
      <w:r>
        <w:rPr>
          <w:rFonts w:hint="eastAsia" w:ascii="宋体" w:hAnsi="宋体" w:eastAsia="宋体" w:cs="宋体"/>
          <w:sz w:val="24"/>
          <w:szCs w:val="24"/>
          <w:highlight w:val="none"/>
          <w:lang w:val="en-US" w:eastAsia="zh-CN" w:bidi="ar-SA"/>
        </w:rPr>
        <w:t>除掉绩效考核费用</w:t>
      </w:r>
      <w:r>
        <w:rPr>
          <w:rFonts w:hint="eastAsia" w:ascii="宋体" w:hAnsi="宋体" w:eastAsia="宋体" w:cs="宋体"/>
          <w:sz w:val="24"/>
          <w:szCs w:val="24"/>
          <w:highlight w:val="none"/>
          <w:lang w:eastAsia="zh-CN" w:bidi="ar-SA"/>
        </w:rPr>
        <w:t>）</w:t>
      </w:r>
      <w:r>
        <w:rPr>
          <w:rFonts w:hint="eastAsia" w:ascii="宋体" w:hAnsi="宋体" w:eastAsia="宋体" w:cs="宋体"/>
          <w:color w:val="000000"/>
          <w:sz w:val="24"/>
          <w:szCs w:val="24"/>
          <w:highlight w:val="none"/>
        </w:rPr>
        <w:t>的1</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含</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w:t>
      </w:r>
    </w:p>
    <w:p w14:paraId="2A0B36B0">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default" w:ascii="宋体" w:hAnsi="宋体" w:eastAsia="宋体" w:cs="宋体"/>
          <w:color w:val="000000"/>
          <w:sz w:val="24"/>
          <w:szCs w:val="24"/>
        </w:rPr>
        <w:t>免费服务要求。</w:t>
      </w:r>
      <w:r>
        <w:rPr>
          <w:rFonts w:hint="eastAsia" w:ascii="宋体" w:hAnsi="宋体" w:eastAsia="宋体" w:cs="宋体"/>
          <w:sz w:val="24"/>
          <w:szCs w:val="24"/>
          <w:lang w:val="en-US" w:eastAsia="zh-CN"/>
        </w:rPr>
        <w:t>每场活动中标人不得收取用人单位、求职个人任何费用。</w:t>
      </w:r>
    </w:p>
    <w:p w14:paraId="59C55321">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default" w:ascii="宋体" w:hAnsi="宋体" w:eastAsia="宋体" w:cs="宋体"/>
          <w:color w:val="000000"/>
          <w:sz w:val="24"/>
          <w:szCs w:val="24"/>
        </w:rPr>
      </w:pPr>
      <w:r>
        <w:rPr>
          <w:rFonts w:hint="eastAsia" w:ascii="宋体" w:hAnsi="宋体" w:eastAsia="宋体" w:cs="宋体"/>
          <w:color w:val="000000"/>
          <w:sz w:val="24"/>
          <w:szCs w:val="24"/>
          <w:lang w:val="en-US" w:eastAsia="zh-CN"/>
        </w:rPr>
        <w:t>4.服务</w:t>
      </w:r>
      <w:r>
        <w:rPr>
          <w:rFonts w:hint="default" w:ascii="宋体" w:hAnsi="宋体" w:eastAsia="宋体" w:cs="宋体"/>
          <w:color w:val="000000"/>
          <w:sz w:val="24"/>
          <w:szCs w:val="24"/>
        </w:rPr>
        <w:t>人员要求。为保障项目高效推进，中标人需安排1名项目负责人在南昌市人社大厦驻点办公，驻点人员需在签订合同后3个工作日内到位；驻点期间需严格执行采购人考勤制度及工作纪律，服从采购人工作安排。</w:t>
      </w:r>
    </w:p>
    <w:p w14:paraId="0229CB93">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default" w:ascii="宋体" w:hAnsi="宋体" w:eastAsia="宋体" w:cs="宋体"/>
          <w:color w:val="000000"/>
          <w:sz w:val="24"/>
          <w:szCs w:val="24"/>
        </w:rPr>
        <w:t>安全责任承担。活动期间若发生各类安全事故，相关责任及后续处置费用均由中标人全额承担；中标人需建立应急报告机制，明确人员疏散路线及集合点位，确保紧急情况可快速响应处置</w:t>
      </w:r>
      <w:r>
        <w:rPr>
          <w:rFonts w:hint="eastAsia" w:ascii="宋体" w:hAnsi="宋体" w:eastAsia="宋体" w:cs="宋体"/>
          <w:b w:val="0"/>
          <w:bCs w:val="0"/>
          <w:color w:val="000000"/>
          <w:sz w:val="24"/>
          <w:szCs w:val="24"/>
          <w:lang w:val="en-US" w:eastAsia="zh-CN"/>
        </w:rPr>
        <w:t>；</w:t>
      </w:r>
      <w:r>
        <w:rPr>
          <w:rFonts w:hint="default" w:ascii="宋体" w:hAnsi="宋体" w:eastAsia="宋体" w:cs="宋体"/>
          <w:color w:val="000000"/>
          <w:sz w:val="24"/>
          <w:szCs w:val="24"/>
        </w:rPr>
        <w:t>​</w:t>
      </w:r>
    </w:p>
    <w:p w14:paraId="21539CDC">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color w:val="000000"/>
          <w:sz w:val="24"/>
          <w:szCs w:val="24"/>
          <w:lang w:val="en-US" w:eastAsia="zh-CN"/>
        </w:rPr>
      </w:pPr>
      <w:r>
        <w:rPr>
          <w:rFonts w:hint="eastAsia" w:ascii="宋体" w:hAnsi="宋体" w:eastAsia="宋体" w:cs="宋体"/>
          <w:sz w:val="24"/>
          <w:szCs w:val="24"/>
          <w:lang w:val="en-US" w:eastAsia="zh-CN"/>
        </w:rPr>
        <w:t>6.其它</w:t>
      </w:r>
      <w:r>
        <w:rPr>
          <w:rFonts w:hint="default" w:ascii="宋体" w:hAnsi="宋体" w:eastAsia="宋体" w:cs="宋体"/>
          <w:sz w:val="24"/>
          <w:szCs w:val="24"/>
        </w:rPr>
        <w:t>工作配合。</w:t>
      </w:r>
      <w:r>
        <w:rPr>
          <w:rFonts w:hint="default" w:ascii="宋体" w:hAnsi="宋体" w:eastAsia="宋体" w:cs="宋体"/>
          <w:color w:val="000000"/>
          <w:sz w:val="24"/>
          <w:szCs w:val="24"/>
        </w:rPr>
        <w:t>中标人需无条件配合采购人开展非本项目范畴内的招聘活动企业邀约、岗位征集等工作，保障人社系统招聘服务整体成效。</w:t>
      </w:r>
    </w:p>
    <w:p w14:paraId="629BF64C">
      <w:pPr>
        <w:keepNext w:val="0"/>
        <w:keepLines w:val="0"/>
        <w:pageBreakBefore w:val="0"/>
        <w:widowControl w:val="0"/>
        <w:numPr>
          <w:ilvl w:val="0"/>
          <w:numId w:val="0"/>
        </w:numPr>
        <w:kinsoku/>
        <w:wordWrap/>
        <w:overflowPunct/>
        <w:topLinePunct w:val="0"/>
        <w:autoSpaceDE w:val="0"/>
        <w:autoSpaceDN w:val="0"/>
        <w:bidi w:val="0"/>
        <w:adjustRightInd/>
        <w:snapToGrid/>
        <w:spacing w:before="0"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color w:val="000000"/>
          <w:sz w:val="24"/>
          <w:szCs w:val="24"/>
          <w:lang w:val="en-US" w:eastAsia="zh-CN"/>
        </w:rPr>
        <w:t>二、考核要求</w:t>
      </w:r>
    </w:p>
    <w:p w14:paraId="41AC164C">
      <w:pPr>
        <w:keepNext w:val="0"/>
        <w:keepLines w:val="0"/>
        <w:pageBreakBefore w:val="0"/>
        <w:widowControl/>
        <w:kinsoku/>
        <w:wordWrap/>
        <w:overflowPunct/>
        <w:topLinePunct w:val="0"/>
        <w:bidi w:val="0"/>
        <w:adjustRightInd w:val="0"/>
        <w:snapToGrid w:val="0"/>
        <w:spacing w:line="500" w:lineRule="exact"/>
        <w:ind w:firstLine="480" w:firstLineChars="200"/>
        <w:textAlignment w:val="auto"/>
        <w:rPr>
          <w:rFonts w:hint="default" w:ascii="宋体" w:hAnsi="宋体" w:eastAsia="宋体" w:cs="宋体"/>
          <w:color w:val="000000"/>
          <w:sz w:val="24"/>
          <w:szCs w:val="24"/>
        </w:rPr>
      </w:pPr>
      <w:r>
        <w:rPr>
          <w:rFonts w:hint="eastAsia" w:ascii="宋体" w:hAnsi="宋体" w:eastAsia="宋体" w:cs="宋体"/>
          <w:b w:val="0"/>
          <w:bCs w:val="0"/>
          <w:sz w:val="24"/>
          <w:szCs w:val="24"/>
        </w:rPr>
        <w:t>（一）</w:t>
      </w:r>
      <w:r>
        <w:rPr>
          <w:rFonts w:hint="default" w:ascii="宋体" w:hAnsi="宋体" w:eastAsia="宋体" w:cs="宋体"/>
          <w:color w:val="000000"/>
          <w:sz w:val="24"/>
          <w:szCs w:val="24"/>
        </w:rPr>
        <w:t>基础指标考核</w:t>
      </w:r>
    </w:p>
    <w:p w14:paraId="7FF16247">
      <w:pPr>
        <w:pStyle w:val="2"/>
        <w:pageBreakBefore w:val="0"/>
        <w:widowControl/>
        <w:wordWrap/>
        <w:overflowPunct/>
        <w:topLinePunct w:val="0"/>
        <w:autoSpaceDE/>
        <w:autoSpaceDN/>
        <w:bidi w:val="0"/>
        <w:adjustRightInd w:val="0"/>
        <w:snapToGrid w:val="0"/>
        <w:spacing w:before="0" w:after="0" w:line="500" w:lineRule="exact"/>
        <w:ind w:firstLine="480" w:firstLineChars="200"/>
        <w:rPr>
          <w:rFonts w:hint="eastAsia"/>
        </w:rPr>
      </w:pPr>
      <w:r>
        <w:rPr>
          <w:rFonts w:hint="default" w:ascii="宋体" w:hAnsi="宋体" w:eastAsia="宋体" w:cs="宋体"/>
          <w:b w:val="0"/>
          <w:bCs w:val="0"/>
          <w:sz w:val="24"/>
          <w:szCs w:val="24"/>
          <w:lang w:val="en-US" w:eastAsia="zh-CN"/>
        </w:rPr>
        <w:t>基础指标考核针对活动执行的核心要求开展，考核扣款金额 = 单场活动预算×对应扣减比例，具体考核标准如下：</w:t>
      </w:r>
    </w:p>
    <w:p w14:paraId="6EEA1183">
      <w:pPr>
        <w:keepNext w:val="0"/>
        <w:keepLines w:val="0"/>
        <w:pageBreakBefore w:val="0"/>
        <w:widowControl/>
        <w:numPr>
          <w:ilvl w:val="0"/>
          <w:numId w:val="0"/>
        </w:numPr>
        <w:wordWrap/>
        <w:overflowPunct/>
        <w:topLinePunct w:val="0"/>
        <w:autoSpaceDE/>
        <w:autoSpaceDN/>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w:t>
      </w:r>
      <w:r>
        <w:rPr>
          <w:rFonts w:hint="default" w:ascii="宋体" w:hAnsi="宋体" w:eastAsia="宋体" w:cs="宋体"/>
          <w:b w:val="0"/>
          <w:bCs w:val="0"/>
          <w:sz w:val="24"/>
          <w:szCs w:val="24"/>
          <w:lang w:val="en-US" w:eastAsia="zh-CN"/>
        </w:rPr>
        <w:t>企业到场率考核。单场活动</w:t>
      </w:r>
      <w:r>
        <w:rPr>
          <w:rFonts w:hint="eastAsia" w:ascii="宋体" w:hAnsi="宋体" w:eastAsia="宋体" w:cs="宋体"/>
          <w:b w:val="0"/>
          <w:bCs w:val="0"/>
          <w:sz w:val="24"/>
          <w:szCs w:val="24"/>
          <w:lang w:val="en-US" w:eastAsia="zh-CN"/>
        </w:rPr>
        <w:t>单位代表</w:t>
      </w:r>
      <w:r>
        <w:rPr>
          <w:rFonts w:hint="default" w:ascii="宋体" w:hAnsi="宋体" w:eastAsia="宋体" w:cs="宋体"/>
          <w:b w:val="0"/>
          <w:bCs w:val="0"/>
          <w:sz w:val="24"/>
          <w:szCs w:val="24"/>
          <w:lang w:val="en-US" w:eastAsia="zh-CN"/>
        </w:rPr>
        <w:t>到场率</w:t>
      </w:r>
      <w:r>
        <w:rPr>
          <w:rFonts w:hint="eastAsia" w:ascii="宋体" w:hAnsi="宋体" w:eastAsia="宋体" w:cs="宋体"/>
          <w:b w:val="0"/>
          <w:bCs w:val="0"/>
          <w:sz w:val="24"/>
          <w:szCs w:val="24"/>
          <w:lang w:val="en-US" w:eastAsia="zh-CN"/>
        </w:rPr>
        <w:t>小于80%的，扣除单场活动合同价；单位代表</w:t>
      </w:r>
      <w:r>
        <w:rPr>
          <w:rFonts w:hint="default" w:ascii="宋体" w:hAnsi="宋体" w:eastAsia="宋体" w:cs="宋体"/>
          <w:b w:val="0"/>
          <w:bCs w:val="0"/>
          <w:sz w:val="24"/>
          <w:szCs w:val="24"/>
          <w:lang w:val="en-US" w:eastAsia="zh-CN"/>
        </w:rPr>
        <w:t>到场率</w:t>
      </w:r>
      <w:r>
        <w:rPr>
          <w:rFonts w:hint="eastAsia" w:ascii="宋体" w:hAnsi="宋体" w:eastAsia="宋体" w:cs="宋体"/>
          <w:b w:val="0"/>
          <w:bCs w:val="0"/>
          <w:sz w:val="24"/>
          <w:szCs w:val="24"/>
          <w:lang w:val="en-US" w:eastAsia="zh-CN"/>
        </w:rPr>
        <w:t>达到95%（含）的，不扣减</w:t>
      </w:r>
      <w:r>
        <w:rPr>
          <w:rFonts w:hint="default" w:ascii="宋体" w:hAnsi="宋体" w:eastAsia="宋体" w:cs="宋体"/>
          <w:b w:val="0"/>
          <w:bCs w:val="0"/>
          <w:sz w:val="24"/>
          <w:szCs w:val="24"/>
          <w:lang w:val="en-US" w:eastAsia="zh-CN"/>
        </w:rPr>
        <w:t>；到场率</w:t>
      </w:r>
      <w:r>
        <w:rPr>
          <w:rFonts w:hint="eastAsia" w:ascii="宋体" w:hAnsi="宋体" w:eastAsia="宋体" w:cs="宋体"/>
          <w:b w:val="0"/>
          <w:bCs w:val="0"/>
          <w:sz w:val="24"/>
          <w:szCs w:val="24"/>
          <w:lang w:val="en-US" w:eastAsia="zh-CN"/>
        </w:rPr>
        <w:t>达到</w:t>
      </w:r>
      <w:r>
        <w:rPr>
          <w:rFonts w:hint="default" w:ascii="宋体" w:hAnsi="宋体" w:eastAsia="宋体" w:cs="宋体"/>
          <w:b w:val="0"/>
          <w:bCs w:val="0"/>
          <w:sz w:val="24"/>
          <w:szCs w:val="24"/>
          <w:lang w:val="en-US" w:eastAsia="zh-CN"/>
        </w:rPr>
        <w:t>80%</w:t>
      </w:r>
      <w:r>
        <w:rPr>
          <w:rFonts w:hint="eastAsia" w:ascii="宋体" w:hAnsi="宋体" w:eastAsia="宋体" w:cs="宋体"/>
          <w:b w:val="0"/>
          <w:bCs w:val="0"/>
          <w:sz w:val="24"/>
          <w:szCs w:val="24"/>
          <w:lang w:val="en-US" w:eastAsia="zh-CN"/>
        </w:rPr>
        <w:t>不足95</w:t>
      </w:r>
      <w:r>
        <w:rPr>
          <w:rFonts w:hint="default" w:ascii="宋体" w:hAnsi="宋体" w:eastAsia="宋体" w:cs="宋体"/>
          <w:b w:val="0"/>
          <w:bCs w:val="0"/>
          <w:sz w:val="24"/>
          <w:szCs w:val="24"/>
          <w:lang w:val="en-US" w:eastAsia="zh-CN"/>
        </w:rPr>
        <w:t>%</w:t>
      </w:r>
      <w:r>
        <w:rPr>
          <w:rFonts w:hint="eastAsia" w:ascii="宋体" w:hAnsi="宋体" w:eastAsia="宋体" w:cs="宋体"/>
          <w:b w:val="0"/>
          <w:bCs w:val="0"/>
          <w:sz w:val="24"/>
          <w:szCs w:val="24"/>
          <w:lang w:val="en-US" w:eastAsia="zh-CN"/>
        </w:rPr>
        <w:t>的</w:t>
      </w:r>
      <w:r>
        <w:rPr>
          <w:rFonts w:hint="default" w:ascii="宋体" w:hAnsi="宋体" w:eastAsia="宋体" w:cs="宋体"/>
          <w:b w:val="0"/>
          <w:bCs w:val="0"/>
          <w:sz w:val="24"/>
          <w:szCs w:val="24"/>
          <w:lang w:val="en-US" w:eastAsia="zh-CN"/>
        </w:rPr>
        <w:t>，</w:t>
      </w:r>
      <w:r>
        <w:rPr>
          <w:rFonts w:hint="eastAsia" w:ascii="宋体" w:hAnsi="宋体" w:eastAsia="宋体" w:cs="宋体"/>
          <w:b w:val="0"/>
          <w:bCs w:val="0"/>
          <w:sz w:val="24"/>
          <w:szCs w:val="24"/>
          <w:lang w:val="en-US" w:eastAsia="zh-CN"/>
        </w:rPr>
        <w:t>按</w:t>
      </w:r>
      <w:r>
        <w:rPr>
          <w:rFonts w:hint="default" w:ascii="宋体" w:hAnsi="宋体" w:eastAsia="宋体" w:cs="宋体"/>
          <w:b w:val="0"/>
          <w:bCs w:val="0"/>
          <w:sz w:val="24"/>
          <w:szCs w:val="24"/>
          <w:lang w:val="en-US" w:eastAsia="zh-CN"/>
        </w:rPr>
        <w:t>到场</w:t>
      </w:r>
      <w:r>
        <w:rPr>
          <w:rFonts w:hint="eastAsia" w:ascii="宋体" w:hAnsi="宋体" w:eastAsia="宋体" w:cs="宋体"/>
          <w:b w:val="0"/>
          <w:bCs w:val="0"/>
          <w:sz w:val="24"/>
          <w:szCs w:val="24"/>
          <w:lang w:val="en-US" w:eastAsia="zh-CN"/>
        </w:rPr>
        <w:t>比例结算</w:t>
      </w:r>
      <w:r>
        <w:rPr>
          <w:rFonts w:hint="default" w:ascii="宋体" w:hAnsi="宋体" w:eastAsia="宋体" w:cs="宋体"/>
          <w:b w:val="0"/>
          <w:bCs w:val="0"/>
          <w:sz w:val="24"/>
          <w:szCs w:val="24"/>
          <w:lang w:val="en-US" w:eastAsia="zh-CN"/>
        </w:rPr>
        <w:t>单场</w:t>
      </w:r>
      <w:r>
        <w:rPr>
          <w:rFonts w:hint="eastAsia" w:ascii="宋体" w:hAnsi="宋体" w:eastAsia="宋体" w:cs="宋体"/>
          <w:b w:val="0"/>
          <w:bCs w:val="0"/>
          <w:sz w:val="24"/>
          <w:szCs w:val="24"/>
          <w:lang w:val="en-US" w:eastAsia="zh-CN"/>
        </w:rPr>
        <w:t>活动合同价</w:t>
      </w:r>
      <w:r>
        <w:rPr>
          <w:rFonts w:hint="default" w:ascii="宋体" w:hAnsi="宋体" w:eastAsia="宋体" w:cs="宋体"/>
          <w:b w:val="0"/>
          <w:bCs w:val="0"/>
          <w:sz w:val="24"/>
          <w:szCs w:val="24"/>
          <w:lang w:val="en-US" w:eastAsia="zh-CN"/>
        </w:rPr>
        <w:t>。​</w:t>
      </w:r>
    </w:p>
    <w:p w14:paraId="7803A237">
      <w:pPr>
        <w:keepNext w:val="0"/>
        <w:keepLines w:val="0"/>
        <w:pageBreakBefore w:val="0"/>
        <w:widowControl/>
        <w:numPr>
          <w:ilvl w:val="0"/>
          <w:numId w:val="0"/>
        </w:numPr>
        <w:wordWrap/>
        <w:overflowPunct/>
        <w:topLinePunct w:val="0"/>
        <w:autoSpaceDE/>
        <w:autoSpaceDN/>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w:t>
      </w:r>
      <w:r>
        <w:rPr>
          <w:rFonts w:hint="default" w:ascii="宋体" w:hAnsi="宋体" w:eastAsia="宋体" w:cs="宋体"/>
          <w:b w:val="0"/>
          <w:bCs w:val="0"/>
          <w:sz w:val="24"/>
          <w:szCs w:val="24"/>
          <w:lang w:val="en-US" w:eastAsia="zh-CN"/>
        </w:rPr>
        <w:t>在线简历考核。企业在活动结束后2周内，</w:t>
      </w:r>
      <w:r>
        <w:rPr>
          <w:rFonts w:hint="eastAsia" w:ascii="宋体" w:hAnsi="宋体" w:eastAsia="宋体" w:cs="宋体"/>
          <w:b w:val="0"/>
          <w:bCs w:val="0"/>
          <w:sz w:val="24"/>
          <w:szCs w:val="24"/>
          <w:lang w:val="en-US" w:eastAsia="zh-CN"/>
        </w:rPr>
        <w:t>要</w:t>
      </w:r>
      <w:r>
        <w:rPr>
          <w:rFonts w:hint="default" w:ascii="宋体" w:hAnsi="宋体" w:eastAsia="宋体" w:cs="宋体"/>
          <w:b w:val="0"/>
          <w:bCs w:val="0"/>
          <w:sz w:val="24"/>
          <w:szCs w:val="24"/>
          <w:lang w:val="en-US" w:eastAsia="zh-CN"/>
        </w:rPr>
        <w:t>实现活动当日接收简历100%在线查看，单场活动</w:t>
      </w:r>
      <w:r>
        <w:rPr>
          <w:rFonts w:hint="eastAsia" w:ascii="宋体" w:hAnsi="宋体" w:eastAsia="宋体" w:cs="宋体"/>
          <w:b w:val="0"/>
          <w:bCs w:val="0"/>
          <w:sz w:val="24"/>
          <w:szCs w:val="24"/>
          <w:lang w:val="en-US" w:eastAsia="zh-CN"/>
        </w:rPr>
        <w:t>单位简历查看</w:t>
      </w:r>
      <w:r>
        <w:rPr>
          <w:rFonts w:hint="default" w:ascii="宋体" w:hAnsi="宋体" w:eastAsia="宋体" w:cs="宋体"/>
          <w:b w:val="0"/>
          <w:bCs w:val="0"/>
          <w:sz w:val="24"/>
          <w:szCs w:val="24"/>
          <w:lang w:val="en-US" w:eastAsia="zh-CN"/>
        </w:rPr>
        <w:t>率</w:t>
      </w:r>
      <w:r>
        <w:rPr>
          <w:rFonts w:hint="eastAsia" w:ascii="宋体" w:hAnsi="宋体" w:eastAsia="宋体" w:cs="宋体"/>
          <w:b w:val="0"/>
          <w:bCs w:val="0"/>
          <w:sz w:val="24"/>
          <w:szCs w:val="24"/>
          <w:lang w:val="en-US" w:eastAsia="zh-CN"/>
        </w:rPr>
        <w:t>小于80%的，扣除单场活动合同价；简历查看</w:t>
      </w:r>
      <w:r>
        <w:rPr>
          <w:rFonts w:hint="default" w:ascii="宋体" w:hAnsi="宋体" w:eastAsia="宋体" w:cs="宋体"/>
          <w:b w:val="0"/>
          <w:bCs w:val="0"/>
          <w:sz w:val="24"/>
          <w:szCs w:val="24"/>
          <w:lang w:val="en-US" w:eastAsia="zh-CN"/>
        </w:rPr>
        <w:t>率</w:t>
      </w:r>
      <w:r>
        <w:rPr>
          <w:rFonts w:hint="eastAsia" w:ascii="宋体" w:hAnsi="宋体" w:eastAsia="宋体" w:cs="宋体"/>
          <w:b w:val="0"/>
          <w:bCs w:val="0"/>
          <w:sz w:val="24"/>
          <w:szCs w:val="24"/>
          <w:lang w:val="en-US" w:eastAsia="zh-CN"/>
        </w:rPr>
        <w:t>达到95%（含）的，不扣减</w:t>
      </w:r>
      <w:r>
        <w:rPr>
          <w:rFonts w:hint="default" w:ascii="宋体" w:hAnsi="宋体" w:eastAsia="宋体" w:cs="宋体"/>
          <w:b w:val="0"/>
          <w:bCs w:val="0"/>
          <w:sz w:val="24"/>
          <w:szCs w:val="24"/>
          <w:lang w:val="en-US" w:eastAsia="zh-CN"/>
        </w:rPr>
        <w:t>；</w:t>
      </w:r>
      <w:r>
        <w:rPr>
          <w:rFonts w:hint="eastAsia" w:ascii="宋体" w:hAnsi="宋体" w:eastAsia="宋体" w:cs="宋体"/>
          <w:b w:val="0"/>
          <w:bCs w:val="0"/>
          <w:sz w:val="24"/>
          <w:szCs w:val="24"/>
          <w:lang w:val="en-US" w:eastAsia="zh-CN"/>
        </w:rPr>
        <w:t>查看</w:t>
      </w:r>
      <w:r>
        <w:rPr>
          <w:rFonts w:hint="default" w:ascii="宋体" w:hAnsi="宋体" w:eastAsia="宋体" w:cs="宋体"/>
          <w:b w:val="0"/>
          <w:bCs w:val="0"/>
          <w:sz w:val="24"/>
          <w:szCs w:val="24"/>
          <w:lang w:val="en-US" w:eastAsia="zh-CN"/>
        </w:rPr>
        <w:t>率</w:t>
      </w:r>
      <w:r>
        <w:rPr>
          <w:rFonts w:hint="eastAsia" w:ascii="宋体" w:hAnsi="宋体" w:eastAsia="宋体" w:cs="宋体"/>
          <w:b w:val="0"/>
          <w:bCs w:val="0"/>
          <w:sz w:val="24"/>
          <w:szCs w:val="24"/>
          <w:lang w:val="en-US" w:eastAsia="zh-CN"/>
        </w:rPr>
        <w:t>达到</w:t>
      </w:r>
      <w:r>
        <w:rPr>
          <w:rFonts w:hint="default" w:ascii="宋体" w:hAnsi="宋体" w:eastAsia="宋体" w:cs="宋体"/>
          <w:b w:val="0"/>
          <w:bCs w:val="0"/>
          <w:sz w:val="24"/>
          <w:szCs w:val="24"/>
          <w:lang w:val="en-US" w:eastAsia="zh-CN"/>
        </w:rPr>
        <w:t>80%</w:t>
      </w:r>
      <w:r>
        <w:rPr>
          <w:rFonts w:hint="eastAsia" w:ascii="宋体" w:hAnsi="宋体" w:eastAsia="宋体" w:cs="宋体"/>
          <w:b w:val="0"/>
          <w:bCs w:val="0"/>
          <w:sz w:val="24"/>
          <w:szCs w:val="24"/>
          <w:lang w:val="en-US" w:eastAsia="zh-CN"/>
        </w:rPr>
        <w:t>不足95</w:t>
      </w:r>
      <w:r>
        <w:rPr>
          <w:rFonts w:hint="default" w:ascii="宋体" w:hAnsi="宋体" w:eastAsia="宋体" w:cs="宋体"/>
          <w:b w:val="0"/>
          <w:bCs w:val="0"/>
          <w:sz w:val="24"/>
          <w:szCs w:val="24"/>
          <w:lang w:val="en-US" w:eastAsia="zh-CN"/>
        </w:rPr>
        <w:t>%</w:t>
      </w:r>
      <w:r>
        <w:rPr>
          <w:rFonts w:hint="eastAsia" w:ascii="宋体" w:hAnsi="宋体" w:eastAsia="宋体" w:cs="宋体"/>
          <w:b w:val="0"/>
          <w:bCs w:val="0"/>
          <w:sz w:val="24"/>
          <w:szCs w:val="24"/>
          <w:lang w:val="en-US" w:eastAsia="zh-CN"/>
        </w:rPr>
        <w:t>的</w:t>
      </w:r>
      <w:r>
        <w:rPr>
          <w:rFonts w:hint="default" w:ascii="宋体" w:hAnsi="宋体" w:eastAsia="宋体" w:cs="宋体"/>
          <w:b w:val="0"/>
          <w:bCs w:val="0"/>
          <w:sz w:val="24"/>
          <w:szCs w:val="24"/>
          <w:lang w:val="en-US" w:eastAsia="zh-CN"/>
        </w:rPr>
        <w:t>，</w:t>
      </w:r>
      <w:r>
        <w:rPr>
          <w:rFonts w:hint="eastAsia" w:ascii="宋体" w:hAnsi="宋体" w:eastAsia="宋体" w:cs="宋体"/>
          <w:b w:val="0"/>
          <w:bCs w:val="0"/>
          <w:sz w:val="24"/>
          <w:szCs w:val="24"/>
          <w:lang w:val="en-US" w:eastAsia="zh-CN"/>
        </w:rPr>
        <w:t>按查看</w:t>
      </w:r>
      <w:r>
        <w:rPr>
          <w:rFonts w:hint="default" w:ascii="宋体" w:hAnsi="宋体" w:eastAsia="宋体" w:cs="宋体"/>
          <w:b w:val="0"/>
          <w:bCs w:val="0"/>
          <w:sz w:val="24"/>
          <w:szCs w:val="24"/>
          <w:lang w:val="en-US" w:eastAsia="zh-CN"/>
        </w:rPr>
        <w:t>率</w:t>
      </w:r>
      <w:r>
        <w:rPr>
          <w:rFonts w:hint="eastAsia" w:ascii="宋体" w:hAnsi="宋体" w:eastAsia="宋体" w:cs="宋体"/>
          <w:b w:val="0"/>
          <w:bCs w:val="0"/>
          <w:sz w:val="24"/>
          <w:szCs w:val="24"/>
          <w:lang w:val="en-US" w:eastAsia="zh-CN"/>
        </w:rPr>
        <w:t>结算</w:t>
      </w:r>
      <w:r>
        <w:rPr>
          <w:rFonts w:hint="default" w:ascii="宋体" w:hAnsi="宋体" w:eastAsia="宋体" w:cs="宋体"/>
          <w:b w:val="0"/>
          <w:bCs w:val="0"/>
          <w:sz w:val="24"/>
          <w:szCs w:val="24"/>
          <w:lang w:val="en-US" w:eastAsia="zh-CN"/>
        </w:rPr>
        <w:t>单场</w:t>
      </w:r>
      <w:r>
        <w:rPr>
          <w:rFonts w:hint="eastAsia" w:ascii="宋体" w:hAnsi="宋体" w:eastAsia="宋体" w:cs="宋体"/>
          <w:b w:val="0"/>
          <w:bCs w:val="0"/>
          <w:sz w:val="24"/>
          <w:szCs w:val="24"/>
          <w:lang w:val="en-US" w:eastAsia="zh-CN"/>
        </w:rPr>
        <w:t>活动合同价</w:t>
      </w:r>
      <w:r>
        <w:rPr>
          <w:rFonts w:hint="default" w:ascii="宋体" w:hAnsi="宋体" w:eastAsia="宋体" w:cs="宋体"/>
          <w:b w:val="0"/>
          <w:bCs w:val="0"/>
          <w:sz w:val="24"/>
          <w:szCs w:val="24"/>
          <w:lang w:val="en-US" w:eastAsia="zh-CN"/>
        </w:rPr>
        <w:t>。</w:t>
      </w:r>
    </w:p>
    <w:p w14:paraId="43162628">
      <w:pPr>
        <w:keepNext w:val="0"/>
        <w:keepLines w:val="0"/>
        <w:pageBreakBefore w:val="0"/>
        <w:widowControl/>
        <w:wordWrap/>
        <w:overflowPunct/>
        <w:topLinePunct w:val="0"/>
        <w:autoSpaceDE/>
        <w:autoSpaceDN/>
        <w:bidi w:val="0"/>
        <w:adjustRightInd w:val="0"/>
        <w:snapToGrid w:val="0"/>
        <w:spacing w:line="500" w:lineRule="exact"/>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w:t>
      </w:r>
      <w:r>
        <w:rPr>
          <w:rFonts w:hint="default" w:ascii="宋体" w:hAnsi="宋体" w:eastAsia="宋体" w:cs="宋体"/>
          <w:b w:val="0"/>
          <w:bCs w:val="0"/>
          <w:sz w:val="24"/>
          <w:szCs w:val="24"/>
          <w:lang w:val="en-US" w:eastAsia="zh-CN"/>
        </w:rPr>
        <w:t>活动执行考核。中标人需严格按照活动</w:t>
      </w:r>
      <w:r>
        <w:rPr>
          <w:rFonts w:hint="eastAsia" w:ascii="宋体" w:hAnsi="宋体" w:eastAsia="宋体" w:cs="宋体"/>
          <w:b w:val="0"/>
          <w:bCs w:val="0"/>
          <w:sz w:val="24"/>
          <w:szCs w:val="24"/>
          <w:lang w:val="en-US" w:eastAsia="zh-CN"/>
        </w:rPr>
        <w:t>需求</w:t>
      </w:r>
      <w:r>
        <w:rPr>
          <w:rFonts w:hint="default" w:ascii="宋体" w:hAnsi="宋体" w:eastAsia="宋体" w:cs="宋体"/>
          <w:b w:val="0"/>
          <w:bCs w:val="0"/>
          <w:sz w:val="24"/>
          <w:szCs w:val="24"/>
          <w:lang w:val="en-US" w:eastAsia="zh-CN"/>
        </w:rPr>
        <w:t>落实服务，每出现1项不符合项，扣减单场活动预算的5%。</w:t>
      </w:r>
      <w:r>
        <w:rPr>
          <w:rFonts w:hint="eastAsia" w:ascii="宋体" w:hAnsi="宋体" w:eastAsia="宋体" w:cs="宋体"/>
          <w:b w:val="0"/>
          <w:bCs w:val="0"/>
          <w:sz w:val="24"/>
          <w:szCs w:val="24"/>
          <w:lang w:val="en-US" w:eastAsia="zh-CN"/>
        </w:rPr>
        <w:t xml:space="preserve"> </w:t>
      </w:r>
    </w:p>
    <w:p w14:paraId="318C23E1">
      <w:pPr>
        <w:keepNext w:val="0"/>
        <w:keepLines w:val="0"/>
        <w:pageBreakBefore w:val="0"/>
        <w:widowControl/>
        <w:kinsoku/>
        <w:wordWrap/>
        <w:overflowPunct/>
        <w:topLinePunct w:val="0"/>
        <w:bidi w:val="0"/>
        <w:adjustRightInd w:val="0"/>
        <w:snapToGrid w:val="0"/>
        <w:spacing w:line="50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二</w:t>
      </w:r>
      <w:r>
        <w:rPr>
          <w:rFonts w:hint="eastAsia" w:ascii="宋体" w:hAnsi="宋体" w:eastAsia="宋体" w:cs="宋体"/>
          <w:b w:val="0"/>
          <w:bCs w:val="0"/>
          <w:sz w:val="24"/>
          <w:szCs w:val="24"/>
        </w:rPr>
        <w:t>）</w:t>
      </w:r>
      <w:r>
        <w:rPr>
          <w:rFonts w:hint="eastAsia" w:ascii="宋体" w:hAnsi="宋体" w:eastAsia="宋体" w:cs="宋体"/>
          <w:b w:val="0"/>
          <w:bCs w:val="0"/>
          <w:sz w:val="24"/>
          <w:szCs w:val="24"/>
          <w:lang w:eastAsia="zh-CN"/>
        </w:rPr>
        <w:t>专项</w:t>
      </w:r>
      <w:r>
        <w:rPr>
          <w:rFonts w:hint="eastAsia" w:ascii="宋体" w:hAnsi="宋体" w:eastAsia="宋体" w:cs="宋体"/>
          <w:b w:val="0"/>
          <w:bCs w:val="0"/>
          <w:sz w:val="24"/>
          <w:szCs w:val="24"/>
        </w:rPr>
        <w:t>考核</w:t>
      </w:r>
    </w:p>
    <w:p w14:paraId="502FF97B">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default" w:ascii="宋体" w:hAnsi="宋体" w:eastAsia="宋体" w:cs="宋体"/>
          <w:b w:val="0"/>
          <w:bCs w:val="0"/>
          <w:sz w:val="24"/>
          <w:szCs w:val="24"/>
          <w:lang w:val="en-US" w:eastAsia="zh-CN"/>
        </w:rPr>
        <w:t>考核经费总计</w:t>
      </w:r>
      <w:r>
        <w:rPr>
          <w:rFonts w:hint="eastAsia" w:ascii="宋体" w:hAnsi="宋体" w:eastAsia="宋体" w:cs="宋体"/>
          <w:b w:val="0"/>
          <w:bCs w:val="0"/>
          <w:sz w:val="24"/>
          <w:szCs w:val="24"/>
          <w:lang w:val="en-US" w:eastAsia="zh-CN"/>
        </w:rPr>
        <w:t>5</w:t>
      </w:r>
      <w:r>
        <w:rPr>
          <w:rFonts w:hint="default" w:ascii="宋体" w:hAnsi="宋体" w:eastAsia="宋体" w:cs="宋体"/>
          <w:b w:val="0"/>
          <w:bCs w:val="0"/>
          <w:sz w:val="24"/>
          <w:szCs w:val="24"/>
          <w:lang w:val="en-US" w:eastAsia="zh-CN"/>
        </w:rPr>
        <w:t>万元，分为</w:t>
      </w:r>
      <w:r>
        <w:rPr>
          <w:rFonts w:hint="eastAsia" w:ascii="宋体" w:hAnsi="宋体" w:eastAsia="宋体" w:cs="宋体"/>
          <w:b w:val="0"/>
          <w:bCs w:val="0"/>
          <w:sz w:val="24"/>
          <w:szCs w:val="24"/>
          <w:lang w:val="en-US" w:eastAsia="zh-CN"/>
        </w:rPr>
        <w:t>四</w:t>
      </w:r>
      <w:r>
        <w:rPr>
          <w:rFonts w:hint="default" w:ascii="宋体" w:hAnsi="宋体" w:eastAsia="宋体" w:cs="宋体"/>
          <w:b w:val="0"/>
          <w:bCs w:val="0"/>
          <w:sz w:val="24"/>
          <w:szCs w:val="24"/>
          <w:lang w:val="en-US" w:eastAsia="zh-CN"/>
        </w:rPr>
        <w:t>大专项考核模块，具体结算规则如下：</w:t>
      </w:r>
    </w:p>
    <w:p w14:paraId="1DD3E8A2">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highlight w:val="none"/>
          <w:lang w:val="en-US" w:eastAsia="zh-CN"/>
        </w:rPr>
        <w:t>1.</w:t>
      </w:r>
      <w:r>
        <w:rPr>
          <w:rFonts w:hint="default" w:ascii="宋体" w:hAnsi="宋体" w:eastAsia="宋体" w:cs="宋体"/>
          <w:b w:val="0"/>
          <w:bCs w:val="0"/>
          <w:sz w:val="24"/>
          <w:szCs w:val="24"/>
          <w:highlight w:val="none"/>
          <w:lang w:val="en-US" w:eastAsia="zh-CN"/>
        </w:rPr>
        <w:t>服务质量考核（</w:t>
      </w:r>
      <w:r>
        <w:rPr>
          <w:rFonts w:hint="eastAsia" w:ascii="宋体" w:hAnsi="宋体" w:eastAsia="宋体" w:cs="宋体"/>
          <w:b w:val="0"/>
          <w:bCs w:val="0"/>
          <w:sz w:val="24"/>
          <w:szCs w:val="24"/>
          <w:highlight w:val="none"/>
          <w:lang w:val="en-US" w:eastAsia="zh-CN"/>
        </w:rPr>
        <w:t>1</w:t>
      </w:r>
      <w:r>
        <w:rPr>
          <w:rFonts w:hint="default" w:ascii="宋体" w:hAnsi="宋体" w:eastAsia="宋体" w:cs="宋体"/>
          <w:b w:val="0"/>
          <w:bCs w:val="0"/>
          <w:sz w:val="24"/>
          <w:szCs w:val="24"/>
          <w:highlight w:val="none"/>
          <w:lang w:val="en-US" w:eastAsia="zh-CN"/>
        </w:rPr>
        <w:t>万元）。</w:t>
      </w:r>
      <w:r>
        <w:rPr>
          <w:rFonts w:hint="eastAsia" w:ascii="宋体" w:hAnsi="宋体" w:eastAsia="宋体" w:cs="宋体"/>
          <w:b w:val="0"/>
          <w:bCs w:val="0"/>
          <w:sz w:val="24"/>
          <w:szCs w:val="24"/>
          <w:highlight w:val="none"/>
          <w:lang w:val="en-US" w:eastAsia="zh-CN"/>
        </w:rPr>
        <w:t>全年未出现投诉或负面舆情的，全额结算</w:t>
      </w:r>
      <w:r>
        <w:rPr>
          <w:rFonts w:hint="default" w:ascii="宋体" w:hAnsi="宋体" w:eastAsia="宋体" w:cs="宋体"/>
          <w:b w:val="0"/>
          <w:bCs w:val="0"/>
          <w:sz w:val="24"/>
          <w:szCs w:val="24"/>
          <w:highlight w:val="none"/>
          <w:lang w:val="en-US" w:eastAsia="zh-CN"/>
        </w:rPr>
        <w:t>质量考核</w:t>
      </w:r>
      <w:r>
        <w:rPr>
          <w:rFonts w:hint="eastAsia" w:ascii="宋体" w:hAnsi="宋体" w:eastAsia="宋体" w:cs="宋体"/>
          <w:b w:val="0"/>
          <w:bCs w:val="0"/>
          <w:sz w:val="24"/>
          <w:szCs w:val="24"/>
          <w:highlight w:val="none"/>
          <w:lang w:val="en-US" w:eastAsia="zh-CN"/>
        </w:rPr>
        <w:t>预算费用；</w:t>
      </w:r>
      <w:r>
        <w:rPr>
          <w:rFonts w:hint="default" w:ascii="宋体" w:hAnsi="宋体" w:eastAsia="宋体" w:cs="宋体"/>
          <w:b w:val="0"/>
          <w:bCs w:val="0"/>
          <w:sz w:val="24"/>
          <w:szCs w:val="24"/>
          <w:highlight w:val="none"/>
          <w:lang w:val="en-US" w:eastAsia="zh-CN"/>
        </w:rPr>
        <w:t>若出现</w:t>
      </w:r>
      <w:r>
        <w:rPr>
          <w:rFonts w:hint="eastAsia" w:ascii="宋体" w:hAnsi="宋体" w:eastAsia="宋体" w:cs="宋体"/>
          <w:b w:val="0"/>
          <w:bCs w:val="0"/>
          <w:sz w:val="24"/>
          <w:szCs w:val="24"/>
          <w:highlight w:val="none"/>
          <w:lang w:val="en-US" w:eastAsia="zh-CN"/>
        </w:rPr>
        <w:t>投诉或负面舆情，在全额扣减质量考核预算情况下，另扣减费用，其中：省市人社部门、各政务渠道、采购人、群众投诉或暗访发现问题的情况，经采</w:t>
      </w:r>
      <w:r>
        <w:rPr>
          <w:rFonts w:hint="eastAsia" w:ascii="宋体" w:hAnsi="宋体" w:eastAsia="宋体" w:cs="宋体"/>
          <w:b w:val="0"/>
          <w:bCs w:val="0"/>
          <w:sz w:val="24"/>
          <w:szCs w:val="24"/>
          <w:lang w:val="en-US" w:eastAsia="zh-CN"/>
        </w:rPr>
        <w:t>购人核实确认后，每出现1条，扣减单场活动合同价的10%；若出现负面舆情，视情况扣减整体项目费用，具体为：在新闻媒体、网络媒体中被曝光的，扣减合同总价50%费用；被市委网信办下达提示函的舆情信息的，扣减合同总价70%费用；被相关部门重点督办、网信部门下达处置单的重大舆情的，扣减合同总价全部费用，且采购人有权无条件与中标人解除合同。</w:t>
      </w:r>
    </w:p>
    <w:p w14:paraId="4EFE69D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default" w:ascii="宋体" w:hAnsi="宋体" w:eastAsia="宋体" w:cs="宋体"/>
          <w:b w:val="0"/>
          <w:bCs w:val="0"/>
          <w:sz w:val="24"/>
          <w:szCs w:val="24"/>
          <w:highlight w:val="none"/>
          <w:lang w:val="en-US" w:eastAsia="zh-CN"/>
        </w:rPr>
      </w:pPr>
      <w:r>
        <w:rPr>
          <w:rFonts w:hint="eastAsia" w:ascii="宋体" w:hAnsi="宋体" w:eastAsia="宋体" w:cs="宋体"/>
          <w:b w:val="0"/>
          <w:bCs w:val="0"/>
          <w:sz w:val="24"/>
          <w:szCs w:val="24"/>
          <w:lang w:val="en-US" w:eastAsia="zh-CN"/>
        </w:rPr>
        <w:t>2.</w:t>
      </w:r>
      <w:r>
        <w:rPr>
          <w:rFonts w:hint="default" w:ascii="宋体" w:hAnsi="宋体" w:eastAsia="宋体" w:cs="宋体"/>
          <w:b w:val="0"/>
          <w:bCs w:val="0"/>
          <w:sz w:val="24"/>
          <w:szCs w:val="24"/>
          <w:lang w:val="en-US" w:eastAsia="zh-CN"/>
        </w:rPr>
        <w:t>新增注册企业数考核（</w:t>
      </w:r>
      <w:r>
        <w:rPr>
          <w:rFonts w:hint="eastAsia" w:ascii="宋体" w:hAnsi="宋体" w:eastAsia="宋体" w:cs="宋体"/>
          <w:b w:val="0"/>
          <w:bCs w:val="0"/>
          <w:sz w:val="24"/>
          <w:szCs w:val="24"/>
          <w:lang w:val="en-US" w:eastAsia="zh-CN"/>
        </w:rPr>
        <w:t>1</w:t>
      </w:r>
      <w:r>
        <w:rPr>
          <w:rFonts w:hint="default" w:ascii="宋体" w:hAnsi="宋体" w:eastAsia="宋体" w:cs="宋体"/>
          <w:b w:val="0"/>
          <w:bCs w:val="0"/>
          <w:sz w:val="24"/>
          <w:szCs w:val="24"/>
          <w:lang w:val="en-US" w:eastAsia="zh-CN"/>
        </w:rPr>
        <w:t>万元）。中标人需邀请</w:t>
      </w:r>
      <w:r>
        <w:rPr>
          <w:rFonts w:hint="eastAsia" w:ascii="宋体" w:hAnsi="宋体" w:eastAsia="宋体" w:cs="宋体"/>
          <w:b w:val="0"/>
          <w:bCs w:val="0"/>
          <w:sz w:val="24"/>
          <w:szCs w:val="24"/>
          <w:lang w:val="en-US" w:eastAsia="zh-CN"/>
        </w:rPr>
        <w:t>驻昌用人单位</w:t>
      </w:r>
      <w:r>
        <w:rPr>
          <w:rFonts w:hint="default" w:ascii="宋体" w:hAnsi="宋体" w:eastAsia="宋体" w:cs="宋体"/>
          <w:b w:val="0"/>
          <w:bCs w:val="0"/>
          <w:sz w:val="24"/>
          <w:szCs w:val="24"/>
          <w:lang w:val="en-US" w:eastAsia="zh-CN"/>
        </w:rPr>
        <w:t>在</w:t>
      </w:r>
      <w:r>
        <w:rPr>
          <w:rFonts w:hint="eastAsia" w:ascii="宋体" w:hAnsi="宋体" w:eastAsia="宋体" w:cs="宋体"/>
          <w:b w:val="0"/>
          <w:bCs w:val="0"/>
          <w:sz w:val="24"/>
          <w:szCs w:val="24"/>
          <w:lang w:val="en-US" w:eastAsia="zh-CN"/>
        </w:rPr>
        <w:t>“</w:t>
      </w:r>
      <w:r>
        <w:rPr>
          <w:rFonts w:hint="default" w:ascii="宋体" w:hAnsi="宋体" w:eastAsia="宋体" w:cs="宋体"/>
          <w:b w:val="0"/>
          <w:bCs w:val="0"/>
          <w:sz w:val="24"/>
          <w:szCs w:val="24"/>
          <w:lang w:val="en-US" w:eastAsia="zh-CN"/>
        </w:rPr>
        <w:t>洪城就业通</w:t>
      </w:r>
      <w:r>
        <w:rPr>
          <w:rFonts w:hint="eastAsia" w:ascii="宋体" w:hAnsi="宋体" w:eastAsia="宋体" w:cs="宋体"/>
          <w:b w:val="0"/>
          <w:bCs w:val="0"/>
          <w:sz w:val="24"/>
          <w:szCs w:val="24"/>
          <w:lang w:val="en-US" w:eastAsia="zh-CN"/>
        </w:rPr>
        <w:t>”</w:t>
      </w:r>
      <w:r>
        <w:rPr>
          <w:rFonts w:hint="default" w:ascii="宋体" w:hAnsi="宋体" w:eastAsia="宋体" w:cs="宋体"/>
          <w:b w:val="0"/>
          <w:bCs w:val="0"/>
          <w:sz w:val="24"/>
          <w:szCs w:val="24"/>
          <w:lang w:val="en-US" w:eastAsia="zh-CN"/>
        </w:rPr>
        <w:t>平台完成注册，每成功注册1家企业，按100元标准结算费用，最高结算金额不</w:t>
      </w:r>
      <w:r>
        <w:rPr>
          <w:rFonts w:hint="default" w:ascii="宋体" w:hAnsi="宋体" w:eastAsia="宋体" w:cs="宋体"/>
          <w:b w:val="0"/>
          <w:bCs w:val="0"/>
          <w:sz w:val="24"/>
          <w:szCs w:val="24"/>
          <w:highlight w:val="none"/>
          <w:lang w:val="en-US" w:eastAsia="zh-CN"/>
        </w:rPr>
        <w:t>超过</w:t>
      </w:r>
      <w:r>
        <w:rPr>
          <w:rFonts w:hint="eastAsia" w:ascii="宋体" w:hAnsi="宋体" w:eastAsia="宋体" w:cs="宋体"/>
          <w:b w:val="0"/>
          <w:bCs w:val="0"/>
          <w:sz w:val="24"/>
          <w:szCs w:val="24"/>
          <w:highlight w:val="none"/>
          <w:lang w:val="en-US" w:eastAsia="zh-CN"/>
        </w:rPr>
        <w:t>1</w:t>
      </w:r>
      <w:r>
        <w:rPr>
          <w:rFonts w:hint="default" w:ascii="宋体" w:hAnsi="宋体" w:eastAsia="宋体" w:cs="宋体"/>
          <w:b w:val="0"/>
          <w:bCs w:val="0"/>
          <w:sz w:val="24"/>
          <w:szCs w:val="24"/>
          <w:highlight w:val="none"/>
          <w:lang w:val="en-US" w:eastAsia="zh-CN"/>
        </w:rPr>
        <w:t>万元，按实际注册数量核算。​</w:t>
      </w:r>
    </w:p>
    <w:p w14:paraId="3912D9F4">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highlight w:val="none"/>
          <w:lang w:val="en-US" w:eastAsia="zh-CN"/>
        </w:rPr>
        <w:t>3.</w:t>
      </w:r>
      <w:r>
        <w:rPr>
          <w:rFonts w:hint="default" w:ascii="宋体" w:hAnsi="宋体" w:eastAsia="宋体" w:cs="宋体"/>
          <w:b w:val="0"/>
          <w:bCs w:val="0"/>
          <w:sz w:val="24"/>
          <w:szCs w:val="24"/>
          <w:highlight w:val="none"/>
          <w:lang w:val="en-US" w:eastAsia="zh-CN"/>
        </w:rPr>
        <w:t>新增</w:t>
      </w:r>
      <w:r>
        <w:rPr>
          <w:rFonts w:hint="eastAsia" w:ascii="宋体" w:hAnsi="宋体" w:eastAsia="宋体" w:cs="宋体"/>
          <w:b w:val="0"/>
          <w:bCs w:val="0"/>
          <w:sz w:val="24"/>
          <w:szCs w:val="24"/>
          <w:highlight w:val="none"/>
          <w:lang w:val="en-US" w:eastAsia="zh-CN"/>
        </w:rPr>
        <w:t>注册</w:t>
      </w:r>
      <w:r>
        <w:rPr>
          <w:rFonts w:hint="default" w:ascii="宋体" w:hAnsi="宋体" w:eastAsia="宋体" w:cs="宋体"/>
          <w:b w:val="0"/>
          <w:bCs w:val="0"/>
          <w:sz w:val="24"/>
          <w:szCs w:val="24"/>
          <w:highlight w:val="none"/>
          <w:lang w:val="en-US" w:eastAsia="zh-CN"/>
        </w:rPr>
        <w:t>求职者考核（</w:t>
      </w:r>
      <w:r>
        <w:rPr>
          <w:rFonts w:hint="eastAsia" w:ascii="宋体" w:hAnsi="宋体" w:eastAsia="宋体" w:cs="宋体"/>
          <w:b w:val="0"/>
          <w:bCs w:val="0"/>
          <w:sz w:val="24"/>
          <w:szCs w:val="24"/>
          <w:highlight w:val="none"/>
          <w:lang w:val="en-US" w:eastAsia="zh-CN"/>
        </w:rPr>
        <w:t>2</w:t>
      </w:r>
      <w:r>
        <w:rPr>
          <w:rFonts w:hint="default" w:ascii="宋体" w:hAnsi="宋体" w:eastAsia="宋体" w:cs="宋体"/>
          <w:b w:val="0"/>
          <w:bCs w:val="0"/>
          <w:sz w:val="24"/>
          <w:szCs w:val="24"/>
          <w:highlight w:val="none"/>
          <w:lang w:val="en-US" w:eastAsia="zh-CN"/>
        </w:rPr>
        <w:t>万元）。中标人需邀请求职者完成洪城就业通平台16-63岁实名制注册，每成功注册1人，按10元标准结算费用，最高结算金额不超过</w:t>
      </w:r>
      <w:r>
        <w:rPr>
          <w:rFonts w:hint="eastAsia" w:ascii="宋体" w:hAnsi="宋体" w:eastAsia="宋体" w:cs="宋体"/>
          <w:b w:val="0"/>
          <w:bCs w:val="0"/>
          <w:sz w:val="24"/>
          <w:szCs w:val="24"/>
          <w:highlight w:val="none"/>
          <w:lang w:val="en-US" w:eastAsia="zh-CN"/>
        </w:rPr>
        <w:t>2</w:t>
      </w:r>
      <w:r>
        <w:rPr>
          <w:rFonts w:hint="default" w:ascii="宋体" w:hAnsi="宋体" w:eastAsia="宋体" w:cs="宋体"/>
          <w:b w:val="0"/>
          <w:bCs w:val="0"/>
          <w:sz w:val="24"/>
          <w:szCs w:val="24"/>
          <w:highlight w:val="none"/>
          <w:lang w:val="en-US" w:eastAsia="zh-CN"/>
        </w:rPr>
        <w:t>万元，按实际</w:t>
      </w:r>
      <w:r>
        <w:rPr>
          <w:rFonts w:hint="default" w:ascii="宋体" w:hAnsi="宋体" w:eastAsia="宋体" w:cs="宋体"/>
          <w:b w:val="0"/>
          <w:bCs w:val="0"/>
          <w:sz w:val="24"/>
          <w:szCs w:val="24"/>
          <w:lang w:val="en-US" w:eastAsia="zh-CN"/>
        </w:rPr>
        <w:t>注册数量核算。​</w:t>
      </w:r>
    </w:p>
    <w:p w14:paraId="7E5BD348">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w:t>
      </w:r>
      <w:r>
        <w:rPr>
          <w:rFonts w:hint="default" w:ascii="宋体" w:hAnsi="宋体" w:eastAsia="宋体" w:cs="宋体"/>
          <w:b w:val="0"/>
          <w:bCs w:val="0"/>
          <w:sz w:val="24"/>
          <w:szCs w:val="24"/>
          <w:lang w:val="en-US" w:eastAsia="zh-CN"/>
        </w:rPr>
        <w:t>媒体报道考核（</w:t>
      </w:r>
      <w:r>
        <w:rPr>
          <w:rFonts w:hint="eastAsia" w:ascii="宋体" w:hAnsi="宋体" w:eastAsia="宋体" w:cs="宋体"/>
          <w:b w:val="0"/>
          <w:bCs w:val="0"/>
          <w:sz w:val="24"/>
          <w:szCs w:val="24"/>
          <w:lang w:val="en-US" w:eastAsia="zh-CN"/>
        </w:rPr>
        <w:t>1</w:t>
      </w:r>
      <w:r>
        <w:rPr>
          <w:rFonts w:hint="default" w:ascii="宋体" w:hAnsi="宋体" w:eastAsia="宋体" w:cs="宋体"/>
          <w:b w:val="0"/>
          <w:bCs w:val="0"/>
          <w:sz w:val="24"/>
          <w:szCs w:val="24"/>
          <w:lang w:val="en-US" w:eastAsia="zh-CN"/>
        </w:rPr>
        <w:t>万元）</w:t>
      </w:r>
      <w:r>
        <w:rPr>
          <w:rFonts w:hint="eastAsia" w:ascii="宋体" w:hAnsi="宋体" w:eastAsia="宋体" w:cs="宋体"/>
          <w:b w:val="0"/>
          <w:bCs w:val="0"/>
          <w:sz w:val="24"/>
          <w:szCs w:val="24"/>
          <w:lang w:val="en-US" w:eastAsia="zh-CN"/>
        </w:rPr>
        <w:t>。</w:t>
      </w:r>
      <w:r>
        <w:rPr>
          <w:rFonts w:hint="default" w:ascii="宋体" w:hAnsi="宋体" w:eastAsia="宋体" w:cs="宋体"/>
          <w:b w:val="0"/>
          <w:bCs w:val="0"/>
          <w:sz w:val="24"/>
          <w:szCs w:val="24"/>
          <w:lang w:val="en-US" w:eastAsia="zh-CN"/>
        </w:rPr>
        <w:t>全年需获得国家级、省级、市级主流媒体原创报道</w:t>
      </w:r>
      <w:r>
        <w:rPr>
          <w:rFonts w:hint="eastAsia" w:ascii="宋体" w:hAnsi="宋体" w:eastAsia="宋体" w:cs="宋体"/>
          <w:b w:val="0"/>
          <w:bCs w:val="0"/>
          <w:sz w:val="24"/>
          <w:szCs w:val="24"/>
          <w:lang w:val="en-US" w:eastAsia="zh-CN"/>
        </w:rPr>
        <w:t>不低于20</w:t>
      </w:r>
      <w:r>
        <w:rPr>
          <w:rFonts w:hint="default" w:ascii="宋体" w:hAnsi="宋体" w:eastAsia="宋体" w:cs="宋体"/>
          <w:b w:val="0"/>
          <w:bCs w:val="0"/>
          <w:sz w:val="24"/>
          <w:szCs w:val="24"/>
          <w:lang w:val="en-US" w:eastAsia="zh-CN"/>
        </w:rPr>
        <w:t>次，其中国家级媒体</w:t>
      </w:r>
      <w:r>
        <w:rPr>
          <w:rFonts w:hint="eastAsia" w:ascii="宋体" w:hAnsi="宋体" w:eastAsia="宋体" w:cs="宋体"/>
          <w:b w:val="0"/>
          <w:bCs w:val="0"/>
          <w:sz w:val="24"/>
          <w:szCs w:val="24"/>
          <w:lang w:val="en-US" w:eastAsia="zh-CN"/>
        </w:rPr>
        <w:t>2</w:t>
      </w:r>
      <w:r>
        <w:rPr>
          <w:rFonts w:hint="default" w:ascii="宋体" w:hAnsi="宋体" w:eastAsia="宋体" w:cs="宋体"/>
          <w:b w:val="0"/>
          <w:bCs w:val="0"/>
          <w:sz w:val="24"/>
          <w:szCs w:val="24"/>
          <w:lang w:val="en-US" w:eastAsia="zh-CN"/>
        </w:rPr>
        <w:t>次、省级媒体</w:t>
      </w:r>
      <w:r>
        <w:rPr>
          <w:rFonts w:hint="eastAsia" w:ascii="宋体" w:hAnsi="宋体" w:eastAsia="宋体" w:cs="宋体"/>
          <w:b w:val="0"/>
          <w:bCs w:val="0"/>
          <w:sz w:val="24"/>
          <w:szCs w:val="24"/>
          <w:lang w:val="en-US" w:eastAsia="zh-CN"/>
        </w:rPr>
        <w:t>8</w:t>
      </w:r>
      <w:r>
        <w:rPr>
          <w:rFonts w:hint="default" w:ascii="宋体" w:hAnsi="宋体" w:eastAsia="宋体" w:cs="宋体"/>
          <w:b w:val="0"/>
          <w:bCs w:val="0"/>
          <w:sz w:val="24"/>
          <w:szCs w:val="24"/>
          <w:lang w:val="en-US" w:eastAsia="zh-CN"/>
        </w:rPr>
        <w:t>次、市级媒体</w:t>
      </w:r>
      <w:r>
        <w:rPr>
          <w:rFonts w:hint="eastAsia" w:ascii="宋体" w:hAnsi="宋体" w:eastAsia="宋体" w:cs="宋体"/>
          <w:b w:val="0"/>
          <w:bCs w:val="0"/>
          <w:sz w:val="24"/>
          <w:szCs w:val="24"/>
          <w:lang w:val="en-US" w:eastAsia="zh-CN"/>
        </w:rPr>
        <w:t>10</w:t>
      </w:r>
      <w:r>
        <w:rPr>
          <w:rFonts w:hint="default" w:ascii="宋体" w:hAnsi="宋体" w:eastAsia="宋体" w:cs="宋体"/>
          <w:b w:val="0"/>
          <w:bCs w:val="0"/>
          <w:sz w:val="24"/>
          <w:szCs w:val="24"/>
          <w:lang w:val="en-US" w:eastAsia="zh-CN"/>
        </w:rPr>
        <w:t>次，</w:t>
      </w:r>
      <w:r>
        <w:rPr>
          <w:rFonts w:hint="eastAsia" w:ascii="宋体" w:hAnsi="宋体" w:eastAsia="宋体" w:cs="宋体"/>
          <w:b w:val="0"/>
          <w:bCs w:val="0"/>
          <w:sz w:val="24"/>
          <w:szCs w:val="24"/>
          <w:lang w:val="en-US" w:eastAsia="zh-CN"/>
        </w:rPr>
        <w:t>高层次媒体报道次数可向下兼容，如</w:t>
      </w:r>
      <w:r>
        <w:rPr>
          <w:rFonts w:hint="default" w:ascii="宋体" w:hAnsi="宋体" w:eastAsia="宋体" w:cs="宋体"/>
          <w:b w:val="0"/>
          <w:bCs w:val="0"/>
          <w:sz w:val="24"/>
          <w:szCs w:val="24"/>
          <w:lang w:val="en-US" w:eastAsia="zh-CN"/>
        </w:rPr>
        <w:t>市级报道数量不够，</w:t>
      </w:r>
      <w:r>
        <w:rPr>
          <w:rFonts w:hint="eastAsia" w:ascii="宋体" w:hAnsi="宋体" w:eastAsia="宋体" w:cs="宋体"/>
          <w:b w:val="0"/>
          <w:bCs w:val="0"/>
          <w:sz w:val="24"/>
          <w:szCs w:val="24"/>
          <w:lang w:val="en-US" w:eastAsia="zh-CN"/>
        </w:rPr>
        <w:t>可</w:t>
      </w:r>
      <w:r>
        <w:rPr>
          <w:rFonts w:hint="default" w:ascii="宋体" w:hAnsi="宋体" w:eastAsia="宋体" w:cs="宋体"/>
          <w:b w:val="0"/>
          <w:bCs w:val="0"/>
          <w:sz w:val="24"/>
          <w:szCs w:val="24"/>
          <w:lang w:val="en-US" w:eastAsia="zh-CN"/>
        </w:rPr>
        <w:t>用多出来的国家级、省级报道来补足。</w:t>
      </w:r>
      <w:r>
        <w:rPr>
          <w:rFonts w:hint="eastAsia" w:ascii="宋体" w:hAnsi="宋体" w:eastAsia="宋体" w:cs="宋体"/>
          <w:b w:val="0"/>
          <w:bCs w:val="0"/>
          <w:sz w:val="24"/>
          <w:szCs w:val="24"/>
        </w:rPr>
        <w:t>报道内容应围绕本次活动展开</w:t>
      </w:r>
      <w:r>
        <w:rPr>
          <w:rFonts w:hint="default" w:ascii="宋体" w:hAnsi="宋体" w:eastAsia="宋体" w:cs="宋体"/>
          <w:b w:val="0"/>
          <w:bCs w:val="0"/>
          <w:sz w:val="24"/>
          <w:szCs w:val="24"/>
          <w:lang w:val="en-US" w:eastAsia="zh-CN"/>
        </w:rPr>
        <w:t>。​</w:t>
      </w:r>
    </w:p>
    <w:p w14:paraId="0D5B9659">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default" w:ascii="宋体" w:hAnsi="宋体" w:eastAsia="宋体" w:cs="宋体"/>
          <w:b w:val="0"/>
          <w:bCs w:val="0"/>
          <w:sz w:val="24"/>
          <w:szCs w:val="24"/>
          <w:lang w:val="en-US" w:eastAsia="zh-CN"/>
        </w:rPr>
        <w:t>媒体范畴：国家级媒体包括人民日报、央视、新华网、人民网、新华社、中国劳动保障报、中国就业等；省级媒体包括江西日报、大江网、江西工人报、江西新闻、江西卫视、都市现场等；市级媒体包括南昌日报、南昌发布、洪观新闻、南昌新闻、南昌晚报、南昌电视台等</w:t>
      </w:r>
      <w:r>
        <w:rPr>
          <w:rFonts w:hint="eastAsia" w:ascii="宋体" w:hAnsi="宋体" w:eastAsia="宋体" w:cs="宋体"/>
          <w:b w:val="0"/>
          <w:bCs w:val="0"/>
          <w:sz w:val="24"/>
          <w:szCs w:val="24"/>
          <w:lang w:val="en-US" w:eastAsia="zh-CN"/>
        </w:rPr>
        <w:t>（含对应媒体官方</w:t>
      </w:r>
      <w:r>
        <w:rPr>
          <w:rFonts w:hint="default" w:ascii="宋体" w:hAnsi="宋体" w:eastAsia="宋体" w:cs="宋体"/>
          <w:b w:val="0"/>
          <w:bCs w:val="0"/>
          <w:sz w:val="24"/>
          <w:szCs w:val="24"/>
          <w:lang w:val="en-US" w:eastAsia="zh-CN"/>
        </w:rPr>
        <w:t>抖音、小红书</w:t>
      </w:r>
      <w:r>
        <w:rPr>
          <w:rFonts w:hint="eastAsia" w:ascii="宋体" w:hAnsi="宋体" w:eastAsia="宋体" w:cs="宋体"/>
          <w:b w:val="0"/>
          <w:bCs w:val="0"/>
          <w:sz w:val="24"/>
          <w:szCs w:val="24"/>
          <w:lang w:val="en-US" w:eastAsia="zh-CN"/>
        </w:rPr>
        <w:t>、微信视频号等</w:t>
      </w:r>
      <w:r>
        <w:rPr>
          <w:rFonts w:hint="default" w:ascii="宋体" w:hAnsi="宋体" w:eastAsia="宋体" w:cs="宋体"/>
          <w:b w:val="0"/>
          <w:bCs w:val="0"/>
          <w:sz w:val="24"/>
          <w:szCs w:val="24"/>
          <w:lang w:val="en-US" w:eastAsia="zh-CN"/>
        </w:rPr>
        <w:t>新媒体</w:t>
      </w:r>
      <w:r>
        <w:rPr>
          <w:rFonts w:hint="eastAsia" w:ascii="宋体" w:hAnsi="宋体" w:eastAsia="宋体" w:cs="宋体"/>
          <w:b w:val="0"/>
          <w:bCs w:val="0"/>
          <w:sz w:val="24"/>
          <w:szCs w:val="24"/>
          <w:lang w:val="en-US" w:eastAsia="zh-CN"/>
        </w:rPr>
        <w:t>平台）</w:t>
      </w:r>
      <w:r>
        <w:rPr>
          <w:rFonts w:hint="default" w:ascii="宋体" w:hAnsi="宋体" w:eastAsia="宋体" w:cs="宋体"/>
          <w:b w:val="0"/>
          <w:bCs w:val="0"/>
          <w:sz w:val="24"/>
          <w:szCs w:val="24"/>
          <w:lang w:val="en-US" w:eastAsia="zh-CN"/>
        </w:rPr>
        <w:t>。​</w:t>
      </w:r>
    </w:p>
    <w:p w14:paraId="673D35A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rPr>
          <w:rFonts w:hint="default" w:ascii="宋体" w:hAnsi="宋体" w:eastAsia="宋体" w:cs="宋体"/>
          <w:b w:val="0"/>
          <w:bCs w:val="0"/>
          <w:sz w:val="24"/>
          <w:szCs w:val="24"/>
          <w:lang w:val="en-US" w:eastAsia="zh-CN"/>
        </w:rPr>
      </w:pPr>
      <w:r>
        <w:rPr>
          <w:rFonts w:hint="default" w:ascii="宋体" w:hAnsi="宋体" w:eastAsia="宋体" w:cs="宋体"/>
          <w:b w:val="0"/>
          <w:bCs w:val="0"/>
          <w:sz w:val="24"/>
          <w:szCs w:val="24"/>
          <w:lang w:val="en-US" w:eastAsia="zh-CN"/>
        </w:rPr>
        <w:t>结算规则：完成全部报道指标的，全额结算</w:t>
      </w:r>
      <w:r>
        <w:rPr>
          <w:rFonts w:hint="eastAsia" w:ascii="宋体" w:hAnsi="宋体" w:eastAsia="宋体" w:cs="宋体"/>
          <w:b w:val="0"/>
          <w:bCs w:val="0"/>
          <w:sz w:val="24"/>
          <w:szCs w:val="24"/>
          <w:lang w:val="en-US" w:eastAsia="zh-CN"/>
        </w:rPr>
        <w:t>1</w:t>
      </w:r>
      <w:r>
        <w:rPr>
          <w:rFonts w:hint="default" w:ascii="宋体" w:hAnsi="宋体" w:eastAsia="宋体" w:cs="宋体"/>
          <w:b w:val="0"/>
          <w:bCs w:val="0"/>
          <w:sz w:val="24"/>
          <w:szCs w:val="24"/>
          <w:lang w:val="en-US" w:eastAsia="zh-CN"/>
        </w:rPr>
        <w:t>万元考核经费</w:t>
      </w:r>
      <w:r>
        <w:rPr>
          <w:rFonts w:hint="eastAsia" w:ascii="宋体" w:hAnsi="宋体" w:eastAsia="宋体" w:cs="宋体"/>
          <w:b w:val="0"/>
          <w:bCs w:val="0"/>
          <w:sz w:val="24"/>
          <w:szCs w:val="24"/>
          <w:lang w:val="en-US" w:eastAsia="zh-CN"/>
        </w:rPr>
        <w:t>，</w:t>
      </w:r>
      <w:r>
        <w:rPr>
          <w:rFonts w:hint="default" w:ascii="宋体" w:hAnsi="宋体" w:eastAsia="宋体" w:cs="宋体"/>
          <w:b w:val="0"/>
          <w:bCs w:val="0"/>
          <w:sz w:val="24"/>
          <w:szCs w:val="24"/>
          <w:lang w:val="en-US" w:eastAsia="zh-CN"/>
        </w:rPr>
        <w:t>未完成指标</w:t>
      </w:r>
      <w:r>
        <w:rPr>
          <w:rFonts w:hint="eastAsia" w:ascii="宋体" w:hAnsi="宋体" w:eastAsia="宋体" w:cs="宋体"/>
          <w:b w:val="0"/>
          <w:bCs w:val="0"/>
          <w:sz w:val="24"/>
          <w:szCs w:val="24"/>
          <w:lang w:val="en-US" w:eastAsia="zh-CN"/>
        </w:rPr>
        <w:t>不结算</w:t>
      </w:r>
      <w:r>
        <w:rPr>
          <w:rFonts w:hint="default" w:ascii="宋体" w:hAnsi="宋体" w:eastAsia="宋体" w:cs="宋体"/>
          <w:b w:val="0"/>
          <w:bCs w:val="0"/>
          <w:sz w:val="24"/>
          <w:szCs w:val="24"/>
          <w:lang w:val="en-US" w:eastAsia="zh-CN"/>
        </w:rPr>
        <w:t>。</w:t>
      </w:r>
    </w:p>
    <w:p w14:paraId="3EC7D408">
      <w:pPr>
        <w:pageBreakBefore w:val="0"/>
        <w:widowControl w:val="0"/>
        <w:wordWrap/>
        <w:overflowPunct/>
        <w:topLinePunct w:val="0"/>
        <w:bidi w:val="0"/>
        <w:spacing w:line="242" w:lineRule="auto"/>
        <w:rPr>
          <w:color w:val="auto"/>
          <w:spacing w:val="0"/>
          <w:position w:val="0"/>
        </w:rPr>
      </w:pPr>
    </w:p>
    <w:p w14:paraId="400F2413">
      <w:pPr>
        <w:pageBreakBefore w:val="0"/>
        <w:widowControl w:val="0"/>
        <w:wordWrap/>
        <w:overflowPunct/>
        <w:topLinePunct w:val="0"/>
        <w:bidi w:val="0"/>
        <w:spacing w:line="242" w:lineRule="auto"/>
        <w:rPr>
          <w:color w:val="auto"/>
          <w:spacing w:val="0"/>
          <w:position w:val="0"/>
        </w:rPr>
      </w:pPr>
    </w:p>
    <w:p w14:paraId="358C20D9">
      <w:pPr>
        <w:pageBreakBefore w:val="0"/>
        <w:widowControl w:val="0"/>
        <w:wordWrap/>
        <w:overflowPunct/>
        <w:topLinePunct w:val="0"/>
        <w:bidi w:val="0"/>
        <w:spacing w:line="242" w:lineRule="auto"/>
        <w:rPr>
          <w:color w:val="auto"/>
          <w:spacing w:val="0"/>
          <w:position w:val="0"/>
        </w:rPr>
      </w:pPr>
    </w:p>
    <w:p w14:paraId="25253F05">
      <w:pPr>
        <w:pageBreakBefore w:val="0"/>
        <w:widowControl w:val="0"/>
        <w:wordWrap/>
        <w:overflowPunct/>
        <w:topLinePunct w:val="0"/>
        <w:bidi w:val="0"/>
        <w:spacing w:line="242" w:lineRule="auto"/>
        <w:rPr>
          <w:color w:val="auto"/>
          <w:spacing w:val="0"/>
          <w:position w:val="0"/>
        </w:rPr>
      </w:pPr>
    </w:p>
    <w:p w14:paraId="22093136">
      <w:pPr>
        <w:pageBreakBefore w:val="0"/>
        <w:widowControl w:val="0"/>
        <w:wordWrap/>
        <w:overflowPunct/>
        <w:topLinePunct w:val="0"/>
        <w:bidi w:val="0"/>
        <w:spacing w:line="242" w:lineRule="auto"/>
        <w:rPr>
          <w:color w:val="auto"/>
          <w:spacing w:val="0"/>
          <w:position w:val="0"/>
        </w:rPr>
      </w:pPr>
    </w:p>
    <w:p w14:paraId="79827CED">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宋体" w:hAnsi="宋体" w:eastAsia="宋体" w:cs="宋体"/>
          <w:b/>
          <w:bCs/>
          <w:color w:val="000000"/>
          <w:spacing w:val="2"/>
          <w:kern w:val="0"/>
          <w:sz w:val="24"/>
          <w:szCs w:val="24"/>
        </w:rPr>
      </w:pPr>
      <w:r>
        <w:rPr>
          <w:rFonts w:hint="eastAsia" w:ascii="宋体" w:hAnsi="宋体" w:eastAsia="宋体" w:cs="宋体"/>
          <w:b/>
          <w:bCs/>
          <w:color w:val="000000"/>
          <w:spacing w:val="2"/>
          <w:kern w:val="0"/>
          <w:sz w:val="24"/>
          <w:szCs w:val="24"/>
          <w:highlight w:val="none"/>
        </w:rPr>
        <w:t>注：以上“技术要求”为实质</w:t>
      </w:r>
      <w:r>
        <w:rPr>
          <w:rFonts w:hint="eastAsia" w:ascii="宋体" w:hAnsi="宋体" w:eastAsia="宋体" w:cs="宋体"/>
          <w:b/>
          <w:bCs/>
          <w:color w:val="000000"/>
          <w:spacing w:val="2"/>
          <w:kern w:val="0"/>
          <w:sz w:val="24"/>
          <w:szCs w:val="24"/>
        </w:rPr>
        <w:t>性条款须完全响应，否则投标无效。</w:t>
      </w:r>
    </w:p>
    <w:p w14:paraId="65A975FC">
      <w:pPr>
        <w:pageBreakBefore w:val="0"/>
        <w:widowControl w:val="0"/>
        <w:wordWrap/>
        <w:overflowPunct/>
        <w:topLinePunct w:val="0"/>
        <w:bidi w:val="0"/>
        <w:spacing w:line="242" w:lineRule="auto"/>
        <w:rPr>
          <w:color w:val="auto"/>
          <w:spacing w:val="0"/>
          <w:position w:val="0"/>
        </w:rPr>
      </w:pPr>
    </w:p>
    <w:p w14:paraId="3029D0F3">
      <w:pPr>
        <w:pageBreakBefore w:val="0"/>
        <w:widowControl w:val="0"/>
        <w:wordWrap/>
        <w:overflowPunct/>
        <w:topLinePunct w:val="0"/>
        <w:bidi w:val="0"/>
        <w:spacing w:line="243" w:lineRule="auto"/>
        <w:rPr>
          <w:color w:val="auto"/>
          <w:spacing w:val="0"/>
          <w:position w:val="0"/>
        </w:rPr>
      </w:pPr>
    </w:p>
    <w:p w14:paraId="670C7F3A">
      <w:pPr>
        <w:pageBreakBefore w:val="0"/>
        <w:widowControl w:val="0"/>
        <w:wordWrap/>
        <w:overflowPunct/>
        <w:topLinePunct w:val="0"/>
        <w:bidi w:val="0"/>
        <w:spacing w:line="243" w:lineRule="auto"/>
        <w:rPr>
          <w:color w:val="auto"/>
          <w:spacing w:val="0"/>
          <w:position w:val="0"/>
        </w:rPr>
      </w:pPr>
    </w:p>
    <w:p w14:paraId="088459A6">
      <w:pPr>
        <w:pageBreakBefore w:val="0"/>
        <w:widowControl w:val="0"/>
        <w:wordWrap/>
        <w:overflowPunct/>
        <w:topLinePunct w:val="0"/>
        <w:bidi w:val="0"/>
        <w:spacing w:line="245" w:lineRule="auto"/>
        <w:rPr>
          <w:color w:val="auto"/>
          <w:spacing w:val="0"/>
          <w:position w:val="0"/>
          <w:lang w:eastAsia="zh-CN"/>
        </w:rPr>
      </w:pPr>
    </w:p>
    <w:p w14:paraId="7B47B7D2">
      <w:pPr>
        <w:pageBreakBefore w:val="0"/>
        <w:widowControl w:val="0"/>
        <w:wordWrap/>
        <w:overflowPunct/>
        <w:topLinePunct w:val="0"/>
        <w:bidi w:val="0"/>
        <w:spacing w:line="245" w:lineRule="auto"/>
        <w:rPr>
          <w:color w:val="auto"/>
          <w:spacing w:val="0"/>
          <w:position w:val="0"/>
          <w:lang w:eastAsia="zh-CN"/>
        </w:rPr>
      </w:pPr>
    </w:p>
    <w:p w14:paraId="550A7B07">
      <w:pPr>
        <w:pageBreakBefore w:val="0"/>
        <w:widowControl w:val="0"/>
        <w:wordWrap/>
        <w:overflowPunct/>
        <w:topLinePunct w:val="0"/>
        <w:bidi w:val="0"/>
        <w:spacing w:line="245" w:lineRule="auto"/>
        <w:rPr>
          <w:color w:val="auto"/>
          <w:spacing w:val="0"/>
          <w:position w:val="0"/>
          <w:lang w:eastAsia="zh-CN"/>
        </w:rPr>
      </w:pPr>
    </w:p>
    <w:p w14:paraId="57E54924">
      <w:pPr>
        <w:pageBreakBefore w:val="0"/>
        <w:widowControl w:val="0"/>
        <w:wordWrap/>
        <w:overflowPunct/>
        <w:topLinePunct w:val="0"/>
        <w:bidi w:val="0"/>
        <w:spacing w:line="245" w:lineRule="auto"/>
        <w:rPr>
          <w:color w:val="auto"/>
          <w:spacing w:val="0"/>
          <w:position w:val="0"/>
          <w:lang w:eastAsia="zh-CN"/>
        </w:rPr>
      </w:pPr>
    </w:p>
    <w:p w14:paraId="71E68D7B">
      <w:pPr>
        <w:pageBreakBefore w:val="0"/>
        <w:widowControl w:val="0"/>
        <w:wordWrap/>
        <w:overflowPunct/>
        <w:topLinePunct w:val="0"/>
        <w:bidi w:val="0"/>
        <w:spacing w:line="245" w:lineRule="auto"/>
        <w:rPr>
          <w:color w:val="auto"/>
          <w:spacing w:val="0"/>
          <w:position w:val="0"/>
          <w:lang w:eastAsia="zh-CN"/>
        </w:rPr>
      </w:pPr>
    </w:p>
    <w:p w14:paraId="00149DFB">
      <w:pPr>
        <w:pageBreakBefore w:val="0"/>
        <w:widowControl w:val="0"/>
        <w:wordWrap/>
        <w:overflowPunct/>
        <w:topLinePunct w:val="0"/>
        <w:bidi w:val="0"/>
        <w:spacing w:line="245" w:lineRule="auto"/>
        <w:rPr>
          <w:color w:val="auto"/>
          <w:spacing w:val="0"/>
          <w:position w:val="0"/>
          <w:lang w:eastAsia="zh-CN"/>
        </w:rPr>
      </w:pPr>
    </w:p>
    <w:p w14:paraId="23C6F874">
      <w:pPr>
        <w:pageBreakBefore w:val="0"/>
        <w:widowControl w:val="0"/>
        <w:wordWrap/>
        <w:overflowPunct/>
        <w:topLinePunct w:val="0"/>
        <w:bidi w:val="0"/>
        <w:spacing w:line="245" w:lineRule="auto"/>
        <w:rPr>
          <w:color w:val="auto"/>
          <w:spacing w:val="0"/>
          <w:position w:val="0"/>
          <w:lang w:eastAsia="zh-CN"/>
        </w:rPr>
      </w:pPr>
    </w:p>
    <w:p w14:paraId="1C3107A9">
      <w:pPr>
        <w:pageBreakBefore w:val="0"/>
        <w:widowControl w:val="0"/>
        <w:wordWrap/>
        <w:overflowPunct/>
        <w:topLinePunct w:val="0"/>
        <w:bidi w:val="0"/>
        <w:spacing w:line="245" w:lineRule="auto"/>
        <w:rPr>
          <w:color w:val="auto"/>
          <w:spacing w:val="0"/>
          <w:position w:val="0"/>
          <w:lang w:eastAsia="zh-CN"/>
        </w:rPr>
      </w:pPr>
    </w:p>
    <w:p w14:paraId="366AB324">
      <w:pPr>
        <w:pageBreakBefore w:val="0"/>
        <w:widowControl w:val="0"/>
        <w:wordWrap/>
        <w:overflowPunct/>
        <w:topLinePunct w:val="0"/>
        <w:bidi w:val="0"/>
        <w:spacing w:line="245" w:lineRule="auto"/>
        <w:rPr>
          <w:color w:val="auto"/>
          <w:spacing w:val="0"/>
          <w:position w:val="0"/>
          <w:lang w:eastAsia="zh-CN"/>
        </w:rPr>
      </w:pPr>
    </w:p>
    <w:p w14:paraId="74D80658">
      <w:pPr>
        <w:pageBreakBefore w:val="0"/>
        <w:widowControl w:val="0"/>
        <w:wordWrap/>
        <w:overflowPunct/>
        <w:topLinePunct w:val="0"/>
        <w:bidi w:val="0"/>
        <w:spacing w:line="245" w:lineRule="auto"/>
        <w:rPr>
          <w:color w:val="auto"/>
          <w:spacing w:val="0"/>
          <w:position w:val="0"/>
          <w:lang w:eastAsia="zh-CN"/>
        </w:rPr>
      </w:pPr>
    </w:p>
    <w:p w14:paraId="6D61C032">
      <w:pPr>
        <w:pageBreakBefore w:val="0"/>
        <w:widowControl w:val="0"/>
        <w:wordWrap/>
        <w:overflowPunct/>
        <w:topLinePunct w:val="0"/>
        <w:bidi w:val="0"/>
        <w:spacing w:line="245" w:lineRule="auto"/>
        <w:rPr>
          <w:color w:val="auto"/>
          <w:spacing w:val="0"/>
          <w:position w:val="0"/>
          <w:lang w:eastAsia="zh-CN"/>
        </w:rPr>
      </w:pPr>
    </w:p>
    <w:p w14:paraId="09DDD6E8">
      <w:pPr>
        <w:pageBreakBefore w:val="0"/>
        <w:widowControl w:val="0"/>
        <w:wordWrap/>
        <w:overflowPunct/>
        <w:topLinePunct w:val="0"/>
        <w:bidi w:val="0"/>
        <w:spacing w:line="245" w:lineRule="auto"/>
        <w:rPr>
          <w:color w:val="auto"/>
          <w:spacing w:val="0"/>
          <w:position w:val="0"/>
          <w:lang w:eastAsia="zh-CN"/>
        </w:rPr>
      </w:pPr>
    </w:p>
    <w:p w14:paraId="4F540B82">
      <w:pPr>
        <w:pageBreakBefore w:val="0"/>
        <w:widowControl w:val="0"/>
        <w:wordWrap/>
        <w:overflowPunct/>
        <w:topLinePunct w:val="0"/>
        <w:bidi w:val="0"/>
        <w:spacing w:line="245" w:lineRule="auto"/>
        <w:rPr>
          <w:color w:val="auto"/>
          <w:spacing w:val="0"/>
          <w:position w:val="0"/>
          <w:lang w:eastAsia="zh-CN"/>
        </w:rPr>
      </w:pPr>
    </w:p>
    <w:p w14:paraId="2B8BBD5D">
      <w:pPr>
        <w:pageBreakBefore w:val="0"/>
        <w:widowControl w:val="0"/>
        <w:wordWrap/>
        <w:overflowPunct/>
        <w:topLinePunct w:val="0"/>
        <w:bidi w:val="0"/>
        <w:spacing w:line="245" w:lineRule="auto"/>
        <w:rPr>
          <w:color w:val="auto"/>
          <w:spacing w:val="0"/>
          <w:position w:val="0"/>
          <w:lang w:eastAsia="zh-CN"/>
        </w:rPr>
      </w:pPr>
    </w:p>
    <w:p w14:paraId="52EB9D70">
      <w:pPr>
        <w:pageBreakBefore w:val="0"/>
        <w:widowControl w:val="0"/>
        <w:wordWrap/>
        <w:overflowPunct/>
        <w:topLinePunct w:val="0"/>
        <w:bidi w:val="0"/>
        <w:spacing w:line="245" w:lineRule="auto"/>
        <w:rPr>
          <w:color w:val="auto"/>
          <w:spacing w:val="0"/>
          <w:position w:val="0"/>
          <w:lang w:eastAsia="zh-CN"/>
        </w:rPr>
      </w:pPr>
    </w:p>
    <w:p w14:paraId="4F0E88A9">
      <w:pPr>
        <w:pageBreakBefore w:val="0"/>
        <w:widowControl w:val="0"/>
        <w:wordWrap/>
        <w:overflowPunct/>
        <w:topLinePunct w:val="0"/>
        <w:bidi w:val="0"/>
        <w:spacing w:line="245" w:lineRule="auto"/>
        <w:rPr>
          <w:color w:val="auto"/>
          <w:spacing w:val="0"/>
          <w:position w:val="0"/>
          <w:lang w:eastAsia="zh-CN"/>
        </w:rPr>
      </w:pPr>
    </w:p>
    <w:p w14:paraId="0B4315C7">
      <w:pPr>
        <w:pageBreakBefore w:val="0"/>
        <w:widowControl w:val="0"/>
        <w:wordWrap/>
        <w:overflowPunct/>
        <w:topLinePunct w:val="0"/>
        <w:bidi w:val="0"/>
        <w:spacing w:line="245" w:lineRule="auto"/>
        <w:rPr>
          <w:color w:val="auto"/>
          <w:spacing w:val="0"/>
          <w:position w:val="0"/>
          <w:lang w:eastAsia="zh-CN"/>
        </w:rPr>
      </w:pPr>
    </w:p>
    <w:p w14:paraId="686FDF03">
      <w:pPr>
        <w:pageBreakBefore w:val="0"/>
        <w:widowControl w:val="0"/>
        <w:wordWrap/>
        <w:overflowPunct/>
        <w:topLinePunct w:val="0"/>
        <w:bidi w:val="0"/>
        <w:spacing w:line="245" w:lineRule="auto"/>
        <w:rPr>
          <w:color w:val="auto"/>
          <w:spacing w:val="0"/>
          <w:position w:val="0"/>
          <w:lang w:eastAsia="zh-CN"/>
        </w:rPr>
      </w:pPr>
    </w:p>
    <w:p w14:paraId="072F00EA">
      <w:pPr>
        <w:pageBreakBefore w:val="0"/>
        <w:widowControl w:val="0"/>
        <w:wordWrap/>
        <w:overflowPunct/>
        <w:topLinePunct w:val="0"/>
        <w:bidi w:val="0"/>
        <w:spacing w:line="245" w:lineRule="auto"/>
        <w:rPr>
          <w:color w:val="auto"/>
          <w:spacing w:val="0"/>
          <w:position w:val="0"/>
          <w:lang w:eastAsia="zh-CN"/>
        </w:rPr>
      </w:pPr>
    </w:p>
    <w:p w14:paraId="12689F3B">
      <w:pPr>
        <w:pageBreakBefore w:val="0"/>
        <w:widowControl w:val="0"/>
        <w:wordWrap/>
        <w:overflowPunct/>
        <w:topLinePunct w:val="0"/>
        <w:bidi w:val="0"/>
        <w:spacing w:line="245" w:lineRule="auto"/>
        <w:rPr>
          <w:color w:val="auto"/>
          <w:spacing w:val="0"/>
          <w:position w:val="0"/>
          <w:lang w:eastAsia="zh-CN"/>
        </w:rPr>
      </w:pPr>
    </w:p>
    <w:p w14:paraId="4957AA88">
      <w:pPr>
        <w:pageBreakBefore w:val="0"/>
        <w:widowControl w:val="0"/>
        <w:wordWrap/>
        <w:overflowPunct/>
        <w:topLinePunct w:val="0"/>
        <w:bidi w:val="0"/>
        <w:spacing w:line="245" w:lineRule="auto"/>
        <w:rPr>
          <w:color w:val="auto"/>
          <w:spacing w:val="0"/>
          <w:position w:val="0"/>
          <w:lang w:eastAsia="zh-CN"/>
        </w:rPr>
      </w:pPr>
    </w:p>
    <w:p w14:paraId="13C36B7E">
      <w:pPr>
        <w:pageBreakBefore w:val="0"/>
        <w:widowControl w:val="0"/>
        <w:wordWrap/>
        <w:overflowPunct/>
        <w:topLinePunct w:val="0"/>
        <w:bidi w:val="0"/>
        <w:spacing w:line="245" w:lineRule="auto"/>
        <w:rPr>
          <w:color w:val="auto"/>
          <w:spacing w:val="0"/>
          <w:position w:val="0"/>
          <w:lang w:eastAsia="zh-CN"/>
        </w:rPr>
      </w:pPr>
    </w:p>
    <w:p w14:paraId="58CD63B2">
      <w:pPr>
        <w:pageBreakBefore w:val="0"/>
        <w:widowControl w:val="0"/>
        <w:wordWrap/>
        <w:overflowPunct/>
        <w:topLinePunct w:val="0"/>
        <w:bidi w:val="0"/>
        <w:spacing w:line="245" w:lineRule="auto"/>
        <w:rPr>
          <w:color w:val="auto"/>
          <w:spacing w:val="0"/>
          <w:position w:val="0"/>
          <w:lang w:eastAsia="zh-CN"/>
        </w:rPr>
      </w:pPr>
    </w:p>
    <w:p w14:paraId="1E2B3810">
      <w:pPr>
        <w:pageBreakBefore w:val="0"/>
        <w:widowControl w:val="0"/>
        <w:wordWrap/>
        <w:overflowPunct/>
        <w:topLinePunct w:val="0"/>
        <w:bidi w:val="0"/>
        <w:spacing w:line="245" w:lineRule="auto"/>
        <w:rPr>
          <w:color w:val="auto"/>
          <w:spacing w:val="0"/>
          <w:position w:val="0"/>
          <w:lang w:eastAsia="zh-CN"/>
        </w:rPr>
      </w:pPr>
    </w:p>
    <w:p w14:paraId="5808AF8D">
      <w:pPr>
        <w:pageBreakBefore w:val="0"/>
        <w:widowControl w:val="0"/>
        <w:wordWrap/>
        <w:overflowPunct/>
        <w:topLinePunct w:val="0"/>
        <w:bidi w:val="0"/>
        <w:spacing w:line="245" w:lineRule="auto"/>
        <w:rPr>
          <w:color w:val="auto"/>
          <w:spacing w:val="0"/>
          <w:position w:val="0"/>
          <w:lang w:eastAsia="zh-CN"/>
        </w:rPr>
      </w:pPr>
    </w:p>
    <w:p w14:paraId="0EDBA456">
      <w:pPr>
        <w:pageBreakBefore w:val="0"/>
        <w:widowControl w:val="0"/>
        <w:wordWrap/>
        <w:overflowPunct/>
        <w:topLinePunct w:val="0"/>
        <w:bidi w:val="0"/>
        <w:spacing w:line="245" w:lineRule="auto"/>
        <w:rPr>
          <w:color w:val="auto"/>
          <w:spacing w:val="0"/>
          <w:position w:val="0"/>
          <w:lang w:eastAsia="zh-CN"/>
        </w:rPr>
      </w:pPr>
    </w:p>
    <w:p w14:paraId="643DD2B9">
      <w:pPr>
        <w:pageBreakBefore w:val="0"/>
        <w:widowControl w:val="0"/>
        <w:wordWrap/>
        <w:overflowPunct/>
        <w:topLinePunct w:val="0"/>
        <w:bidi w:val="0"/>
        <w:spacing w:line="245" w:lineRule="auto"/>
        <w:rPr>
          <w:color w:val="auto"/>
          <w:spacing w:val="0"/>
          <w:position w:val="0"/>
          <w:lang w:eastAsia="zh-CN"/>
        </w:rPr>
      </w:pPr>
    </w:p>
    <w:p w14:paraId="4B6DF151">
      <w:pPr>
        <w:pageBreakBefore w:val="0"/>
        <w:widowControl w:val="0"/>
        <w:wordWrap/>
        <w:overflowPunct/>
        <w:topLinePunct w:val="0"/>
        <w:bidi w:val="0"/>
        <w:spacing w:line="245" w:lineRule="auto"/>
        <w:rPr>
          <w:color w:val="auto"/>
          <w:spacing w:val="0"/>
          <w:position w:val="0"/>
          <w:lang w:eastAsia="zh-CN"/>
        </w:rPr>
      </w:pPr>
    </w:p>
    <w:p w14:paraId="645A433D">
      <w:pPr>
        <w:pageBreakBefore w:val="0"/>
        <w:widowControl w:val="0"/>
        <w:wordWrap/>
        <w:overflowPunct/>
        <w:topLinePunct w:val="0"/>
        <w:bidi w:val="0"/>
        <w:spacing w:line="245" w:lineRule="auto"/>
        <w:rPr>
          <w:color w:val="auto"/>
          <w:spacing w:val="0"/>
          <w:position w:val="0"/>
          <w:lang w:eastAsia="zh-CN"/>
        </w:rPr>
      </w:pPr>
    </w:p>
    <w:p w14:paraId="12B9853D">
      <w:pPr>
        <w:pageBreakBefore w:val="0"/>
        <w:widowControl w:val="0"/>
        <w:wordWrap/>
        <w:overflowPunct/>
        <w:topLinePunct w:val="0"/>
        <w:bidi w:val="0"/>
        <w:spacing w:line="245" w:lineRule="auto"/>
        <w:rPr>
          <w:color w:val="auto"/>
          <w:spacing w:val="0"/>
          <w:position w:val="0"/>
          <w:lang w:eastAsia="zh-CN"/>
        </w:rPr>
      </w:pPr>
    </w:p>
    <w:p w14:paraId="4400BB59">
      <w:pPr>
        <w:pageBreakBefore w:val="0"/>
        <w:widowControl w:val="0"/>
        <w:wordWrap/>
        <w:overflowPunct/>
        <w:topLinePunct w:val="0"/>
        <w:bidi w:val="0"/>
        <w:spacing w:line="245" w:lineRule="auto"/>
        <w:rPr>
          <w:color w:val="auto"/>
          <w:spacing w:val="0"/>
          <w:position w:val="0"/>
          <w:lang w:eastAsia="zh-CN"/>
        </w:rPr>
      </w:pPr>
    </w:p>
    <w:p w14:paraId="0A73DC90">
      <w:pPr>
        <w:pageBreakBefore w:val="0"/>
        <w:widowControl w:val="0"/>
        <w:wordWrap/>
        <w:overflowPunct/>
        <w:topLinePunct w:val="0"/>
        <w:bidi w:val="0"/>
        <w:spacing w:line="245" w:lineRule="auto"/>
        <w:rPr>
          <w:color w:val="auto"/>
          <w:spacing w:val="0"/>
          <w:position w:val="0"/>
          <w:lang w:eastAsia="zh-CN"/>
        </w:rPr>
      </w:pPr>
    </w:p>
    <w:p w14:paraId="14AC7DA0">
      <w:pPr>
        <w:pageBreakBefore w:val="0"/>
        <w:widowControl w:val="0"/>
        <w:wordWrap/>
        <w:overflowPunct/>
        <w:topLinePunct w:val="0"/>
        <w:bidi w:val="0"/>
        <w:spacing w:line="245" w:lineRule="auto"/>
        <w:rPr>
          <w:color w:val="auto"/>
          <w:spacing w:val="0"/>
          <w:position w:val="0"/>
          <w:lang w:eastAsia="zh-CN"/>
        </w:rPr>
      </w:pPr>
    </w:p>
    <w:p w14:paraId="3996BB4E">
      <w:pPr>
        <w:pageBreakBefore w:val="0"/>
        <w:widowControl w:val="0"/>
        <w:wordWrap/>
        <w:overflowPunct/>
        <w:topLinePunct w:val="0"/>
        <w:bidi w:val="0"/>
        <w:spacing w:line="245" w:lineRule="auto"/>
        <w:rPr>
          <w:color w:val="auto"/>
          <w:spacing w:val="0"/>
          <w:position w:val="0"/>
          <w:lang w:eastAsia="zh-CN"/>
        </w:rPr>
      </w:pPr>
    </w:p>
    <w:p w14:paraId="5BD15BDC">
      <w:pPr>
        <w:pageBreakBefore w:val="0"/>
        <w:widowControl w:val="0"/>
        <w:wordWrap/>
        <w:overflowPunct/>
        <w:topLinePunct w:val="0"/>
        <w:bidi w:val="0"/>
        <w:spacing w:line="245" w:lineRule="auto"/>
        <w:rPr>
          <w:color w:val="auto"/>
          <w:spacing w:val="0"/>
          <w:position w:val="0"/>
          <w:lang w:eastAsia="zh-CN"/>
        </w:rPr>
      </w:pPr>
    </w:p>
    <w:p w14:paraId="0020A032">
      <w:pPr>
        <w:pageBreakBefore w:val="0"/>
        <w:widowControl w:val="0"/>
        <w:wordWrap/>
        <w:overflowPunct/>
        <w:topLinePunct w:val="0"/>
        <w:bidi w:val="0"/>
        <w:spacing w:before="47" w:line="219" w:lineRule="auto"/>
        <w:jc w:val="center"/>
        <w:outlineLvl w:val="1"/>
        <w:rPr>
          <w:rFonts w:hint="eastAsia" w:ascii="宋体" w:hAnsi="宋体" w:eastAsia="宋体" w:cs="宋体"/>
          <w:color w:val="auto"/>
          <w:spacing w:val="0"/>
          <w:position w:val="0"/>
          <w:sz w:val="28"/>
          <w:szCs w:val="28"/>
          <w:lang w:val="en-US" w:eastAsia="zh-CN"/>
        </w:rPr>
      </w:pPr>
      <w:bookmarkStart w:id="13" w:name="_Toc2703"/>
      <w:bookmarkStart w:id="14" w:name="_Toc13248"/>
      <w:bookmarkStart w:id="15" w:name="_Toc4726"/>
      <w:bookmarkStart w:id="16" w:name="_Toc32483"/>
      <w:bookmarkStart w:id="17" w:name="_Toc17843"/>
      <w:bookmarkStart w:id="18" w:name="_Toc22766"/>
      <w:r>
        <w:rPr>
          <w:rFonts w:hint="eastAsia" w:ascii="宋体" w:hAnsi="宋体" w:eastAsia="宋体" w:cs="宋体"/>
          <w:color w:val="auto"/>
          <w:spacing w:val="0"/>
          <w:position w:val="0"/>
          <w:sz w:val="28"/>
          <w:szCs w:val="28"/>
          <w:lang w:val="en-US" w:eastAsia="zh-CN"/>
        </w:rPr>
        <w:t>三</w:t>
      </w:r>
      <w:r>
        <w:rPr>
          <w:rFonts w:hint="eastAsia" w:ascii="宋体" w:hAnsi="宋体" w:eastAsia="宋体" w:cs="宋体"/>
          <w:color w:val="auto"/>
          <w:spacing w:val="0"/>
          <w:position w:val="0"/>
          <w:sz w:val="28"/>
          <w:szCs w:val="28"/>
        </w:rPr>
        <w:t>、商务</w:t>
      </w:r>
      <w:bookmarkEnd w:id="13"/>
      <w:bookmarkEnd w:id="14"/>
      <w:bookmarkEnd w:id="15"/>
      <w:r>
        <w:rPr>
          <w:rFonts w:hint="eastAsia" w:ascii="宋体" w:hAnsi="宋体" w:eastAsia="宋体" w:cs="宋体"/>
          <w:color w:val="auto"/>
          <w:spacing w:val="0"/>
          <w:position w:val="0"/>
          <w:sz w:val="28"/>
          <w:szCs w:val="28"/>
          <w:lang w:val="en-US" w:eastAsia="zh-CN"/>
        </w:rPr>
        <w:t>条款</w:t>
      </w:r>
      <w:bookmarkEnd w:id="16"/>
      <w:bookmarkEnd w:id="17"/>
      <w:bookmarkEnd w:id="18"/>
    </w:p>
    <w:p w14:paraId="2CFB2153">
      <w:pPr>
        <w:pageBreakBefore w:val="0"/>
        <w:widowControl w:val="0"/>
        <w:wordWrap/>
        <w:overflowPunct/>
        <w:topLinePunct w:val="0"/>
        <w:bidi w:val="0"/>
        <w:spacing w:before="47" w:line="219" w:lineRule="auto"/>
        <w:ind w:left="3805"/>
        <w:outlineLvl w:val="1"/>
        <w:rPr>
          <w:rFonts w:hint="default" w:ascii="宋体" w:hAnsi="宋体" w:eastAsia="宋体" w:cs="宋体"/>
          <w:color w:val="auto"/>
          <w:spacing w:val="0"/>
          <w:position w:val="0"/>
          <w:sz w:val="28"/>
          <w:szCs w:val="28"/>
          <w:lang w:val="en-US" w:eastAsia="zh-CN"/>
        </w:rPr>
      </w:pPr>
    </w:p>
    <w:tbl>
      <w:tblPr>
        <w:tblStyle w:val="7"/>
        <w:tblW w:w="99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0"/>
        <w:gridCol w:w="1783"/>
        <w:gridCol w:w="7263"/>
      </w:tblGrid>
      <w:tr w14:paraId="78D815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930" w:type="dxa"/>
            <w:noWrap w:val="0"/>
            <w:vAlign w:val="center"/>
          </w:tcPr>
          <w:p w14:paraId="49026EC5">
            <w:pPr>
              <w:pStyle w:val="8"/>
              <w:spacing w:before="144" w:line="225" w:lineRule="auto"/>
              <w:ind w:left="114"/>
              <w:jc w:val="center"/>
              <w:rPr>
                <w:rFonts w:hint="eastAsia" w:ascii="宋体" w:hAnsi="宋体" w:eastAsia="宋体" w:cs="宋体"/>
                <w:sz w:val="24"/>
                <w:szCs w:val="24"/>
              </w:rPr>
            </w:pPr>
            <w:r>
              <w:rPr>
                <w:rFonts w:hint="eastAsia" w:ascii="宋体" w:hAnsi="宋体" w:eastAsia="宋体" w:cs="宋体"/>
                <w:b/>
                <w:bCs/>
                <w:spacing w:val="-7"/>
                <w:sz w:val="24"/>
                <w:szCs w:val="24"/>
              </w:rPr>
              <w:t>序号</w:t>
            </w:r>
          </w:p>
        </w:tc>
        <w:tc>
          <w:tcPr>
            <w:tcW w:w="1783" w:type="dxa"/>
            <w:noWrap w:val="0"/>
            <w:vAlign w:val="center"/>
          </w:tcPr>
          <w:p w14:paraId="6AE86A83">
            <w:pPr>
              <w:pStyle w:val="8"/>
              <w:spacing w:before="145" w:line="224" w:lineRule="auto"/>
              <w:jc w:val="both"/>
              <w:rPr>
                <w:rFonts w:hint="eastAsia" w:ascii="宋体" w:hAnsi="宋体" w:eastAsia="宋体" w:cs="宋体"/>
                <w:sz w:val="24"/>
                <w:szCs w:val="24"/>
              </w:rPr>
            </w:pPr>
            <w:r>
              <w:rPr>
                <w:rFonts w:hint="eastAsia" w:ascii="宋体" w:hAnsi="宋体" w:eastAsia="宋体" w:cs="宋体"/>
                <w:b/>
                <w:bCs/>
                <w:spacing w:val="-6"/>
                <w:sz w:val="24"/>
                <w:szCs w:val="24"/>
              </w:rPr>
              <w:t>商务条款名称</w:t>
            </w:r>
          </w:p>
        </w:tc>
        <w:tc>
          <w:tcPr>
            <w:tcW w:w="7263" w:type="dxa"/>
            <w:noWrap w:val="0"/>
            <w:vAlign w:val="center"/>
          </w:tcPr>
          <w:p w14:paraId="2D22CFED">
            <w:pPr>
              <w:pStyle w:val="8"/>
              <w:spacing w:before="144" w:line="224" w:lineRule="auto"/>
              <w:jc w:val="center"/>
              <w:rPr>
                <w:rFonts w:hint="eastAsia" w:ascii="宋体" w:hAnsi="宋体" w:eastAsia="宋体" w:cs="宋体"/>
                <w:sz w:val="24"/>
                <w:szCs w:val="24"/>
              </w:rPr>
            </w:pPr>
            <w:r>
              <w:rPr>
                <w:rFonts w:hint="eastAsia" w:ascii="宋体" w:hAnsi="宋体" w:eastAsia="宋体" w:cs="宋体"/>
                <w:b/>
                <w:bCs/>
                <w:spacing w:val="-9"/>
                <w:sz w:val="24"/>
                <w:szCs w:val="24"/>
              </w:rPr>
              <w:t>需求说明</w:t>
            </w:r>
          </w:p>
        </w:tc>
      </w:tr>
      <w:tr w14:paraId="306C3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930" w:type="dxa"/>
            <w:noWrap w:val="0"/>
            <w:vAlign w:val="center"/>
          </w:tcPr>
          <w:p w14:paraId="4CA81596">
            <w:pPr>
              <w:pStyle w:val="8"/>
              <w:spacing w:before="78" w:line="184" w:lineRule="auto"/>
              <w:jc w:val="center"/>
              <w:rPr>
                <w:rFonts w:hint="eastAsia" w:ascii="宋体" w:hAnsi="宋体" w:eastAsia="宋体" w:cs="宋体"/>
                <w:sz w:val="24"/>
                <w:szCs w:val="24"/>
              </w:rPr>
            </w:pPr>
          </w:p>
          <w:p w14:paraId="70ADEB57">
            <w:pPr>
              <w:pStyle w:val="8"/>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783" w:type="dxa"/>
            <w:noWrap w:val="0"/>
            <w:vAlign w:val="center"/>
          </w:tcPr>
          <w:p w14:paraId="7F5CF341">
            <w:pPr>
              <w:pStyle w:val="8"/>
              <w:spacing w:before="78" w:line="224"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highlight w:val="none"/>
              </w:rPr>
              <w:t>交付时间</w:t>
            </w:r>
          </w:p>
        </w:tc>
        <w:tc>
          <w:tcPr>
            <w:tcW w:w="7263" w:type="dxa"/>
            <w:noWrap w:val="0"/>
            <w:vAlign w:val="center"/>
          </w:tcPr>
          <w:p w14:paraId="6E0EC8FF">
            <w:pPr>
              <w:pStyle w:val="8"/>
              <w:spacing w:before="177" w:line="227" w:lineRule="auto"/>
              <w:ind w:left="35"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highlight w:val="none"/>
              </w:rPr>
              <w:t>合同签订后至202</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年1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月3</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日</w:t>
            </w:r>
            <w:r>
              <w:rPr>
                <w:rFonts w:hint="eastAsia" w:ascii="宋体" w:hAnsi="宋体" w:eastAsia="宋体" w:cs="宋体"/>
                <w:sz w:val="24"/>
                <w:szCs w:val="24"/>
                <w:highlight w:val="none"/>
                <w:lang w:eastAsia="zh-CN"/>
              </w:rPr>
              <w:t>。</w:t>
            </w:r>
          </w:p>
        </w:tc>
      </w:tr>
      <w:tr w14:paraId="087226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930" w:type="dxa"/>
            <w:noWrap w:val="0"/>
            <w:vAlign w:val="center"/>
          </w:tcPr>
          <w:p w14:paraId="1F777A78">
            <w:pPr>
              <w:pStyle w:val="8"/>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783" w:type="dxa"/>
            <w:noWrap w:val="0"/>
            <w:vAlign w:val="center"/>
          </w:tcPr>
          <w:p w14:paraId="1DEA4120">
            <w:pPr>
              <w:pStyle w:val="8"/>
              <w:spacing w:before="177" w:line="225" w:lineRule="auto"/>
              <w:ind w:left="533"/>
              <w:jc w:val="both"/>
              <w:rPr>
                <w:rFonts w:hint="eastAsia" w:ascii="宋体" w:hAnsi="宋体" w:eastAsia="宋体" w:cs="宋体"/>
                <w:sz w:val="24"/>
                <w:szCs w:val="24"/>
              </w:rPr>
            </w:pPr>
            <w:r>
              <w:rPr>
                <w:rFonts w:hint="eastAsia" w:ascii="宋体" w:hAnsi="宋体" w:eastAsia="宋体" w:cs="宋体"/>
                <w:sz w:val="24"/>
                <w:szCs w:val="24"/>
                <w:highlight w:val="none"/>
              </w:rPr>
              <w:t>地点</w:t>
            </w:r>
          </w:p>
        </w:tc>
        <w:tc>
          <w:tcPr>
            <w:tcW w:w="7263" w:type="dxa"/>
            <w:noWrap w:val="0"/>
            <w:vAlign w:val="center"/>
          </w:tcPr>
          <w:p w14:paraId="6F64F786">
            <w:pPr>
              <w:pStyle w:val="8"/>
              <w:spacing w:before="177" w:line="227" w:lineRule="auto"/>
              <w:ind w:left="35" w:firstLine="480" w:firstLineChars="200"/>
              <w:jc w:val="both"/>
              <w:rPr>
                <w:rFonts w:hint="eastAsia" w:ascii="宋体" w:hAnsi="宋体" w:eastAsia="宋体" w:cs="宋体"/>
                <w:sz w:val="24"/>
                <w:szCs w:val="24"/>
              </w:rPr>
            </w:pPr>
            <w:r>
              <w:rPr>
                <w:rFonts w:hint="eastAsia" w:ascii="宋体" w:hAnsi="宋体" w:eastAsia="宋体" w:cs="宋体"/>
                <w:sz w:val="24"/>
                <w:szCs w:val="24"/>
                <w:highlight w:val="none"/>
              </w:rPr>
              <w:t>采购人指定地点。</w:t>
            </w:r>
          </w:p>
        </w:tc>
      </w:tr>
      <w:tr w14:paraId="15B7AC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3" w:hRule="atLeast"/>
        </w:trPr>
        <w:tc>
          <w:tcPr>
            <w:tcW w:w="930" w:type="dxa"/>
            <w:noWrap w:val="0"/>
            <w:vAlign w:val="center"/>
          </w:tcPr>
          <w:p w14:paraId="1043E434">
            <w:pPr>
              <w:pStyle w:val="8"/>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783" w:type="dxa"/>
            <w:noWrap w:val="0"/>
            <w:vAlign w:val="center"/>
          </w:tcPr>
          <w:p w14:paraId="06E267F9">
            <w:pPr>
              <w:pStyle w:val="8"/>
              <w:spacing w:before="78" w:line="229" w:lineRule="auto"/>
              <w:jc w:val="center"/>
              <w:rPr>
                <w:rFonts w:hint="eastAsia" w:ascii="宋体" w:hAnsi="宋体" w:eastAsia="宋体" w:cs="宋体"/>
                <w:sz w:val="24"/>
                <w:szCs w:val="24"/>
              </w:rPr>
            </w:pPr>
            <w:r>
              <w:rPr>
                <w:rFonts w:hint="eastAsia" w:ascii="宋体" w:hAnsi="宋体" w:eastAsia="宋体" w:cs="宋体"/>
                <w:sz w:val="24"/>
                <w:szCs w:val="24"/>
                <w:highlight w:val="none"/>
              </w:rPr>
              <w:t>付款进度和方式</w:t>
            </w:r>
          </w:p>
        </w:tc>
        <w:tc>
          <w:tcPr>
            <w:tcW w:w="7263" w:type="dxa"/>
            <w:noWrap w:val="0"/>
            <w:vAlign w:val="center"/>
          </w:tcPr>
          <w:p w14:paraId="0C500D7C">
            <w:pPr>
              <w:spacing w:line="600" w:lineRule="exact"/>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3.1履约保证金：合同签订后20天内，中标人须向采购人支付合同金额的10%的履约保证金，待服务期验收完成后，采购人在30天内无息退还。</w:t>
            </w:r>
          </w:p>
          <w:p w14:paraId="50298AE0">
            <w:pPr>
              <w:spacing w:line="600" w:lineRule="exact"/>
              <w:ind w:firstLine="482" w:firstLineChars="200"/>
              <w:jc w:val="left"/>
              <w:textAlignment w:val="center"/>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3.2付款方式：</w:t>
            </w:r>
          </w:p>
          <w:p w14:paraId="0277ACEF">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3.2.1 自签订合同且中标人已完成活动安排计划60%，开展中期验收，采购人应在收到发票10个工作日内支付</w:t>
            </w:r>
            <w:r>
              <w:rPr>
                <w:rFonts w:hint="eastAsia" w:ascii="宋体" w:hAnsi="宋体" w:eastAsia="宋体" w:cs="宋体"/>
                <w:sz w:val="24"/>
                <w:szCs w:val="24"/>
                <w:highlight w:val="none"/>
                <w:lang w:val="en-US" w:eastAsia="zh-CN"/>
              </w:rPr>
              <w:t>对应</w:t>
            </w:r>
            <w:r>
              <w:rPr>
                <w:rFonts w:hint="eastAsia" w:ascii="宋体" w:hAnsi="宋体" w:eastAsia="宋体" w:cs="宋体"/>
                <w:sz w:val="24"/>
                <w:szCs w:val="24"/>
                <w:highlight w:val="none"/>
              </w:rPr>
              <w:t>款项；当中标人完成所有活动计划后，开展终期验收，并结算专项考核费用，采购人在收到中标人开具的合法发票后，于202</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年12月31日前一次性支付</w:t>
            </w:r>
            <w:r>
              <w:rPr>
                <w:rFonts w:hint="eastAsia" w:ascii="宋体" w:hAnsi="宋体" w:eastAsia="宋体" w:cs="宋体"/>
                <w:sz w:val="24"/>
                <w:szCs w:val="24"/>
                <w:highlight w:val="none"/>
                <w:lang w:val="en-US" w:eastAsia="zh-CN"/>
              </w:rPr>
              <w:t>尾款</w:t>
            </w:r>
            <w:r>
              <w:rPr>
                <w:rFonts w:hint="eastAsia" w:ascii="宋体" w:hAnsi="宋体" w:eastAsia="宋体" w:cs="宋体"/>
                <w:sz w:val="24"/>
                <w:szCs w:val="24"/>
                <w:highlight w:val="none"/>
              </w:rPr>
              <w:t>。</w:t>
            </w:r>
          </w:p>
          <w:p w14:paraId="66DA7B90">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3.2.2 采购人依据</w:t>
            </w:r>
            <w:r>
              <w:rPr>
                <w:rFonts w:hint="eastAsia" w:ascii="宋体" w:hAnsi="宋体" w:eastAsia="宋体" w:cs="宋体"/>
                <w:color w:val="auto"/>
                <w:spacing w:val="0"/>
                <w:position w:val="0"/>
                <w:sz w:val="24"/>
                <w:szCs w:val="24"/>
                <w:lang w:eastAsia="zh-CN"/>
              </w:rPr>
              <w:t>项目</w:t>
            </w:r>
            <w:r>
              <w:rPr>
                <w:rFonts w:hint="eastAsia" w:ascii="宋体" w:hAnsi="宋体" w:eastAsia="宋体" w:cs="宋体"/>
                <w:sz w:val="24"/>
                <w:szCs w:val="24"/>
                <w:highlight w:val="none"/>
              </w:rPr>
              <w:t>具体要求开展验收工作。验收完成后，按照验收结果进行尾款结算。</w:t>
            </w:r>
          </w:p>
          <w:p w14:paraId="5E89EB47">
            <w:pPr>
              <w:spacing w:line="6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highlight w:val="none"/>
              </w:rPr>
              <w:t>3.2.3采购人付款前，中标人须开具合法、等额的发票，否则采购人有权拒绝付款并无需承担违约责任。</w:t>
            </w:r>
          </w:p>
        </w:tc>
      </w:tr>
      <w:tr w14:paraId="779C1D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930" w:type="dxa"/>
            <w:noWrap w:val="0"/>
            <w:vAlign w:val="center"/>
          </w:tcPr>
          <w:p w14:paraId="1AB57B87">
            <w:pPr>
              <w:pStyle w:val="8"/>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783" w:type="dxa"/>
            <w:noWrap w:val="0"/>
            <w:vAlign w:val="center"/>
          </w:tcPr>
          <w:p w14:paraId="1D636850">
            <w:pPr>
              <w:pStyle w:val="8"/>
              <w:spacing w:before="78" w:line="229" w:lineRule="auto"/>
              <w:jc w:val="center"/>
              <w:rPr>
                <w:rFonts w:hint="eastAsia" w:ascii="宋体" w:hAnsi="宋体" w:eastAsia="宋体" w:cs="宋体"/>
                <w:sz w:val="24"/>
                <w:szCs w:val="24"/>
                <w:highlight w:val="none"/>
              </w:rPr>
            </w:pPr>
          </w:p>
          <w:p w14:paraId="29A03475">
            <w:pPr>
              <w:pStyle w:val="8"/>
              <w:spacing w:before="78" w:line="229"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报价要求</w:t>
            </w:r>
          </w:p>
          <w:p w14:paraId="4DE04D24">
            <w:pPr>
              <w:pStyle w:val="8"/>
              <w:spacing w:before="78" w:line="231" w:lineRule="auto"/>
              <w:ind w:left="539"/>
              <w:jc w:val="center"/>
              <w:rPr>
                <w:rFonts w:hint="eastAsia" w:ascii="宋体" w:hAnsi="宋体" w:eastAsia="宋体" w:cs="宋体"/>
                <w:sz w:val="24"/>
                <w:szCs w:val="24"/>
              </w:rPr>
            </w:pPr>
          </w:p>
        </w:tc>
        <w:tc>
          <w:tcPr>
            <w:tcW w:w="7263" w:type="dxa"/>
            <w:noWrap w:val="0"/>
            <w:vAlign w:val="center"/>
          </w:tcPr>
          <w:p w14:paraId="44C14E70">
            <w:pPr>
              <w:spacing w:line="600" w:lineRule="exact"/>
              <w:ind w:firstLine="480" w:firstLineChars="200"/>
              <w:jc w:val="left"/>
              <w:textAlignment w:val="center"/>
              <w:rPr>
                <w:rFonts w:hint="eastAsia" w:ascii="宋体" w:hAnsi="宋体" w:eastAsia="宋体" w:cs="宋体"/>
                <w:sz w:val="24"/>
                <w:szCs w:val="24"/>
              </w:rPr>
            </w:pPr>
            <w:r>
              <w:rPr>
                <w:rFonts w:hint="eastAsia" w:ascii="宋体" w:hAnsi="宋体" w:eastAsia="宋体" w:cs="宋体"/>
                <w:sz w:val="24"/>
                <w:szCs w:val="24"/>
                <w:highlight w:val="none"/>
              </w:rPr>
              <w:t>报价包含线下招聘会场展位（或线上招聘网络专区设置）、招聘海报等物料的设计制作、参会单位餐食及矿泉水等、网络、硬件、软件配套设施安排等服务全部费用。</w:t>
            </w:r>
          </w:p>
        </w:tc>
      </w:tr>
      <w:tr w14:paraId="585388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4" w:hRule="atLeast"/>
        </w:trPr>
        <w:tc>
          <w:tcPr>
            <w:tcW w:w="930" w:type="dxa"/>
            <w:noWrap w:val="0"/>
            <w:vAlign w:val="center"/>
          </w:tcPr>
          <w:p w14:paraId="33444882">
            <w:pPr>
              <w:pStyle w:val="8"/>
              <w:spacing w:before="78" w:line="184"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783" w:type="dxa"/>
            <w:noWrap w:val="0"/>
            <w:vAlign w:val="center"/>
          </w:tcPr>
          <w:p w14:paraId="60D896BC">
            <w:pPr>
              <w:pStyle w:val="8"/>
              <w:spacing w:before="78" w:line="22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项目验收</w:t>
            </w:r>
          </w:p>
        </w:tc>
        <w:tc>
          <w:tcPr>
            <w:tcW w:w="7263" w:type="dxa"/>
            <w:noWrap w:val="0"/>
            <w:vAlign w:val="center"/>
          </w:tcPr>
          <w:p w14:paraId="47E32B34">
            <w:pPr>
              <w:pStyle w:val="3"/>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采购人在收到验收申请后的七个工作日内，组织相关专业人员进行验收。验收合格，双方在验收报告上签字。中标人发出书面验收通知，采购人组织成立验收组，组织相关人员依照相关规范、要求、合同及有关附件要求进行验收。</w:t>
            </w:r>
          </w:p>
          <w:p w14:paraId="748C201E">
            <w:pPr>
              <w:pStyle w:val="3"/>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履约验收内容：中标人应按约定数量、质量和时间进度要求在相应地点开展现场活动和进行相关宣传。中标人在各现场活动应拍摄照片，对展板典型和宣传材料等相关宣传内容以实物、照片等方式记录。中标人将网站宣传、微信端宣传、会场桁架、会场照片等会务照片及宣传材料拍照或截图汇集成册后，交采购人留存备案，以上材料亦是采购人验收的依据。</w:t>
            </w:r>
          </w:p>
          <w:p w14:paraId="0EBA5BFF">
            <w:pPr>
              <w:pStyle w:val="3"/>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b w:val="0"/>
                <w:bCs/>
                <w:sz w:val="24"/>
                <w:szCs w:val="24"/>
                <w:lang w:val="en-US" w:eastAsia="zh-CN"/>
              </w:rPr>
              <w:t>履约验收验收标准：必须符合国家有关技术规范和质量标准、招标文件要求、环保标准或行业标准，验收不合格、存在质量或服务问题，中标人必须返工，产生的一切经济损失由中标人承担。</w:t>
            </w:r>
          </w:p>
        </w:tc>
      </w:tr>
      <w:tr w14:paraId="149D6F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930" w:type="dxa"/>
            <w:noWrap w:val="0"/>
            <w:vAlign w:val="center"/>
          </w:tcPr>
          <w:p w14:paraId="49A6F114">
            <w:pPr>
              <w:pStyle w:val="8"/>
              <w:spacing w:before="78" w:line="184"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p>
        </w:tc>
        <w:tc>
          <w:tcPr>
            <w:tcW w:w="1783" w:type="dxa"/>
            <w:noWrap w:val="0"/>
            <w:vAlign w:val="center"/>
          </w:tcPr>
          <w:p w14:paraId="4C508EAD">
            <w:pPr>
              <w:pStyle w:val="8"/>
              <w:spacing w:before="178" w:line="223"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highlight w:val="none"/>
              </w:rPr>
              <w:t>售后服务</w:t>
            </w:r>
          </w:p>
        </w:tc>
        <w:tc>
          <w:tcPr>
            <w:tcW w:w="7263" w:type="dxa"/>
            <w:noWrap w:val="0"/>
            <w:vAlign w:val="center"/>
          </w:tcPr>
          <w:p w14:paraId="3A959853">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.1.按采购需求中“技术要求”的内容为采购人、用人单位、求职人员提供相应线上线下招聘会配套会务服务。</w:t>
            </w:r>
          </w:p>
          <w:p w14:paraId="270AE65F">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.2.每次活动结束次日按要求提供会后统计数据；全部活动结束后需在五个工作日内提供线上线下招聘活动总结和会后统计数据。</w:t>
            </w:r>
          </w:p>
          <w:p w14:paraId="14CA4481">
            <w:pPr>
              <w:spacing w:line="600" w:lineRule="exact"/>
              <w:ind w:firstLine="480" w:firstLineChars="200"/>
              <w:jc w:val="left"/>
              <w:textAlignment w:val="center"/>
              <w:rPr>
                <w:rFonts w:hint="eastAsia" w:ascii="宋体" w:hAnsi="宋体" w:eastAsia="宋体" w:cs="宋体"/>
                <w:sz w:val="24"/>
                <w:szCs w:val="24"/>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.3.投标人在会务期间需提供24小时随时响应服务。</w:t>
            </w:r>
          </w:p>
        </w:tc>
      </w:tr>
      <w:tr w14:paraId="1C6320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0" w:type="dxa"/>
            <w:noWrap w:val="0"/>
            <w:vAlign w:val="center"/>
          </w:tcPr>
          <w:p w14:paraId="5E0BA6A2">
            <w:pPr>
              <w:pStyle w:val="8"/>
              <w:spacing w:before="78" w:line="184"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p>
        </w:tc>
        <w:tc>
          <w:tcPr>
            <w:tcW w:w="1783" w:type="dxa"/>
            <w:noWrap w:val="0"/>
            <w:vAlign w:val="center"/>
          </w:tcPr>
          <w:p w14:paraId="3863B697">
            <w:pPr>
              <w:pStyle w:val="8"/>
              <w:spacing w:before="178" w:line="223" w:lineRule="auto"/>
              <w:jc w:val="center"/>
              <w:rPr>
                <w:rFonts w:hint="eastAsia" w:ascii="宋体" w:hAnsi="宋体" w:eastAsia="宋体" w:cs="宋体"/>
                <w:sz w:val="24"/>
                <w:szCs w:val="24"/>
              </w:rPr>
            </w:pPr>
            <w:r>
              <w:rPr>
                <w:rFonts w:hint="eastAsia" w:ascii="宋体" w:hAnsi="宋体" w:eastAsia="宋体" w:cs="宋体"/>
                <w:sz w:val="24"/>
                <w:szCs w:val="24"/>
                <w:highlight w:val="none"/>
              </w:rPr>
              <w:t>保险</w:t>
            </w:r>
          </w:p>
        </w:tc>
        <w:tc>
          <w:tcPr>
            <w:tcW w:w="7263" w:type="dxa"/>
            <w:noWrap w:val="0"/>
            <w:vAlign w:val="center"/>
          </w:tcPr>
          <w:p w14:paraId="644686DE">
            <w:pPr>
              <w:spacing w:line="6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highlight w:val="none"/>
              </w:rPr>
              <w:t>举办线下招聘活动之前，需为对应活动购买“公众责任险”。</w:t>
            </w:r>
          </w:p>
        </w:tc>
      </w:tr>
      <w:tr w14:paraId="426A7B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0" w:type="dxa"/>
            <w:noWrap w:val="0"/>
            <w:vAlign w:val="center"/>
          </w:tcPr>
          <w:p w14:paraId="7B4B301A">
            <w:pPr>
              <w:pStyle w:val="8"/>
              <w:spacing w:before="78" w:line="184"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1783" w:type="dxa"/>
            <w:noWrap w:val="0"/>
            <w:vAlign w:val="center"/>
          </w:tcPr>
          <w:p w14:paraId="4E4F8ABB">
            <w:pPr>
              <w:pStyle w:val="8"/>
              <w:spacing w:before="178" w:line="223"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知识产权</w:t>
            </w:r>
          </w:p>
        </w:tc>
        <w:tc>
          <w:tcPr>
            <w:tcW w:w="7263" w:type="dxa"/>
            <w:noWrap w:val="0"/>
            <w:vAlign w:val="center"/>
          </w:tcPr>
          <w:p w14:paraId="7173A9D7">
            <w:pPr>
              <w:spacing w:line="600" w:lineRule="exact"/>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rPr>
              <w:t>投标人应保证本项目服务过程中涉及的任何部分不受任何关于侵犯所有权和工业产权、著作权（版权）等知识产权的指控。如果任何第三方提出侵权指控，投标人承担一切责任，给采购人造成损失的，赔偿采购人损失。</w:t>
            </w:r>
          </w:p>
        </w:tc>
      </w:tr>
    </w:tbl>
    <w:p w14:paraId="1524F061">
      <w:pPr>
        <w:pStyle w:val="2"/>
        <w:numPr>
          <w:ilvl w:val="0"/>
          <w:numId w:val="0"/>
        </w:numPr>
        <w:spacing w:before="0" w:after="0"/>
        <w:jc w:val="center"/>
        <w:rPr>
          <w:rFonts w:hint="default" w:ascii="宋体" w:hAnsi="宋体" w:eastAsia="宋体" w:cs="宋体"/>
          <w:bCs/>
          <w:color w:val="000000"/>
          <w:sz w:val="28"/>
          <w:szCs w:val="28"/>
          <w:highlight w:val="yellow"/>
          <w:lang w:val="en-US" w:eastAsia="zh-CN"/>
        </w:rPr>
      </w:pPr>
    </w:p>
    <w:p w14:paraId="00F2A3B1">
      <w:pPr>
        <w:spacing w:line="400" w:lineRule="exact"/>
        <w:rPr>
          <w:rFonts w:hint="eastAsia" w:ascii="宋体" w:hAnsi="宋体" w:eastAsia="宋体" w:cs="宋体"/>
          <w:b/>
          <w:bCs/>
          <w:color w:val="000000"/>
          <w:spacing w:val="2"/>
          <w:kern w:val="0"/>
          <w:sz w:val="24"/>
          <w:szCs w:val="24"/>
          <w:lang w:eastAsia="zh-CN"/>
        </w:rPr>
      </w:pPr>
      <w:r>
        <w:rPr>
          <w:rFonts w:hint="eastAsia" w:ascii="宋体" w:hAnsi="宋体" w:eastAsia="宋体" w:cs="宋体"/>
          <w:b/>
          <w:bCs/>
          <w:color w:val="000000"/>
          <w:spacing w:val="2"/>
          <w:kern w:val="0"/>
          <w:sz w:val="24"/>
          <w:szCs w:val="24"/>
        </w:rPr>
        <w:t>注：以上“商务要求”为实质性条款须完全响应，否则投标无效</w:t>
      </w:r>
      <w:r>
        <w:rPr>
          <w:rFonts w:hint="eastAsia" w:ascii="宋体" w:hAnsi="宋体" w:eastAsia="宋体" w:cs="宋体"/>
          <w:b/>
          <w:bCs/>
          <w:color w:val="000000"/>
          <w:spacing w:val="2"/>
          <w:kern w:val="0"/>
          <w:sz w:val="24"/>
          <w:szCs w:val="24"/>
          <w:lang w:eastAsia="zh-CN"/>
        </w:rPr>
        <w:t>。</w:t>
      </w:r>
    </w:p>
    <w:p w14:paraId="531CF3FC">
      <w:pPr>
        <w:spacing w:line="400" w:lineRule="exact"/>
        <w:rPr>
          <w:rFonts w:hint="eastAsia" w:ascii="宋体" w:hAnsi="宋体" w:eastAsia="宋体" w:cs="宋体"/>
          <w:b/>
          <w:bCs/>
          <w:color w:val="000000"/>
          <w:spacing w:val="2"/>
          <w:kern w:val="0"/>
          <w:sz w:val="24"/>
          <w:szCs w:val="24"/>
          <w:lang w:eastAsia="zh-CN"/>
        </w:rPr>
      </w:pPr>
    </w:p>
    <w:p w14:paraId="02989C29">
      <w:pPr>
        <w:pageBreakBefore w:val="0"/>
        <w:widowControl w:val="0"/>
        <w:wordWrap/>
        <w:overflowPunct/>
        <w:topLinePunct w:val="0"/>
        <w:bidi w:val="0"/>
        <w:spacing w:line="249" w:lineRule="auto"/>
        <w:rPr>
          <w:color w:val="auto"/>
          <w:spacing w:val="0"/>
          <w:position w:val="0"/>
          <w:lang w:eastAsia="zh-CN"/>
        </w:rPr>
      </w:pPr>
    </w:p>
    <w:p w14:paraId="50755475">
      <w:pPr>
        <w:pageBreakBefore w:val="0"/>
        <w:widowControl w:val="0"/>
        <w:wordWrap/>
        <w:overflowPunct/>
        <w:topLinePunct w:val="0"/>
        <w:bidi w:val="0"/>
        <w:spacing w:line="249" w:lineRule="auto"/>
        <w:rPr>
          <w:color w:val="auto"/>
          <w:spacing w:val="0"/>
          <w:position w:val="0"/>
          <w:lang w:eastAsia="zh-CN"/>
        </w:rPr>
      </w:pPr>
    </w:p>
    <w:p w14:paraId="06E59756">
      <w:pPr>
        <w:pageBreakBefore w:val="0"/>
        <w:widowControl w:val="0"/>
        <w:wordWrap/>
        <w:overflowPunct/>
        <w:topLinePunct w:val="0"/>
        <w:bidi w:val="0"/>
        <w:spacing w:line="249" w:lineRule="auto"/>
        <w:rPr>
          <w:color w:val="auto"/>
          <w:spacing w:val="0"/>
          <w:position w:val="0"/>
          <w:lang w:eastAsia="zh-CN"/>
        </w:rPr>
      </w:pPr>
    </w:p>
    <w:p w14:paraId="12A470E4">
      <w:pPr>
        <w:pageBreakBefore w:val="0"/>
        <w:widowControl w:val="0"/>
        <w:wordWrap/>
        <w:overflowPunct/>
        <w:topLinePunct w:val="0"/>
        <w:bidi w:val="0"/>
        <w:spacing w:line="249" w:lineRule="auto"/>
        <w:rPr>
          <w:color w:val="auto"/>
          <w:spacing w:val="0"/>
          <w:position w:val="0"/>
          <w:lang w:eastAsia="zh-CN"/>
        </w:rPr>
      </w:pPr>
    </w:p>
    <w:p w14:paraId="4DFA6C64">
      <w:pPr>
        <w:pageBreakBefore w:val="0"/>
        <w:widowControl w:val="0"/>
        <w:wordWrap/>
        <w:overflowPunct/>
        <w:topLinePunct w:val="0"/>
        <w:bidi w:val="0"/>
        <w:spacing w:line="249" w:lineRule="auto"/>
        <w:rPr>
          <w:color w:val="auto"/>
          <w:spacing w:val="0"/>
          <w:position w:val="0"/>
          <w:lang w:eastAsia="zh-CN"/>
        </w:rPr>
      </w:pPr>
    </w:p>
    <w:p w14:paraId="6756FFFE">
      <w:pPr>
        <w:pageBreakBefore w:val="0"/>
        <w:widowControl w:val="0"/>
        <w:wordWrap/>
        <w:overflowPunct/>
        <w:topLinePunct w:val="0"/>
        <w:bidi w:val="0"/>
        <w:spacing w:line="249" w:lineRule="auto"/>
        <w:rPr>
          <w:color w:val="auto"/>
          <w:spacing w:val="0"/>
          <w:position w:val="0"/>
          <w:lang w:eastAsia="zh-CN"/>
        </w:rPr>
      </w:pPr>
    </w:p>
    <w:p w14:paraId="024EF8FF">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lang w:eastAsia="zh-CN"/>
        </w:rPr>
      </w:pPr>
    </w:p>
    <w:p w14:paraId="471D3849">
      <w:pPr>
        <w:pageBreakBefore w:val="0"/>
        <w:widowControl w:val="0"/>
        <w:wordWrap/>
        <w:overflowPunct/>
        <w:topLinePunct w:val="0"/>
        <w:bidi w:val="0"/>
        <w:spacing w:line="283" w:lineRule="auto"/>
        <w:rPr>
          <w:color w:val="auto"/>
          <w:spacing w:val="0"/>
          <w:position w:val="0"/>
          <w:lang w:eastAsia="zh-CN"/>
        </w:rPr>
      </w:pPr>
    </w:p>
    <w:p w14:paraId="2C5B7D12">
      <w:pPr>
        <w:pageBreakBefore w:val="0"/>
        <w:widowControl w:val="0"/>
        <w:wordWrap/>
        <w:overflowPunct/>
        <w:topLinePunct w:val="0"/>
        <w:bidi w:val="0"/>
        <w:spacing w:line="283" w:lineRule="auto"/>
        <w:rPr>
          <w:color w:val="auto"/>
          <w:spacing w:val="0"/>
          <w:position w:val="0"/>
          <w:lang w:eastAsia="zh-CN"/>
        </w:rPr>
      </w:pPr>
    </w:p>
    <w:p w14:paraId="5F1161B8"/>
    <w:sectPr>
      <w:pgSz w:w="11906" w:h="16838"/>
      <w:pgMar w:top="1247" w:right="1247" w:bottom="1247"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AB03B">
    <w:pPr>
      <w:pStyle w:val="4"/>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B405BE7">
                          <w:pPr>
                            <w:pStyle w:val="4"/>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vgJmo5AgAAc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KvgJmo5AgAAcQQAAA4AAAAAAAAAAQAgAAAAHwEAAGRycy9lMm9Eb2Mu&#10;eG1sUEsFBgAAAAAGAAYAWQEAAMoFAAAAAA==&#10;">
              <v:path/>
              <v:fill on="f" focussize="0,0"/>
              <v:stroke on="f" weight="0.5pt"/>
              <v:imagedata o:title=""/>
              <o:lock v:ext="edit" aspectratio="f"/>
              <v:textbox inset="0mm,0mm,0mm,0mm" style="mso-fit-shape-to-text:t;">
                <w:txbxContent>
                  <w:p w14:paraId="3B405BE7">
                    <w:pPr>
                      <w:pStyle w:val="4"/>
                    </w:pPr>
                    <w:r>
                      <w:fldChar w:fldCharType="begin"/>
                    </w:r>
                    <w:r>
                      <w:instrText xml:space="preserve"> PAGE  \* MERGEFORMAT </w:instrText>
                    </w:r>
                    <w:r>
                      <w:fldChar w:fldCharType="separate"/>
                    </w:r>
                    <w:r>
                      <w:t>58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B2644E"/>
    <w:rsid w:val="14B264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Plain Text"/>
    <w:basedOn w:val="1"/>
    <w:qFormat/>
    <w:uiPriority w:val="0"/>
    <w:rPr>
      <w:rFonts w:ascii="宋体" w:hAnsi="Courier New"/>
      <w:kern w:val="0"/>
      <w:sz w:val="20"/>
      <w:szCs w:val="21"/>
    </w:rPr>
  </w:style>
  <w:style w:type="paragraph" w:styleId="4">
    <w:name w:val="footer"/>
    <w:basedOn w:val="1"/>
    <w:qFormat/>
    <w:uiPriority w:val="0"/>
    <w:pPr>
      <w:tabs>
        <w:tab w:val="center" w:pos="4153"/>
        <w:tab w:val="right" w:pos="8306"/>
      </w:tabs>
    </w:pPr>
    <w:rPr>
      <w:sz w:val="18"/>
    </w:rPr>
  </w:style>
  <w:style w:type="table" w:customStyle="1" w:styleId="7">
    <w:name w:val="Table Normal"/>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character" w:customStyle="1" w:styleId="9">
    <w:name w:val="font11"/>
    <w:basedOn w:val="6"/>
    <w:qFormat/>
    <w:uiPriority w:val="0"/>
    <w:rPr>
      <w:rFonts w:hint="eastAsia" w:ascii="宋体" w:hAnsi="宋体" w:eastAsia="宋体" w:cs="宋体"/>
      <w:color w:val="000000"/>
      <w:sz w:val="20"/>
      <w:szCs w:val="20"/>
      <w:u w:val="none"/>
    </w:rPr>
  </w:style>
  <w:style w:type="character" w:customStyle="1" w:styleId="10">
    <w:name w:val="font21"/>
    <w:basedOn w:val="6"/>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2026-05-13T02:35:00Z</dcterms:created>
  <dc:creator>曹</dc:creator>
  <cp:lastModifiedBy>曹</cp:lastModifiedBy>
  <dcterms:modified xsi:type="dcterms:W3CDTF">2026-05-13T02:36:36Z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76D3AEA2FAD344B8AF3DFDFFEB8EE2EB_11</vt:lpwstr>
  </property>
  <property fmtid="{D5CDD505-2E9C-101B-9397-08002B2CF9AE}" pid="4" name="KSOTemplateDocerSaveRecord">
    <vt:lpwstr>eyJoZGlkIjoiYmU5ZjcxYjU2ZTVkMDk4OTc5OWZmZjBlNTgzYzliZDYiLCJ1c2VySWQiOiIzNDE4OTM1NDkifQ==</vt:lpwstr>
  </property>
</Properties>
</file>