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9C37B2">
      <w:pPr>
        <w:pageBreakBefore w:val="0"/>
        <w:widowControl w:val="0"/>
        <w:wordWrap/>
        <w:overflowPunct/>
        <w:topLinePunct w:val="0"/>
        <w:bidi w:val="0"/>
        <w:spacing w:before="63" w:line="224" w:lineRule="auto"/>
        <w:jc w:val="center"/>
        <w:outlineLvl w:val="0"/>
        <w:rPr>
          <w:rFonts w:ascii="宋体" w:hAnsi="宋体" w:eastAsia="宋体" w:cs="宋体"/>
          <w:color w:val="auto"/>
          <w:spacing w:val="0"/>
          <w:position w:val="0"/>
          <w:sz w:val="31"/>
          <w:szCs w:val="31"/>
          <w:lang w:eastAsia="zh-CN"/>
        </w:rPr>
      </w:pPr>
      <w:bookmarkStart w:id="0" w:name="_Toc28188"/>
      <w:bookmarkStart w:id="1" w:name="_Toc3672"/>
      <w:r>
        <w:rPr>
          <w:rFonts w:ascii="宋体" w:hAnsi="宋体" w:eastAsia="宋体" w:cs="宋体"/>
          <w:color w:val="auto"/>
          <w:spacing w:val="0"/>
          <w:position w:val="0"/>
          <w:sz w:val="31"/>
          <w:szCs w:val="31"/>
          <w:lang w:eastAsia="zh-CN"/>
        </w:rPr>
        <w:t>第五章  采购需求</w:t>
      </w:r>
      <w:bookmarkEnd w:id="0"/>
      <w:bookmarkEnd w:id="1"/>
    </w:p>
    <w:p w14:paraId="00EA9BF4">
      <w:pPr>
        <w:pageBreakBefore w:val="0"/>
        <w:widowControl w:val="0"/>
        <w:wordWrap/>
        <w:overflowPunct/>
        <w:topLinePunct w:val="0"/>
        <w:bidi w:val="0"/>
        <w:spacing w:line="309" w:lineRule="auto"/>
        <w:rPr>
          <w:color w:val="auto"/>
          <w:spacing w:val="0"/>
          <w:position w:val="0"/>
          <w:lang w:eastAsia="zh-CN"/>
        </w:rPr>
      </w:pPr>
    </w:p>
    <w:p w14:paraId="44126B76">
      <w:pPr>
        <w:pageBreakBefore w:val="0"/>
        <w:widowControl w:val="0"/>
        <w:wordWrap/>
        <w:overflowPunct/>
        <w:topLinePunct w:val="0"/>
        <w:bidi w:val="0"/>
        <w:spacing w:before="78" w:line="220" w:lineRule="auto"/>
        <w:outlineLvl w:val="1"/>
        <w:rPr>
          <w:rFonts w:ascii="宋体" w:hAnsi="宋体" w:eastAsia="宋体" w:cs="宋体"/>
          <w:color w:val="auto"/>
          <w:spacing w:val="0"/>
          <w:position w:val="0"/>
          <w:sz w:val="28"/>
          <w:szCs w:val="28"/>
        </w:rPr>
      </w:pPr>
      <w:bookmarkStart w:id="2" w:name="_Toc20154"/>
      <w:bookmarkStart w:id="3" w:name="_Toc24631"/>
      <w:r>
        <w:rPr>
          <w:rFonts w:ascii="宋体" w:hAnsi="宋体" w:eastAsia="宋体" w:cs="宋体"/>
          <w:color w:val="auto"/>
          <w:spacing w:val="0"/>
          <w:position w:val="0"/>
          <w:sz w:val="28"/>
          <w:szCs w:val="28"/>
        </w:rPr>
        <w:t>一、</w:t>
      </w:r>
      <w:r>
        <w:rPr>
          <w:rFonts w:hint="eastAsia" w:ascii="宋体" w:hAnsi="宋体" w:eastAsia="宋体" w:cs="宋体"/>
          <w:color w:val="auto"/>
          <w:spacing w:val="0"/>
          <w:position w:val="0"/>
          <w:sz w:val="28"/>
          <w:szCs w:val="28"/>
          <w:lang w:val="en-US" w:eastAsia="zh-CN"/>
        </w:rPr>
        <w:t>采购</w:t>
      </w:r>
      <w:r>
        <w:rPr>
          <w:rFonts w:ascii="宋体" w:hAnsi="宋体" w:eastAsia="宋体" w:cs="宋体"/>
          <w:color w:val="auto"/>
          <w:spacing w:val="0"/>
          <w:position w:val="0"/>
          <w:sz w:val="28"/>
          <w:szCs w:val="28"/>
        </w:rPr>
        <w:t>需求表</w:t>
      </w:r>
      <w:bookmarkEnd w:id="2"/>
      <w:bookmarkEnd w:id="3"/>
    </w:p>
    <w:p w14:paraId="1BF1D430">
      <w:pPr>
        <w:pageBreakBefore w:val="0"/>
        <w:widowControl w:val="0"/>
        <w:wordWrap/>
        <w:overflowPunct/>
        <w:topLinePunct w:val="0"/>
        <w:bidi w:val="0"/>
        <w:spacing w:before="64"/>
        <w:rPr>
          <w:color w:val="auto"/>
          <w:spacing w:val="0"/>
          <w:position w:val="0"/>
        </w:rPr>
      </w:pPr>
    </w:p>
    <w:tbl>
      <w:tblPr>
        <w:tblStyle w:val="9"/>
        <w:tblW w:w="10038"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80"/>
        <w:gridCol w:w="909"/>
        <w:gridCol w:w="6849"/>
      </w:tblGrid>
      <w:tr w14:paraId="7ACEF0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280" w:type="dxa"/>
            <w:tcBorders>
              <w:right w:val="nil"/>
            </w:tcBorders>
            <w:noWrap w:val="0"/>
            <w:vAlign w:val="top"/>
          </w:tcPr>
          <w:p w14:paraId="28223AAB">
            <w:pPr>
              <w:pageBreakBefore w:val="0"/>
              <w:widowControl w:val="0"/>
              <w:wordWrap/>
              <w:overflowPunct/>
              <w:topLinePunct w:val="0"/>
              <w:bidi w:val="0"/>
              <w:spacing w:before="183" w:line="223" w:lineRule="auto"/>
              <w:ind w:left="1091"/>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rPr>
              <w:drawing>
                <wp:anchor distT="0" distB="0" distL="114300" distR="114300" simplePos="0" relativeHeight="251659264" behindDoc="1" locked="0" layoutInCell="1" allowOverlap="1">
                  <wp:simplePos x="0" y="0"/>
                  <wp:positionH relativeFrom="column">
                    <wp:posOffset>6985</wp:posOffset>
                  </wp:positionH>
                  <wp:positionV relativeFrom="paragraph">
                    <wp:posOffset>0</wp:posOffset>
                  </wp:positionV>
                  <wp:extent cx="2023745" cy="1466850"/>
                  <wp:effectExtent l="0" t="0" r="14605" b="0"/>
                  <wp:wrapNone/>
                  <wp:docPr id="1" name="IM 6"/>
                  <wp:cNvGraphicFramePr/>
                  <a:graphic xmlns:a="http://schemas.openxmlformats.org/drawingml/2006/main">
                    <a:graphicData uri="http://schemas.openxmlformats.org/drawingml/2006/picture">
                      <pic:pic xmlns:pic="http://schemas.openxmlformats.org/drawingml/2006/picture">
                        <pic:nvPicPr>
                          <pic:cNvPr id="1" name="IM 6"/>
                          <pic:cNvPicPr/>
                        </pic:nvPicPr>
                        <pic:blipFill>
                          <a:blip r:embed="rId5"/>
                          <a:stretch>
                            <a:fillRect/>
                          </a:stretch>
                        </pic:blipFill>
                        <pic:spPr>
                          <a:xfrm>
                            <a:off x="0" y="0"/>
                            <a:ext cx="2023745" cy="1466850"/>
                          </a:xfrm>
                          <a:prstGeom prst="rect">
                            <a:avLst/>
                          </a:prstGeom>
                          <a:noFill/>
                          <a:ln>
                            <a:noFill/>
                          </a:ln>
                        </pic:spPr>
                      </pic:pic>
                    </a:graphicData>
                  </a:graphic>
                </wp:anchor>
              </w:drawing>
            </w:r>
            <w:r>
              <w:rPr>
                <w:rFonts w:hint="eastAsia" w:ascii="宋体" w:hAnsi="宋体" w:eastAsia="宋体" w:cs="宋体"/>
                <w:color w:val="auto"/>
                <w:spacing w:val="0"/>
                <w:position w:val="0"/>
                <w:sz w:val="24"/>
                <w:szCs w:val="24"/>
              </w:rPr>
              <w:t>名</w:t>
            </w:r>
          </w:p>
          <w:p w14:paraId="1A4F0D5D">
            <w:pPr>
              <w:pStyle w:val="10"/>
              <w:pageBreakBefore w:val="0"/>
              <w:widowControl w:val="0"/>
              <w:wordWrap/>
              <w:overflowPunct/>
              <w:topLinePunct w:val="0"/>
              <w:bidi w:val="0"/>
              <w:spacing w:line="245" w:lineRule="auto"/>
              <w:rPr>
                <w:rFonts w:hint="eastAsia" w:ascii="宋体" w:hAnsi="宋体" w:eastAsia="宋体" w:cs="宋体"/>
                <w:color w:val="auto"/>
                <w:spacing w:val="0"/>
                <w:position w:val="0"/>
              </w:rPr>
            </w:pPr>
          </w:p>
          <w:p w14:paraId="1605E7FE">
            <w:pPr>
              <w:pStyle w:val="10"/>
              <w:pageBreakBefore w:val="0"/>
              <w:widowControl w:val="0"/>
              <w:wordWrap/>
              <w:overflowPunct/>
              <w:topLinePunct w:val="0"/>
              <w:bidi w:val="0"/>
              <w:spacing w:line="246" w:lineRule="auto"/>
              <w:rPr>
                <w:rFonts w:hint="eastAsia" w:ascii="宋体" w:hAnsi="宋体" w:eastAsia="宋体" w:cs="宋体"/>
                <w:color w:val="auto"/>
                <w:spacing w:val="0"/>
                <w:position w:val="0"/>
              </w:rPr>
            </w:pPr>
          </w:p>
          <w:p w14:paraId="1DEEBB81">
            <w:pPr>
              <w:pageBreakBefore w:val="0"/>
              <w:widowControl w:val="0"/>
              <w:wordWrap/>
              <w:overflowPunct/>
              <w:topLinePunct w:val="0"/>
              <w:bidi w:val="0"/>
              <w:spacing w:before="78" w:line="219" w:lineRule="auto"/>
              <w:ind w:left="481"/>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内</w:t>
            </w:r>
          </w:p>
          <w:p w14:paraId="31953B3B">
            <w:pPr>
              <w:pStyle w:val="10"/>
              <w:pageBreakBefore w:val="0"/>
              <w:widowControl w:val="0"/>
              <w:wordWrap/>
              <w:overflowPunct/>
              <w:topLinePunct w:val="0"/>
              <w:bidi w:val="0"/>
              <w:spacing w:line="338" w:lineRule="auto"/>
              <w:rPr>
                <w:rFonts w:hint="eastAsia" w:ascii="宋体" w:hAnsi="宋体" w:eastAsia="宋体" w:cs="宋体"/>
                <w:color w:val="auto"/>
                <w:spacing w:val="0"/>
                <w:position w:val="0"/>
              </w:rPr>
            </w:pPr>
          </w:p>
          <w:p w14:paraId="04DA7E9C">
            <w:pPr>
              <w:pageBreakBefore w:val="0"/>
              <w:widowControl w:val="0"/>
              <w:wordWrap/>
              <w:overflowPunct/>
              <w:topLinePunct w:val="0"/>
              <w:bidi w:val="0"/>
              <w:spacing w:before="78" w:line="220" w:lineRule="auto"/>
              <w:ind w:left="1311"/>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容</w:t>
            </w:r>
          </w:p>
        </w:tc>
        <w:tc>
          <w:tcPr>
            <w:tcW w:w="909" w:type="dxa"/>
            <w:tcBorders>
              <w:left w:val="nil"/>
            </w:tcBorders>
            <w:noWrap w:val="0"/>
            <w:vAlign w:val="top"/>
          </w:tcPr>
          <w:p w14:paraId="3172CA31">
            <w:pPr>
              <w:pStyle w:val="10"/>
              <w:pageBreakBefore w:val="0"/>
              <w:widowControl w:val="0"/>
              <w:wordWrap/>
              <w:overflowPunct/>
              <w:topLinePunct w:val="0"/>
              <w:bidi w:val="0"/>
              <w:spacing w:line="263" w:lineRule="auto"/>
              <w:rPr>
                <w:rFonts w:hint="eastAsia" w:ascii="宋体" w:hAnsi="宋体" w:eastAsia="宋体" w:cs="宋体"/>
                <w:color w:val="auto"/>
                <w:spacing w:val="0"/>
                <w:position w:val="0"/>
              </w:rPr>
            </w:pPr>
          </w:p>
          <w:p w14:paraId="09CB957A">
            <w:pPr>
              <w:pStyle w:val="10"/>
              <w:pageBreakBefore w:val="0"/>
              <w:widowControl w:val="0"/>
              <w:wordWrap/>
              <w:overflowPunct/>
              <w:topLinePunct w:val="0"/>
              <w:bidi w:val="0"/>
              <w:spacing w:line="263" w:lineRule="auto"/>
              <w:rPr>
                <w:rFonts w:hint="eastAsia" w:ascii="宋体" w:hAnsi="宋体" w:eastAsia="宋体" w:cs="宋体"/>
                <w:color w:val="auto"/>
                <w:spacing w:val="0"/>
                <w:position w:val="0"/>
              </w:rPr>
            </w:pPr>
          </w:p>
          <w:p w14:paraId="249447F1">
            <w:pPr>
              <w:pStyle w:val="10"/>
              <w:pageBreakBefore w:val="0"/>
              <w:widowControl w:val="0"/>
              <w:wordWrap/>
              <w:overflowPunct/>
              <w:topLinePunct w:val="0"/>
              <w:bidi w:val="0"/>
              <w:spacing w:line="264" w:lineRule="auto"/>
              <w:rPr>
                <w:rFonts w:hint="eastAsia" w:ascii="宋体" w:hAnsi="宋体" w:eastAsia="宋体" w:cs="宋体"/>
                <w:color w:val="auto"/>
                <w:spacing w:val="0"/>
                <w:position w:val="0"/>
              </w:rPr>
            </w:pPr>
          </w:p>
          <w:p w14:paraId="156F02C3">
            <w:pPr>
              <w:pageBreakBefore w:val="0"/>
              <w:widowControl w:val="0"/>
              <w:wordWrap/>
              <w:overflowPunct/>
              <w:topLinePunct w:val="0"/>
              <w:bidi w:val="0"/>
              <w:spacing w:before="78" w:line="221" w:lineRule="auto"/>
              <w:ind w:left="192"/>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称</w:t>
            </w:r>
          </w:p>
        </w:tc>
        <w:tc>
          <w:tcPr>
            <w:tcW w:w="6849" w:type="dxa"/>
            <w:noWrap w:val="0"/>
            <w:vAlign w:val="center"/>
          </w:tcPr>
          <w:p w14:paraId="0B57B5C8">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2026年南昌市本级“百场校招”赴外招才引智活动采购项目</w:t>
            </w:r>
          </w:p>
        </w:tc>
      </w:tr>
      <w:tr w14:paraId="659B93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3189" w:type="dxa"/>
            <w:gridSpan w:val="2"/>
            <w:noWrap w:val="0"/>
            <w:vAlign w:val="top"/>
          </w:tcPr>
          <w:p w14:paraId="7375080D">
            <w:pPr>
              <w:pageBreakBefore w:val="0"/>
              <w:widowControl w:val="0"/>
              <w:wordWrap/>
              <w:overflowPunct/>
              <w:topLinePunct w:val="0"/>
              <w:bidi w:val="0"/>
              <w:spacing w:before="253" w:line="219" w:lineRule="auto"/>
              <w:ind w:left="1188"/>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数量</w:t>
            </w:r>
          </w:p>
        </w:tc>
        <w:tc>
          <w:tcPr>
            <w:tcW w:w="6849" w:type="dxa"/>
            <w:noWrap w:val="0"/>
            <w:vAlign w:val="center"/>
          </w:tcPr>
          <w:p w14:paraId="1342C90D">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一年</w:t>
            </w:r>
          </w:p>
        </w:tc>
      </w:tr>
      <w:tr w14:paraId="0A9CB5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3189" w:type="dxa"/>
            <w:gridSpan w:val="2"/>
            <w:noWrap w:val="0"/>
            <w:vAlign w:val="top"/>
          </w:tcPr>
          <w:p w14:paraId="72E5E6E8">
            <w:pPr>
              <w:pageBreakBefore w:val="0"/>
              <w:widowControl w:val="0"/>
              <w:wordWrap/>
              <w:overflowPunct/>
              <w:topLinePunct w:val="0"/>
              <w:bidi w:val="0"/>
              <w:spacing w:before="253" w:line="219" w:lineRule="auto"/>
              <w:ind w:left="1071"/>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hint="eastAsia" w:ascii="宋体" w:hAnsi="宋体" w:eastAsia="宋体" w:cs="宋体"/>
                <w:color w:val="auto"/>
                <w:spacing w:val="0"/>
                <w:position w:val="0"/>
                <w:sz w:val="24"/>
                <w:szCs w:val="24"/>
              </w:rPr>
              <w:t>期</w:t>
            </w:r>
          </w:p>
        </w:tc>
        <w:tc>
          <w:tcPr>
            <w:tcW w:w="6849" w:type="dxa"/>
            <w:noWrap w:val="0"/>
            <w:vAlign w:val="center"/>
          </w:tcPr>
          <w:p w14:paraId="2DB843F5">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合</w:t>
            </w:r>
            <w:r>
              <w:rPr>
                <w:rFonts w:hint="eastAsia" w:ascii="宋体" w:hAnsi="宋体" w:eastAsia="宋体" w:cs="宋体"/>
                <w:color w:val="auto"/>
                <w:spacing w:val="0"/>
                <w:position w:val="0"/>
                <w:sz w:val="24"/>
                <w:szCs w:val="24"/>
                <w:highlight w:val="none"/>
                <w:lang w:val="en-US" w:eastAsia="zh-CN"/>
              </w:rPr>
              <w:t>同签订后至2027年12月31日。</w:t>
            </w:r>
          </w:p>
        </w:tc>
      </w:tr>
      <w:tr w14:paraId="1A891A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3189" w:type="dxa"/>
            <w:gridSpan w:val="2"/>
            <w:noWrap w:val="0"/>
            <w:vAlign w:val="top"/>
          </w:tcPr>
          <w:p w14:paraId="215527BE">
            <w:pPr>
              <w:pageBreakBefore w:val="0"/>
              <w:widowControl w:val="0"/>
              <w:wordWrap/>
              <w:overflowPunct/>
              <w:topLinePunct w:val="0"/>
              <w:bidi w:val="0"/>
              <w:spacing w:before="256" w:line="219" w:lineRule="auto"/>
              <w:ind w:left="951"/>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hint="eastAsia" w:ascii="宋体" w:hAnsi="宋体" w:eastAsia="宋体" w:cs="宋体"/>
                <w:color w:val="auto"/>
                <w:spacing w:val="0"/>
                <w:position w:val="0"/>
                <w:sz w:val="24"/>
                <w:szCs w:val="24"/>
              </w:rPr>
              <w:t>地点</w:t>
            </w:r>
          </w:p>
        </w:tc>
        <w:tc>
          <w:tcPr>
            <w:tcW w:w="6849" w:type="dxa"/>
            <w:noWrap w:val="0"/>
            <w:vAlign w:val="center"/>
          </w:tcPr>
          <w:p w14:paraId="0DA7FD7E">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highlight w:val="none"/>
                <w:lang w:val="en-US" w:eastAsia="zh-CN"/>
              </w:rPr>
              <w:t>采购人指定地点</w:t>
            </w:r>
          </w:p>
        </w:tc>
      </w:tr>
      <w:tr w14:paraId="02FE6B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3189" w:type="dxa"/>
            <w:gridSpan w:val="2"/>
            <w:noWrap w:val="0"/>
            <w:vAlign w:val="top"/>
          </w:tcPr>
          <w:p w14:paraId="3A78B3CE">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highlight w:val="none"/>
              </w:rPr>
              <w:t>备注</w:t>
            </w:r>
          </w:p>
        </w:tc>
        <w:tc>
          <w:tcPr>
            <w:tcW w:w="6849" w:type="dxa"/>
            <w:noWrap w:val="0"/>
            <w:vAlign w:val="center"/>
          </w:tcPr>
          <w:p w14:paraId="37525AF1">
            <w:pPr>
              <w:pageBreakBefore w:val="0"/>
              <w:widowControl w:val="0"/>
              <w:wordWrap/>
              <w:overflowPunct/>
              <w:topLinePunct w:val="0"/>
              <w:bidi w:val="0"/>
              <w:spacing w:before="253" w:line="219" w:lineRule="auto"/>
              <w:ind w:left="0"/>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highlight w:val="none"/>
                <w:lang w:val="en-US" w:eastAsia="zh-CN"/>
              </w:rPr>
              <w:t>包含所有服务费用，合同价为含税价。</w:t>
            </w:r>
          </w:p>
        </w:tc>
      </w:tr>
    </w:tbl>
    <w:p w14:paraId="5530D3E4">
      <w:pPr>
        <w:pageBreakBefore w:val="0"/>
        <w:widowControl w:val="0"/>
        <w:wordWrap/>
        <w:overflowPunct/>
        <w:topLinePunct w:val="0"/>
        <w:bidi w:val="0"/>
        <w:rPr>
          <w:color w:val="auto"/>
          <w:spacing w:val="0"/>
          <w:position w:val="0"/>
        </w:rPr>
      </w:pPr>
    </w:p>
    <w:p w14:paraId="49CDA088">
      <w:pPr>
        <w:pageBreakBefore w:val="0"/>
        <w:widowControl w:val="0"/>
        <w:wordWrap/>
        <w:overflowPunct/>
        <w:topLinePunct w:val="0"/>
        <w:bidi w:val="0"/>
        <w:rPr>
          <w:color w:val="auto"/>
          <w:spacing w:val="0"/>
          <w:position w:val="0"/>
        </w:rPr>
        <w:sectPr>
          <w:footerReference r:id="rId3" w:type="default"/>
          <w:pgSz w:w="11906" w:h="16839"/>
          <w:pgMar w:top="1134" w:right="1134" w:bottom="1134" w:left="1134" w:header="0" w:footer="994" w:gutter="0"/>
          <w:pgNumType w:fmt="decimal"/>
          <w:cols w:space="720" w:num="1"/>
        </w:sectPr>
      </w:pPr>
    </w:p>
    <w:p w14:paraId="49191518">
      <w:pPr>
        <w:pageBreakBefore w:val="0"/>
        <w:widowControl w:val="0"/>
        <w:wordWrap/>
        <w:overflowPunct/>
        <w:topLinePunct w:val="0"/>
        <w:bidi w:val="0"/>
        <w:spacing w:before="47" w:line="219" w:lineRule="auto"/>
        <w:ind w:left="3805"/>
        <w:outlineLvl w:val="1"/>
        <w:rPr>
          <w:rFonts w:hint="default" w:ascii="宋体" w:hAnsi="宋体" w:eastAsia="宋体" w:cs="宋体"/>
          <w:color w:val="auto"/>
          <w:spacing w:val="0"/>
          <w:position w:val="0"/>
          <w:sz w:val="28"/>
          <w:szCs w:val="28"/>
          <w:lang w:val="en-US" w:eastAsia="zh-CN"/>
        </w:rPr>
      </w:pPr>
      <w:bookmarkStart w:id="4" w:name="_Toc21603"/>
      <w:bookmarkStart w:id="5" w:name="_Toc5369"/>
      <w:r>
        <w:rPr>
          <w:rFonts w:ascii="宋体" w:hAnsi="宋体" w:eastAsia="宋体" w:cs="宋体"/>
          <w:color w:val="auto"/>
          <w:spacing w:val="0"/>
          <w:position w:val="0"/>
          <w:sz w:val="28"/>
          <w:szCs w:val="28"/>
        </w:rPr>
        <w:t>二、</w:t>
      </w:r>
      <w:r>
        <w:rPr>
          <w:rFonts w:hint="eastAsia" w:ascii="宋体" w:hAnsi="宋体" w:eastAsia="宋体" w:cs="宋体"/>
          <w:color w:val="auto"/>
          <w:spacing w:val="0"/>
          <w:position w:val="0"/>
          <w:sz w:val="28"/>
          <w:szCs w:val="28"/>
          <w:lang w:val="en-US" w:eastAsia="zh-CN"/>
        </w:rPr>
        <w:t>技术要求</w:t>
      </w:r>
      <w:bookmarkEnd w:id="4"/>
      <w:bookmarkEnd w:id="5"/>
    </w:p>
    <w:p w14:paraId="3CF7CE15">
      <w:pPr>
        <w:pageBreakBefore w:val="0"/>
        <w:widowControl w:val="0"/>
        <w:wordWrap/>
        <w:overflowPunct/>
        <w:topLinePunct w:val="0"/>
        <w:bidi w:val="0"/>
        <w:spacing w:line="258" w:lineRule="auto"/>
        <w:rPr>
          <w:color w:val="auto"/>
          <w:spacing w:val="0"/>
          <w:position w:val="0"/>
        </w:rPr>
      </w:pPr>
    </w:p>
    <w:p w14:paraId="5FBA03B8">
      <w:pPr>
        <w:pageBreakBefore w:val="0"/>
        <w:widowControl w:val="0"/>
        <w:wordWrap/>
        <w:overflowPunct/>
        <w:topLinePunct w:val="0"/>
        <w:bidi w:val="0"/>
        <w:spacing w:line="258" w:lineRule="auto"/>
        <w:rPr>
          <w:color w:val="auto"/>
          <w:spacing w:val="0"/>
          <w:position w:val="0"/>
        </w:rPr>
      </w:pPr>
    </w:p>
    <w:p w14:paraId="350E7BE1">
      <w:pPr>
        <w:keepNext w:val="0"/>
        <w:keepLines w:val="0"/>
        <w:pageBreakBefore w:val="0"/>
        <w:wordWrap/>
        <w:overflowPunct/>
        <w:topLinePunct w:val="0"/>
        <w:autoSpaceDE w:val="0"/>
        <w:autoSpaceDN w:val="0"/>
        <w:bidi w:val="0"/>
        <w:spacing w:line="460" w:lineRule="exact"/>
        <w:rPr>
          <w:rFonts w:hint="eastAsia" w:ascii="宋体" w:hAnsi="宋体" w:eastAsia="宋体" w:cs="宋体"/>
          <w:b/>
          <w:bCs/>
          <w:sz w:val="24"/>
          <w:szCs w:val="24"/>
          <w:highlight w:val="none"/>
          <w:lang w:val="en-US" w:eastAsia="zh-CN"/>
        </w:rPr>
      </w:pPr>
      <w:r>
        <w:rPr>
          <w:rFonts w:hint="eastAsia" w:ascii="宋体" w:hAnsi="宋体" w:eastAsia="宋体" w:cs="宋体"/>
          <w:b/>
          <w:bCs/>
          <w:color w:val="000000"/>
          <w:sz w:val="24"/>
          <w:szCs w:val="24"/>
          <w:highlight w:val="none"/>
          <w:lang w:val="en-US" w:eastAsia="zh-CN"/>
        </w:rPr>
        <w:t>一、“百场校招”省外招聘活动</w:t>
      </w:r>
    </w:p>
    <w:p w14:paraId="23BBD2D7">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b w:val="0"/>
          <w:bCs w:val="0"/>
          <w:color w:val="000000"/>
          <w:sz w:val="24"/>
          <w:szCs w:val="24"/>
          <w:highlight w:val="none"/>
          <w:lang w:val="en-US" w:eastAsia="zh-CN"/>
        </w:rPr>
      </w:pP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一</w:t>
      </w:r>
      <w:r>
        <w:rPr>
          <w:rFonts w:hint="eastAsia" w:ascii="宋体" w:hAnsi="宋体" w:eastAsia="宋体" w:cs="宋体"/>
          <w:color w:val="000000"/>
          <w:sz w:val="24"/>
          <w:szCs w:val="24"/>
          <w:highlight w:val="none"/>
          <w:lang w:eastAsia="zh-CN"/>
        </w:rPr>
        <w:t>）</w:t>
      </w:r>
      <w:r>
        <w:rPr>
          <w:rFonts w:hint="eastAsia" w:ascii="宋体" w:hAnsi="宋体" w:eastAsia="宋体" w:cs="宋体"/>
          <w:b w:val="0"/>
          <w:bCs w:val="0"/>
          <w:color w:val="000000"/>
          <w:sz w:val="24"/>
          <w:szCs w:val="24"/>
          <w:highlight w:val="none"/>
        </w:rPr>
        <w:t>场次</w:t>
      </w:r>
      <w:r>
        <w:rPr>
          <w:rFonts w:hint="eastAsia" w:ascii="宋体" w:hAnsi="宋体" w:eastAsia="宋体" w:cs="宋体"/>
          <w:b w:val="0"/>
          <w:bCs w:val="0"/>
          <w:color w:val="auto"/>
          <w:sz w:val="24"/>
          <w:szCs w:val="24"/>
          <w:highlight w:val="none"/>
          <w:lang w:val="en-US" w:eastAsia="zh-CN"/>
        </w:rPr>
        <w:t>安排</w:t>
      </w:r>
    </w:p>
    <w:p w14:paraId="650A2A08">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宋体" w:hAnsi="宋体" w:eastAsia="宋体" w:cs="宋体"/>
          <w:sz w:val="24"/>
          <w:szCs w:val="24"/>
          <w:highlight w:val="none"/>
        </w:rPr>
      </w:pPr>
      <w:r>
        <w:rPr>
          <w:rFonts w:hint="eastAsia" w:ascii="宋体" w:hAnsi="宋体" w:eastAsia="宋体" w:cs="宋体"/>
          <w:color w:val="000000"/>
          <w:sz w:val="24"/>
          <w:szCs w:val="24"/>
          <w:highlight w:val="none"/>
          <w:lang w:val="en-US" w:eastAsia="zh-CN"/>
        </w:rPr>
        <w:t>活动数量及规模：</w:t>
      </w:r>
      <w:r>
        <w:rPr>
          <w:rFonts w:hint="eastAsia" w:ascii="宋体" w:hAnsi="宋体" w:eastAsia="宋体" w:cs="宋体"/>
          <w:color w:val="000000"/>
          <w:sz w:val="24"/>
          <w:szCs w:val="24"/>
          <w:highlight w:val="none"/>
        </w:rPr>
        <w:t>202</w:t>
      </w:r>
      <w:r>
        <w:rPr>
          <w:rFonts w:hint="eastAsia" w:ascii="宋体" w:hAnsi="宋体" w:eastAsia="宋体" w:cs="宋体"/>
          <w:color w:val="000000"/>
          <w:sz w:val="24"/>
          <w:szCs w:val="24"/>
          <w:highlight w:val="none"/>
          <w:lang w:val="en-US" w:eastAsia="zh-CN"/>
        </w:rPr>
        <w:t>6</w:t>
      </w:r>
      <w:r>
        <w:rPr>
          <w:rFonts w:hint="eastAsia" w:ascii="宋体" w:hAnsi="宋体" w:eastAsia="宋体" w:cs="宋体"/>
          <w:color w:val="000000"/>
          <w:sz w:val="24"/>
          <w:szCs w:val="24"/>
          <w:highlight w:val="none"/>
        </w:rPr>
        <w:t>年，</w:t>
      </w:r>
      <w:r>
        <w:rPr>
          <w:rFonts w:hint="eastAsia" w:ascii="宋体" w:hAnsi="宋体" w:eastAsia="宋体" w:cs="宋体"/>
          <w:color w:val="000000"/>
          <w:sz w:val="24"/>
          <w:szCs w:val="24"/>
          <w:highlight w:val="none"/>
          <w:lang w:val="en-US" w:eastAsia="zh-CN"/>
        </w:rPr>
        <w:t>面向省外</w:t>
      </w:r>
      <w:r>
        <w:rPr>
          <w:rFonts w:hint="eastAsia" w:ascii="宋体" w:hAnsi="宋体" w:eastAsia="宋体" w:cs="宋体"/>
          <w:sz w:val="24"/>
          <w:szCs w:val="24"/>
          <w:highlight w:val="none"/>
          <w:lang w:val="en-US" w:eastAsia="zh-CN"/>
        </w:rPr>
        <w:t>四</w:t>
      </w:r>
      <w:r>
        <w:rPr>
          <w:rFonts w:hint="eastAsia" w:ascii="宋体" w:hAnsi="宋体" w:eastAsia="宋体" w:cs="宋体"/>
          <w:sz w:val="24"/>
          <w:szCs w:val="24"/>
          <w:highlight w:val="none"/>
        </w:rPr>
        <w:t>个城市</w:t>
      </w:r>
      <w:r>
        <w:rPr>
          <w:rFonts w:hint="eastAsia" w:ascii="宋体" w:hAnsi="宋体" w:eastAsia="宋体" w:cs="宋体"/>
          <w:color w:val="000000"/>
          <w:sz w:val="24"/>
          <w:szCs w:val="24"/>
          <w:highlight w:val="none"/>
          <w:lang w:val="en-US" w:eastAsia="zh-CN"/>
        </w:rPr>
        <w:t>开展招才引智</w:t>
      </w:r>
      <w:r>
        <w:rPr>
          <w:rFonts w:hint="eastAsia" w:ascii="宋体" w:hAnsi="宋体" w:eastAsia="宋体" w:cs="宋体"/>
          <w:sz w:val="24"/>
          <w:szCs w:val="24"/>
          <w:highlight w:val="none"/>
          <w:lang w:val="en-US" w:eastAsia="zh-CN"/>
        </w:rPr>
        <w:t>招聘活动</w:t>
      </w:r>
      <w:r>
        <w:rPr>
          <w:rFonts w:hint="eastAsia" w:ascii="宋体" w:hAnsi="宋体" w:eastAsia="宋体" w:cs="宋体"/>
          <w:sz w:val="24"/>
          <w:szCs w:val="24"/>
          <w:highlight w:val="none"/>
        </w:rPr>
        <w:t>，每个城市选取两所高校，举办共</w:t>
      </w:r>
      <w:r>
        <w:rPr>
          <w:rFonts w:hint="eastAsia" w:ascii="宋体" w:hAnsi="宋体" w:eastAsia="宋体" w:cs="宋体"/>
          <w:sz w:val="24"/>
          <w:szCs w:val="24"/>
          <w:highlight w:val="none"/>
          <w:lang w:val="en-US" w:eastAsia="zh-CN"/>
        </w:rPr>
        <w:t>8</w:t>
      </w:r>
      <w:r>
        <w:rPr>
          <w:rFonts w:hint="eastAsia" w:ascii="宋体" w:hAnsi="宋体" w:eastAsia="宋体" w:cs="宋体"/>
          <w:sz w:val="24"/>
          <w:szCs w:val="24"/>
          <w:highlight w:val="none"/>
        </w:rPr>
        <w:t>场线下活动，同步开展线上招聘，以吸引并引进优秀人才。</w:t>
      </w:r>
    </w:p>
    <w:tbl>
      <w:tblPr>
        <w:tblStyle w:val="6"/>
        <w:tblW w:w="9390" w:type="dxa"/>
        <w:tblInd w:w="93" w:type="dxa"/>
        <w:tblLayout w:type="autofit"/>
        <w:tblCellMar>
          <w:top w:w="0" w:type="dxa"/>
          <w:left w:w="108" w:type="dxa"/>
          <w:bottom w:w="0" w:type="dxa"/>
          <w:right w:w="108" w:type="dxa"/>
        </w:tblCellMar>
      </w:tblPr>
      <w:tblGrid>
        <w:gridCol w:w="1783"/>
        <w:gridCol w:w="1915"/>
        <w:gridCol w:w="1004"/>
        <w:gridCol w:w="1327"/>
        <w:gridCol w:w="1017"/>
        <w:gridCol w:w="986"/>
        <w:gridCol w:w="1358"/>
      </w:tblGrid>
      <w:tr w14:paraId="10EA8473">
        <w:tblPrEx>
          <w:tblCellMar>
            <w:top w:w="0" w:type="dxa"/>
            <w:left w:w="108" w:type="dxa"/>
            <w:bottom w:w="0" w:type="dxa"/>
            <w:right w:w="108" w:type="dxa"/>
          </w:tblCellMar>
        </w:tblPrEx>
        <w:trPr>
          <w:trHeight w:val="585" w:hRule="atLeast"/>
        </w:trPr>
        <w:tc>
          <w:tcPr>
            <w:tcW w:w="1783" w:type="dxa"/>
            <w:tcBorders>
              <w:top w:val="single" w:color="000000" w:sz="8" w:space="0"/>
              <w:left w:val="single" w:color="000000" w:sz="8" w:space="0"/>
              <w:bottom w:val="single" w:color="000000" w:sz="8" w:space="0"/>
              <w:right w:val="single" w:color="000000" w:sz="8" w:space="0"/>
            </w:tcBorders>
            <w:noWrap w:val="0"/>
            <w:vAlign w:val="center"/>
          </w:tcPr>
          <w:p w14:paraId="1E1B46B4">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lang w:eastAsia="zh-CN"/>
              </w:rPr>
            </w:pPr>
            <w:r>
              <w:rPr>
                <w:rFonts w:hint="eastAsia" w:ascii="宋体" w:hAnsi="宋体" w:eastAsia="宋体" w:cs="宋体"/>
                <w:b/>
                <w:bCs/>
                <w:color w:val="000000"/>
                <w:sz w:val="24"/>
                <w:szCs w:val="24"/>
                <w:highlight w:val="none"/>
                <w:lang w:val="en-US" w:eastAsia="zh-CN"/>
              </w:rPr>
              <w:t>项目</w:t>
            </w:r>
          </w:p>
        </w:tc>
        <w:tc>
          <w:tcPr>
            <w:tcW w:w="1915" w:type="dxa"/>
            <w:tcBorders>
              <w:top w:val="single" w:color="000000" w:sz="8" w:space="0"/>
              <w:left w:val="nil"/>
              <w:bottom w:val="single" w:color="000000" w:sz="8" w:space="0"/>
              <w:right w:val="single" w:color="000000" w:sz="8" w:space="0"/>
            </w:tcBorders>
            <w:noWrap w:val="0"/>
            <w:vAlign w:val="center"/>
          </w:tcPr>
          <w:p w14:paraId="3B7C4576">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活动</w:t>
            </w:r>
          </w:p>
        </w:tc>
        <w:tc>
          <w:tcPr>
            <w:tcW w:w="1004" w:type="dxa"/>
            <w:tcBorders>
              <w:top w:val="single" w:color="000000" w:sz="8" w:space="0"/>
              <w:left w:val="nil"/>
              <w:bottom w:val="single" w:color="000000" w:sz="8" w:space="0"/>
              <w:right w:val="single" w:color="000000" w:sz="8" w:space="0"/>
            </w:tcBorders>
            <w:noWrap w:val="0"/>
            <w:vAlign w:val="center"/>
          </w:tcPr>
          <w:p w14:paraId="0423D07C">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lang w:eastAsia="zh-CN"/>
              </w:rPr>
            </w:pPr>
            <w:r>
              <w:rPr>
                <w:rFonts w:hint="eastAsia" w:ascii="宋体" w:hAnsi="宋体" w:eastAsia="宋体" w:cs="宋体"/>
                <w:b/>
                <w:bCs/>
                <w:color w:val="000000"/>
                <w:sz w:val="24"/>
                <w:szCs w:val="24"/>
                <w:highlight w:val="none"/>
              </w:rPr>
              <w:t>活动</w:t>
            </w:r>
          </w:p>
          <w:p w14:paraId="65A4F9D2">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时间</w:t>
            </w:r>
          </w:p>
        </w:tc>
        <w:tc>
          <w:tcPr>
            <w:tcW w:w="1327" w:type="dxa"/>
            <w:tcBorders>
              <w:top w:val="single" w:color="000000" w:sz="8" w:space="0"/>
              <w:left w:val="nil"/>
              <w:bottom w:val="single" w:color="000000" w:sz="8" w:space="0"/>
              <w:right w:val="single" w:color="000000" w:sz="8" w:space="0"/>
            </w:tcBorders>
            <w:noWrap w:val="0"/>
            <w:vAlign w:val="center"/>
          </w:tcPr>
          <w:p w14:paraId="277B5103">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lang w:val="en-US" w:eastAsia="zh-CN"/>
              </w:rPr>
            </w:pPr>
            <w:r>
              <w:rPr>
                <w:rFonts w:hint="eastAsia" w:ascii="宋体" w:hAnsi="宋体" w:eastAsia="宋体" w:cs="宋体"/>
                <w:b/>
                <w:bCs/>
                <w:color w:val="000000"/>
                <w:sz w:val="24"/>
                <w:szCs w:val="24"/>
                <w:highlight w:val="none"/>
              </w:rPr>
              <w:t>单场</w:t>
            </w:r>
            <w:r>
              <w:rPr>
                <w:rFonts w:hint="eastAsia" w:ascii="宋体" w:hAnsi="宋体" w:eastAsia="宋体" w:cs="宋体"/>
                <w:b/>
                <w:bCs/>
                <w:color w:val="000000"/>
                <w:sz w:val="24"/>
                <w:szCs w:val="24"/>
                <w:highlight w:val="none"/>
                <w:lang w:val="en-US" w:eastAsia="zh-CN"/>
              </w:rPr>
              <w:t>企业</w:t>
            </w:r>
          </w:p>
          <w:p w14:paraId="65419794">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规模</w:t>
            </w:r>
          </w:p>
        </w:tc>
        <w:tc>
          <w:tcPr>
            <w:tcW w:w="1017" w:type="dxa"/>
            <w:tcBorders>
              <w:top w:val="single" w:color="000000" w:sz="8" w:space="0"/>
              <w:left w:val="nil"/>
              <w:bottom w:val="single" w:color="000000" w:sz="8" w:space="0"/>
              <w:right w:val="single" w:color="000000" w:sz="8" w:space="0"/>
            </w:tcBorders>
            <w:noWrap w:val="0"/>
            <w:vAlign w:val="center"/>
          </w:tcPr>
          <w:p w14:paraId="3ECA3F00">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单场岗位数</w:t>
            </w:r>
          </w:p>
        </w:tc>
        <w:tc>
          <w:tcPr>
            <w:tcW w:w="986" w:type="dxa"/>
            <w:tcBorders>
              <w:top w:val="single" w:color="000000" w:sz="8" w:space="0"/>
              <w:left w:val="nil"/>
              <w:bottom w:val="single" w:color="000000" w:sz="8" w:space="0"/>
              <w:right w:val="single" w:color="000000" w:sz="8" w:space="0"/>
            </w:tcBorders>
            <w:noWrap w:val="0"/>
            <w:vAlign w:val="center"/>
          </w:tcPr>
          <w:p w14:paraId="50693E25">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场次</w:t>
            </w:r>
          </w:p>
        </w:tc>
        <w:tc>
          <w:tcPr>
            <w:tcW w:w="1358" w:type="dxa"/>
            <w:tcBorders>
              <w:top w:val="single" w:color="000000" w:sz="8" w:space="0"/>
              <w:left w:val="nil"/>
              <w:bottom w:val="single" w:color="000000" w:sz="8" w:space="0"/>
              <w:right w:val="single" w:color="000000" w:sz="8" w:space="0"/>
            </w:tcBorders>
            <w:noWrap w:val="0"/>
            <w:vAlign w:val="center"/>
          </w:tcPr>
          <w:p w14:paraId="61CE5B3B">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办会地点</w:t>
            </w:r>
          </w:p>
        </w:tc>
      </w:tr>
      <w:tr w14:paraId="5D25E1BC">
        <w:tblPrEx>
          <w:tblCellMar>
            <w:top w:w="0" w:type="dxa"/>
            <w:left w:w="108" w:type="dxa"/>
            <w:bottom w:w="0" w:type="dxa"/>
            <w:right w:w="108" w:type="dxa"/>
          </w:tblCellMar>
        </w:tblPrEx>
        <w:trPr>
          <w:trHeight w:val="1060" w:hRule="atLeast"/>
        </w:trPr>
        <w:tc>
          <w:tcPr>
            <w:tcW w:w="1783" w:type="dxa"/>
            <w:tcBorders>
              <w:left w:val="single" w:color="000000" w:sz="8" w:space="0"/>
              <w:bottom w:val="single" w:color="auto" w:sz="4" w:space="0"/>
              <w:right w:val="single" w:color="000000" w:sz="8" w:space="0"/>
            </w:tcBorders>
            <w:noWrap w:val="0"/>
            <w:vAlign w:val="center"/>
          </w:tcPr>
          <w:p w14:paraId="6505432A">
            <w:pPr>
              <w:keepNext w:val="0"/>
              <w:keepLines w:val="0"/>
              <w:pageBreakBefore w:val="0"/>
              <w:wordWrap/>
              <w:overflowPunct/>
              <w:topLinePunct w:val="0"/>
              <w:bidi w:val="0"/>
              <w:spacing w:line="460" w:lineRule="exact"/>
              <w:jc w:val="center"/>
              <w:rPr>
                <w:rFonts w:hint="eastAsia" w:ascii="宋体" w:hAnsi="宋体" w:eastAsia="宋体" w:cs="宋体"/>
                <w:color w:val="000000"/>
                <w:sz w:val="24"/>
                <w:szCs w:val="24"/>
                <w:highlight w:val="none"/>
              </w:rPr>
            </w:pPr>
            <w:r>
              <w:rPr>
                <w:rFonts w:hint="eastAsia" w:ascii="宋体" w:hAnsi="宋体" w:eastAsia="宋体" w:cs="宋体"/>
                <w:b w:val="0"/>
                <w:bCs w:val="0"/>
                <w:color w:val="000000"/>
                <w:sz w:val="24"/>
                <w:szCs w:val="24"/>
                <w:highlight w:val="none"/>
              </w:rPr>
              <w:t>202</w:t>
            </w:r>
            <w:r>
              <w:rPr>
                <w:rFonts w:hint="eastAsia" w:ascii="宋体" w:hAnsi="宋体" w:eastAsia="宋体" w:cs="宋体"/>
                <w:b w:val="0"/>
                <w:bCs w:val="0"/>
                <w:color w:val="000000"/>
                <w:sz w:val="24"/>
                <w:szCs w:val="24"/>
                <w:highlight w:val="none"/>
                <w:lang w:val="en-US" w:eastAsia="zh-CN"/>
              </w:rPr>
              <w:t>6</w:t>
            </w:r>
            <w:r>
              <w:rPr>
                <w:rFonts w:hint="eastAsia" w:ascii="宋体" w:hAnsi="宋体" w:eastAsia="宋体" w:cs="宋体"/>
                <w:b w:val="0"/>
                <w:bCs w:val="0"/>
                <w:color w:val="000000"/>
                <w:sz w:val="24"/>
                <w:szCs w:val="24"/>
                <w:highlight w:val="none"/>
              </w:rPr>
              <w:t xml:space="preserve">年南昌市本级“百场校招”赴外招才引智活动 </w:t>
            </w:r>
          </w:p>
        </w:tc>
        <w:tc>
          <w:tcPr>
            <w:tcW w:w="1915" w:type="dxa"/>
            <w:tcBorders>
              <w:top w:val="nil"/>
              <w:left w:val="nil"/>
              <w:bottom w:val="single" w:color="auto" w:sz="4" w:space="0"/>
              <w:right w:val="single" w:color="000000" w:sz="8" w:space="0"/>
            </w:tcBorders>
            <w:noWrap w:val="0"/>
            <w:vAlign w:val="center"/>
          </w:tcPr>
          <w:p w14:paraId="2AEB53E7">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color w:val="000000"/>
                <w:sz w:val="24"/>
                <w:szCs w:val="24"/>
                <w:highlight w:val="none"/>
              </w:rPr>
            </w:pPr>
            <w:r>
              <w:rPr>
                <w:rFonts w:hint="eastAsia" w:ascii="宋体" w:hAnsi="宋体" w:eastAsia="宋体" w:cs="宋体"/>
                <w:i w:val="0"/>
                <w:iCs w:val="0"/>
                <w:color w:val="000000"/>
                <w:kern w:val="0"/>
                <w:sz w:val="24"/>
                <w:szCs w:val="24"/>
                <w:highlight w:val="none"/>
                <w:u w:val="none"/>
                <w:lang w:val="en-US" w:eastAsia="zh-CN" w:bidi="ar"/>
              </w:rPr>
              <w:t>赴省外高校人才引进招聘会</w:t>
            </w:r>
          </w:p>
        </w:tc>
        <w:tc>
          <w:tcPr>
            <w:tcW w:w="1004" w:type="dxa"/>
            <w:tcBorders>
              <w:top w:val="nil"/>
              <w:left w:val="nil"/>
              <w:bottom w:val="single" w:color="auto" w:sz="4" w:space="0"/>
              <w:right w:val="single" w:color="000000" w:sz="8" w:space="0"/>
            </w:tcBorders>
            <w:noWrap w:val="0"/>
            <w:vAlign w:val="center"/>
          </w:tcPr>
          <w:p w14:paraId="3604C7C1">
            <w:pPr>
              <w:keepNext w:val="0"/>
              <w:keepLines w:val="0"/>
              <w:pageBreakBefore w:val="0"/>
              <w:widowControl/>
              <w:wordWrap/>
              <w:overflowPunct/>
              <w:topLinePunct w:val="0"/>
              <w:bidi w:val="0"/>
              <w:spacing w:line="460" w:lineRule="exact"/>
              <w:jc w:val="center"/>
              <w:textAlignment w:val="center"/>
              <w:rPr>
                <w:rFonts w:hint="default" w:ascii="宋体" w:hAnsi="宋体" w:eastAsia="宋体" w:cs="宋体"/>
                <w:color w:val="000000"/>
                <w:sz w:val="24"/>
                <w:szCs w:val="24"/>
                <w:highlight w:val="none"/>
                <w:lang w:val="en-US"/>
              </w:rPr>
            </w:pPr>
            <w:r>
              <w:rPr>
                <w:rFonts w:hint="eastAsia" w:ascii="宋体" w:hAnsi="宋体" w:eastAsia="宋体" w:cs="宋体"/>
                <w:color w:val="000000"/>
                <w:sz w:val="24"/>
                <w:szCs w:val="24"/>
                <w:highlight w:val="none"/>
                <w:lang w:val="en-US" w:eastAsia="zh-CN"/>
              </w:rPr>
              <w:t>2026年7-12月</w:t>
            </w:r>
          </w:p>
        </w:tc>
        <w:tc>
          <w:tcPr>
            <w:tcW w:w="1327" w:type="dxa"/>
            <w:tcBorders>
              <w:top w:val="nil"/>
              <w:left w:val="nil"/>
              <w:bottom w:val="single" w:color="auto" w:sz="4" w:space="0"/>
              <w:right w:val="single" w:color="000000" w:sz="8" w:space="0"/>
            </w:tcBorders>
            <w:noWrap w:val="0"/>
            <w:vAlign w:val="center"/>
          </w:tcPr>
          <w:p w14:paraId="1F0BB14F">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25家</w:t>
            </w:r>
          </w:p>
        </w:tc>
        <w:tc>
          <w:tcPr>
            <w:tcW w:w="1017" w:type="dxa"/>
            <w:tcBorders>
              <w:top w:val="nil"/>
              <w:left w:val="nil"/>
              <w:bottom w:val="single" w:color="auto" w:sz="4" w:space="0"/>
              <w:right w:val="single" w:color="000000" w:sz="8" w:space="0"/>
            </w:tcBorders>
            <w:noWrap w:val="0"/>
            <w:vAlign w:val="center"/>
          </w:tcPr>
          <w:p w14:paraId="42B95E9B">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100个</w:t>
            </w:r>
          </w:p>
        </w:tc>
        <w:tc>
          <w:tcPr>
            <w:tcW w:w="986" w:type="dxa"/>
            <w:tcBorders>
              <w:top w:val="nil"/>
              <w:left w:val="nil"/>
              <w:bottom w:val="single" w:color="auto" w:sz="4" w:space="0"/>
              <w:right w:val="single" w:color="000000" w:sz="8" w:space="0"/>
            </w:tcBorders>
            <w:noWrap w:val="0"/>
            <w:vAlign w:val="center"/>
          </w:tcPr>
          <w:p w14:paraId="75B88F48">
            <w:pPr>
              <w:keepNext w:val="0"/>
              <w:keepLines w:val="0"/>
              <w:pageBreakBefore w:val="0"/>
              <w:widowControl/>
              <w:wordWrap/>
              <w:overflowPunct/>
              <w:topLinePunct w:val="0"/>
              <w:bidi w:val="0"/>
              <w:spacing w:line="460" w:lineRule="exact"/>
              <w:jc w:val="center"/>
              <w:textAlignment w:val="center"/>
              <w:rPr>
                <w:rFonts w:hint="default"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8场</w:t>
            </w:r>
          </w:p>
        </w:tc>
        <w:tc>
          <w:tcPr>
            <w:tcW w:w="1358" w:type="dxa"/>
            <w:tcBorders>
              <w:top w:val="nil"/>
              <w:left w:val="nil"/>
              <w:bottom w:val="single" w:color="auto" w:sz="4" w:space="0"/>
              <w:right w:val="single" w:color="000000" w:sz="8" w:space="0"/>
            </w:tcBorders>
            <w:noWrap w:val="0"/>
            <w:vAlign w:val="center"/>
          </w:tcPr>
          <w:p w14:paraId="02EC17C2">
            <w:pPr>
              <w:keepNext w:val="0"/>
              <w:keepLines w:val="0"/>
              <w:pageBreakBefore w:val="0"/>
              <w:widowControl/>
              <w:wordWrap/>
              <w:overflowPunct/>
              <w:topLinePunct w:val="0"/>
              <w:bidi w:val="0"/>
              <w:spacing w:line="460" w:lineRule="exact"/>
              <w:jc w:val="center"/>
              <w:textAlignment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eastAsia="zh-CN"/>
              </w:rPr>
              <w:t>采购人</w:t>
            </w:r>
            <w:r>
              <w:rPr>
                <w:rFonts w:hint="eastAsia" w:ascii="宋体" w:hAnsi="宋体" w:eastAsia="宋体" w:cs="宋体"/>
                <w:color w:val="000000"/>
                <w:sz w:val="24"/>
                <w:szCs w:val="24"/>
                <w:highlight w:val="none"/>
              </w:rPr>
              <w:t>指定办会场地</w:t>
            </w:r>
          </w:p>
        </w:tc>
      </w:tr>
    </w:tbl>
    <w:p w14:paraId="04D46E6B">
      <w:pPr>
        <w:keepNext w:val="0"/>
        <w:keepLines w:val="0"/>
        <w:pageBreakBefore w:val="0"/>
        <w:widowControl w:val="0"/>
        <w:kinsoku/>
        <w:wordWrap/>
        <w:overflowPunct/>
        <w:topLinePunct w:val="0"/>
        <w:autoSpaceDE w:val="0"/>
        <w:autoSpaceDN w:val="0"/>
        <w:bidi w:val="0"/>
        <w:adjustRightInd/>
        <w:snapToGrid/>
        <w:spacing w:line="460" w:lineRule="exact"/>
        <w:ind w:left="0" w:firstLine="480" w:firstLineChars="200"/>
        <w:textAlignment w:val="auto"/>
        <w:rPr>
          <w:rFonts w:hint="eastAsia" w:ascii="宋体" w:hAnsi="宋体" w:eastAsia="宋体" w:cs="宋体"/>
          <w:b w:val="0"/>
          <w:bCs w:val="0"/>
          <w:color w:val="000000"/>
          <w:sz w:val="24"/>
          <w:szCs w:val="24"/>
          <w:highlight w:val="none"/>
        </w:rPr>
      </w:pP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二</w:t>
      </w:r>
      <w:r>
        <w:rPr>
          <w:rFonts w:hint="eastAsia" w:ascii="宋体" w:hAnsi="宋体" w:eastAsia="宋体" w:cs="宋体"/>
          <w:color w:val="000000"/>
          <w:sz w:val="24"/>
          <w:szCs w:val="24"/>
          <w:highlight w:val="none"/>
          <w:lang w:eastAsia="zh-CN"/>
        </w:rPr>
        <w:t>）</w:t>
      </w:r>
      <w:r>
        <w:rPr>
          <w:rFonts w:hint="eastAsia" w:ascii="宋体" w:hAnsi="宋体" w:eastAsia="宋体" w:cs="宋体"/>
          <w:b w:val="0"/>
          <w:bCs w:val="0"/>
          <w:color w:val="000000"/>
          <w:sz w:val="24"/>
          <w:szCs w:val="24"/>
          <w:highlight w:val="none"/>
          <w:lang w:val="en-US" w:eastAsia="zh-CN"/>
        </w:rPr>
        <w:t>活动</w:t>
      </w:r>
      <w:r>
        <w:rPr>
          <w:rFonts w:hint="eastAsia" w:ascii="宋体" w:hAnsi="宋体" w:eastAsia="宋体" w:cs="宋体"/>
          <w:b w:val="0"/>
          <w:bCs w:val="0"/>
          <w:color w:val="000000"/>
          <w:sz w:val="24"/>
          <w:szCs w:val="24"/>
          <w:highlight w:val="none"/>
        </w:rPr>
        <w:t>形式</w:t>
      </w:r>
    </w:p>
    <w:p w14:paraId="4A582FC5">
      <w:pPr>
        <w:keepNext w:val="0"/>
        <w:keepLines w:val="0"/>
        <w:pageBreakBefore w:val="0"/>
        <w:widowControl w:val="0"/>
        <w:kinsoku/>
        <w:wordWrap/>
        <w:overflowPunct/>
        <w:topLinePunct w:val="0"/>
        <w:autoSpaceDE w:val="0"/>
        <w:autoSpaceDN w:val="0"/>
        <w:bidi w:val="0"/>
        <w:adjustRightInd/>
        <w:snapToGrid/>
        <w:spacing w:line="460" w:lineRule="exact"/>
        <w:ind w:left="0" w:firstLine="480" w:firstLineChars="200"/>
        <w:textAlignment w:val="auto"/>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每场活动采取线上+线下的形式，在线下招聘活动举办的同时，同步开展线上招聘活动。</w:t>
      </w:r>
    </w:p>
    <w:p w14:paraId="5FAB626B">
      <w:pPr>
        <w:keepNext w:val="0"/>
        <w:keepLines w:val="0"/>
        <w:pageBreakBefore w:val="0"/>
        <w:widowControl w:val="0"/>
        <w:numPr>
          <w:ilvl w:val="0"/>
          <w:numId w:val="0"/>
        </w:numPr>
        <w:kinsoku/>
        <w:wordWrap/>
        <w:overflowPunct/>
        <w:topLinePunct w:val="0"/>
        <w:autoSpaceDE w:val="0"/>
        <w:autoSpaceDN w:val="0"/>
        <w:bidi w:val="0"/>
        <w:adjustRightInd/>
        <w:snapToGrid/>
        <w:spacing w:line="460" w:lineRule="exact"/>
        <w:ind w:left="0" w:firstLine="482" w:firstLineChars="200"/>
        <w:textAlignment w:val="auto"/>
        <w:rPr>
          <w:rFonts w:hint="eastAsia" w:ascii="宋体" w:hAnsi="宋体" w:eastAsia="宋体" w:cs="宋体"/>
          <w:sz w:val="24"/>
          <w:szCs w:val="24"/>
          <w:highlight w:val="none"/>
        </w:rPr>
      </w:pPr>
      <w:r>
        <w:rPr>
          <w:rFonts w:hint="eastAsia" w:ascii="宋体" w:hAnsi="宋体" w:eastAsia="宋体" w:cs="宋体"/>
          <w:b/>
          <w:bCs/>
          <w:color w:val="000000"/>
          <w:sz w:val="24"/>
          <w:szCs w:val="24"/>
          <w:highlight w:val="none"/>
          <w:lang w:val="en-US" w:eastAsia="zh-CN"/>
        </w:rPr>
        <w:t>1.</w:t>
      </w:r>
      <w:r>
        <w:rPr>
          <w:rFonts w:hint="eastAsia" w:ascii="宋体" w:hAnsi="宋体" w:eastAsia="宋体" w:cs="宋体"/>
          <w:b/>
          <w:bCs/>
          <w:color w:val="000000"/>
          <w:sz w:val="24"/>
          <w:szCs w:val="24"/>
          <w:highlight w:val="none"/>
        </w:rPr>
        <w:t>线上：</w:t>
      </w:r>
      <w:r>
        <w:rPr>
          <w:rFonts w:hint="eastAsia" w:ascii="宋体" w:hAnsi="宋体" w:eastAsia="宋体" w:cs="宋体"/>
          <w:color w:val="000000"/>
          <w:sz w:val="24"/>
          <w:szCs w:val="24"/>
          <w:highlight w:val="none"/>
        </w:rPr>
        <w:t>在</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洪城就业通”平台</w:t>
      </w:r>
      <w:r>
        <w:rPr>
          <w:rFonts w:hint="eastAsia" w:ascii="宋体" w:hAnsi="宋体" w:eastAsia="宋体" w:cs="宋体"/>
          <w:color w:val="000000"/>
          <w:sz w:val="24"/>
          <w:szCs w:val="24"/>
          <w:highlight w:val="none"/>
        </w:rPr>
        <w:t>开设专栏，至少提前七天发布活动预告，全程提供企业报名、简历投递等线上服务，并在活动当天开展直播带岗（直播带岗指通过</w:t>
      </w:r>
      <w:r>
        <w:rPr>
          <w:rFonts w:hint="eastAsia" w:ascii="宋体" w:hAnsi="宋体" w:eastAsia="宋体" w:cs="宋体"/>
          <w:color w:val="000000"/>
          <w:sz w:val="24"/>
          <w:szCs w:val="24"/>
          <w:highlight w:val="none"/>
          <w:lang w:val="en-US" w:eastAsia="zh-CN"/>
        </w:rPr>
        <w:t>线上平台</w:t>
      </w:r>
      <w:r>
        <w:rPr>
          <w:rFonts w:hint="eastAsia" w:ascii="宋体" w:hAnsi="宋体" w:eastAsia="宋体" w:cs="宋体"/>
          <w:color w:val="000000"/>
          <w:sz w:val="24"/>
          <w:szCs w:val="24"/>
          <w:highlight w:val="none"/>
        </w:rPr>
        <w:t>直播的方式，开展空中宣讲，展示参会企事业单位</w:t>
      </w:r>
      <w:r>
        <w:rPr>
          <w:rFonts w:hint="eastAsia" w:ascii="宋体" w:hAnsi="宋体" w:eastAsia="宋体" w:cs="宋体"/>
          <w:color w:val="000000"/>
          <w:sz w:val="24"/>
          <w:szCs w:val="24"/>
          <w:highlight w:val="none"/>
          <w:lang w:val="en-US" w:eastAsia="zh-CN"/>
        </w:rPr>
        <w:t>信息，并</w:t>
      </w:r>
      <w:r>
        <w:rPr>
          <w:rFonts w:hint="eastAsia" w:ascii="宋体" w:hAnsi="宋体" w:eastAsia="宋体" w:cs="宋体"/>
          <w:color w:val="000000"/>
          <w:sz w:val="24"/>
          <w:szCs w:val="24"/>
          <w:highlight w:val="none"/>
        </w:rPr>
        <w:t>推介人才政策、就业岗位）。</w:t>
      </w:r>
      <w:r>
        <w:rPr>
          <w:rFonts w:hint="eastAsia" w:ascii="宋体" w:hAnsi="宋体" w:eastAsia="宋体" w:cs="宋体"/>
          <w:sz w:val="24"/>
          <w:szCs w:val="24"/>
          <w:highlight w:val="none"/>
        </w:rPr>
        <w:t>直播带岗时长不少于</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小时，参与企业不少于</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家。</w:t>
      </w:r>
    </w:p>
    <w:p w14:paraId="153D6572">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eastAsia" w:ascii="宋体" w:hAnsi="宋体" w:eastAsia="宋体" w:cs="宋体"/>
          <w:sz w:val="24"/>
          <w:szCs w:val="24"/>
          <w:highlight w:val="none"/>
        </w:rPr>
      </w:pPr>
      <w:r>
        <w:rPr>
          <w:rFonts w:hint="eastAsia" w:ascii="宋体" w:hAnsi="宋体" w:eastAsia="宋体" w:cs="宋体"/>
          <w:b/>
          <w:bCs/>
          <w:sz w:val="24"/>
          <w:szCs w:val="24"/>
          <w:highlight w:val="none"/>
          <w:lang w:val="en-US" w:eastAsia="zh-CN"/>
        </w:rPr>
        <w:t>2</w:t>
      </w:r>
      <w:r>
        <w:rPr>
          <w:rFonts w:hint="eastAsia" w:ascii="宋体" w:hAnsi="宋体" w:eastAsia="宋体" w:cs="宋体"/>
          <w:b/>
          <w:bCs/>
          <w:sz w:val="24"/>
          <w:szCs w:val="24"/>
          <w:highlight w:val="none"/>
        </w:rPr>
        <w:t>.线下：</w:t>
      </w:r>
      <w:r>
        <w:rPr>
          <w:rFonts w:hint="eastAsia" w:ascii="宋体" w:hAnsi="宋体" w:eastAsia="宋体" w:cs="宋体"/>
          <w:sz w:val="24"/>
          <w:szCs w:val="24"/>
          <w:highlight w:val="none"/>
          <w:lang w:val="en-US" w:eastAsia="zh-CN"/>
        </w:rPr>
        <w:t>以招聘会为主活动，推介会和赣籍学子见面会为子活动。招聘会现场</w:t>
      </w:r>
      <w:r>
        <w:rPr>
          <w:rFonts w:hint="eastAsia" w:ascii="宋体" w:hAnsi="宋体" w:eastAsia="宋体" w:cs="宋体"/>
          <w:sz w:val="24"/>
          <w:szCs w:val="24"/>
          <w:highlight w:val="none"/>
        </w:rPr>
        <w:t>设置政策咨询、招聘、就业指导等服务专区。每场活动专区设置由</w:t>
      </w:r>
      <w:r>
        <w:rPr>
          <w:rFonts w:hint="eastAsia" w:ascii="宋体" w:hAnsi="宋体" w:eastAsia="宋体" w:cs="宋体"/>
          <w:sz w:val="24"/>
          <w:szCs w:val="24"/>
          <w:highlight w:val="none"/>
          <w:lang w:eastAsia="zh-CN"/>
        </w:rPr>
        <w:t>采购人</w:t>
      </w:r>
      <w:r>
        <w:rPr>
          <w:rFonts w:hint="eastAsia" w:ascii="宋体" w:hAnsi="宋体" w:eastAsia="宋体" w:cs="宋体"/>
          <w:sz w:val="24"/>
          <w:szCs w:val="24"/>
          <w:highlight w:val="none"/>
        </w:rPr>
        <w:t>根据活动内容确定</w:t>
      </w:r>
      <w:r>
        <w:rPr>
          <w:rFonts w:hint="eastAsia" w:ascii="宋体" w:hAnsi="宋体" w:eastAsia="宋体" w:cs="宋体"/>
          <w:sz w:val="24"/>
          <w:szCs w:val="24"/>
          <w:highlight w:val="none"/>
          <w:lang w:val="en-US" w:eastAsia="zh-CN"/>
        </w:rPr>
        <w:t>并征求采购人意见</w:t>
      </w:r>
      <w:r>
        <w:rPr>
          <w:rFonts w:hint="eastAsia" w:ascii="宋体" w:hAnsi="宋体" w:eastAsia="宋体" w:cs="宋体"/>
          <w:sz w:val="24"/>
          <w:szCs w:val="24"/>
          <w:highlight w:val="none"/>
        </w:rPr>
        <w:t>，确保专区布局合理、功能完善。</w:t>
      </w:r>
    </w:p>
    <w:p w14:paraId="4B460DBE">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（三）活动前摸排</w:t>
      </w:r>
    </w:p>
    <w:p w14:paraId="6897937E">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中标人须在每场线下活动正式举办前，</w:t>
      </w:r>
      <w:r>
        <w:rPr>
          <w:rFonts w:hint="eastAsia" w:ascii="宋体" w:hAnsi="宋体" w:eastAsia="宋体" w:cs="宋体"/>
          <w:sz w:val="24"/>
          <w:szCs w:val="24"/>
          <w:highlight w:val="none"/>
          <w:u w:val="none"/>
          <w:lang w:val="en-US" w:eastAsia="zh-CN"/>
        </w:rPr>
        <w:t>需</w:t>
      </w:r>
      <w:r>
        <w:rPr>
          <w:rFonts w:hint="eastAsia" w:ascii="宋体" w:hAnsi="宋体" w:eastAsia="宋体" w:cs="宋体"/>
          <w:sz w:val="24"/>
          <w:szCs w:val="24"/>
          <w:highlight w:val="none"/>
          <w:u w:val="none"/>
        </w:rPr>
        <w:t>系统完成对南昌市重点产业人才需求</w:t>
      </w:r>
      <w:r>
        <w:rPr>
          <w:rFonts w:hint="eastAsia" w:ascii="宋体" w:hAnsi="宋体" w:eastAsia="宋体" w:cs="宋体"/>
          <w:sz w:val="24"/>
          <w:szCs w:val="24"/>
          <w:highlight w:val="none"/>
          <w:u w:val="none"/>
          <w:lang w:val="en-US" w:eastAsia="zh-CN"/>
        </w:rPr>
        <w:t>与</w:t>
      </w:r>
      <w:r>
        <w:rPr>
          <w:rFonts w:hint="eastAsia" w:ascii="宋体" w:hAnsi="宋体" w:eastAsia="宋体" w:cs="宋体"/>
          <w:sz w:val="24"/>
          <w:szCs w:val="24"/>
          <w:highlight w:val="none"/>
          <w:u w:val="none"/>
        </w:rPr>
        <w:t>省外目标高校专业生源的多维度、跨省域精准匹配分析，形成书面分析报告，确保“供需对接准、人岗匹配高”。具体要求如下：</w:t>
      </w:r>
    </w:p>
    <w:p w14:paraId="1B47E5A3">
      <w:pPr>
        <w:keepNext w:val="0"/>
        <w:keepLines w:val="0"/>
        <w:pageBreakBefore w:val="0"/>
        <w:widowControl w:val="0"/>
        <w:kinsoku/>
        <w:wordWrap/>
        <w:overflowPunct/>
        <w:topLinePunct w:val="0"/>
        <w:autoSpaceDE w:val="0"/>
        <w:autoSpaceDN w:val="0"/>
        <w:bidi w:val="0"/>
        <w:adjustRightInd/>
        <w:snapToGrid/>
        <w:spacing w:line="460" w:lineRule="exact"/>
        <w:ind w:left="0" w:firstLine="480" w:firstLineChars="200"/>
        <w:textAlignment w:val="auto"/>
        <w:rPr>
          <w:rFonts w:hint="eastAsia" w:ascii="宋体" w:hAnsi="宋体" w:eastAsia="宋体" w:cs="宋体"/>
          <w:sz w:val="24"/>
          <w:szCs w:val="24"/>
          <w:highlight w:val="none"/>
          <w:u w:val="none"/>
          <w:lang w:val="en-US" w:eastAsia="zh-CN"/>
        </w:rPr>
      </w:pPr>
      <w:r>
        <w:rPr>
          <w:rFonts w:hint="eastAsia" w:ascii="宋体" w:hAnsi="宋体" w:eastAsia="宋体" w:cs="宋体"/>
          <w:sz w:val="24"/>
          <w:szCs w:val="24"/>
          <w:highlight w:val="none"/>
          <w:u w:val="none"/>
          <w:lang w:val="en-US" w:eastAsia="zh-CN"/>
        </w:rPr>
        <w:t>1.南昌市企业招聘需求摸排。中标人须在签订合同后30个工作日内，完成对南昌市重点产业链人才需求的首次全面摸排。摸排范围须覆盖不少于5条重点产业链，每条产业链摸排企业不少于40家（含链主企业不少于2家），同时广泛摸排驻昌国有企事业单位、百强民企、“专精特新”、小巨人、规上企业等其他重点单位。摸排内容须包括：企业2026年度校园招聘的目标岗位、专业要求、学历层次、预估招聘人数、薪资待遇、核心技能要求，以及企业意向前往的省外目标城市及高校名单。同步形成活动建议高校名单（不少于24所）。</w:t>
      </w:r>
    </w:p>
    <w:p w14:paraId="02564DF7">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sz w:val="24"/>
          <w:szCs w:val="24"/>
          <w:highlight w:val="none"/>
          <w:u w:val="none"/>
          <w:lang w:val="en-US" w:eastAsia="zh-CN"/>
        </w:rPr>
      </w:pPr>
      <w:r>
        <w:rPr>
          <w:rFonts w:hint="eastAsia" w:ascii="宋体" w:hAnsi="宋体" w:eastAsia="宋体" w:cs="宋体"/>
          <w:sz w:val="24"/>
          <w:szCs w:val="24"/>
          <w:highlight w:val="none"/>
          <w:u w:val="none"/>
          <w:lang w:val="en-US" w:eastAsia="zh-CN"/>
        </w:rPr>
        <w:t>2.省外高校专业生源匹配分析。中标人须在提交需求分析报告后10个工作日内，对建议高校进行深度匹配分析，针对每所高校，须完成：将南昌市紧缺专业人才与高校优势学科进行比对；获取2027届毕业生规模、学历分布、赣籍学子占比等数据；复盘采购人过往在该校的活动成效；调研同期其他招聘安排，提出错峰或差异化建议。并向采购人提交《省外目标高校人才供给与南昌产业需求匹配分析报告》。采购人有权根据报告内容调整或更换活动举办高校。</w:t>
      </w:r>
    </w:p>
    <w:p w14:paraId="6C03839A">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b w:val="0"/>
          <w:bCs w:val="0"/>
          <w:color w:val="000000"/>
          <w:sz w:val="24"/>
          <w:szCs w:val="24"/>
          <w:highlight w:val="none"/>
          <w:u w:val="none"/>
          <w:lang w:val="en-US" w:eastAsia="zh-CN"/>
        </w:rPr>
      </w:pPr>
      <w:r>
        <w:rPr>
          <w:rFonts w:hint="eastAsia" w:ascii="宋体" w:hAnsi="宋体" w:eastAsia="宋体" w:cs="宋体"/>
          <w:color w:val="000000"/>
          <w:sz w:val="24"/>
          <w:szCs w:val="24"/>
          <w:highlight w:val="none"/>
          <w:u w:val="none"/>
          <w:lang w:eastAsia="zh-CN"/>
        </w:rPr>
        <w:t>（</w:t>
      </w:r>
      <w:r>
        <w:rPr>
          <w:rFonts w:hint="eastAsia" w:ascii="宋体" w:hAnsi="宋体" w:eastAsia="宋体" w:cs="宋体"/>
          <w:color w:val="000000"/>
          <w:sz w:val="24"/>
          <w:szCs w:val="24"/>
          <w:highlight w:val="none"/>
          <w:u w:val="none"/>
          <w:lang w:val="en-US" w:eastAsia="zh-CN"/>
        </w:rPr>
        <w:t>四</w:t>
      </w:r>
      <w:r>
        <w:rPr>
          <w:rFonts w:hint="eastAsia" w:ascii="宋体" w:hAnsi="宋体" w:eastAsia="宋体" w:cs="宋体"/>
          <w:color w:val="000000"/>
          <w:sz w:val="24"/>
          <w:szCs w:val="24"/>
          <w:highlight w:val="none"/>
          <w:u w:val="none"/>
          <w:lang w:eastAsia="zh-CN"/>
        </w:rPr>
        <w:t>）</w:t>
      </w:r>
      <w:r>
        <w:rPr>
          <w:rFonts w:hint="eastAsia" w:ascii="宋体" w:hAnsi="宋体" w:eastAsia="宋体" w:cs="宋体"/>
          <w:b w:val="0"/>
          <w:bCs w:val="0"/>
          <w:color w:val="000000"/>
          <w:sz w:val="24"/>
          <w:szCs w:val="24"/>
          <w:highlight w:val="none"/>
          <w:u w:val="none"/>
        </w:rPr>
        <w:t>执行</w:t>
      </w:r>
      <w:r>
        <w:rPr>
          <w:rFonts w:hint="eastAsia" w:ascii="宋体" w:hAnsi="宋体" w:eastAsia="宋体" w:cs="宋体"/>
          <w:b w:val="0"/>
          <w:bCs w:val="0"/>
          <w:color w:val="000000"/>
          <w:sz w:val="24"/>
          <w:szCs w:val="24"/>
          <w:highlight w:val="none"/>
          <w:u w:val="none"/>
          <w:lang w:val="en-US" w:eastAsia="zh-CN"/>
        </w:rPr>
        <w:t>要求</w:t>
      </w:r>
    </w:p>
    <w:p w14:paraId="2217B136">
      <w:pPr>
        <w:keepNext w:val="0"/>
        <w:keepLines w:val="0"/>
        <w:pageBreakBefore w:val="0"/>
        <w:widowControl w:val="0"/>
        <w:kinsoku/>
        <w:wordWrap/>
        <w:overflowPunct/>
        <w:topLinePunct w:val="0"/>
        <w:autoSpaceDE w:val="0"/>
        <w:autoSpaceDN w:val="0"/>
        <w:bidi w:val="0"/>
        <w:adjustRightInd/>
        <w:snapToGrid/>
        <w:spacing w:line="440" w:lineRule="exact"/>
        <w:ind w:firstLine="480" w:firstLineChars="200"/>
        <w:textAlignment w:val="auto"/>
        <w:rPr>
          <w:rFonts w:hint="eastAsia" w:ascii="宋体" w:hAnsi="宋体" w:eastAsia="宋体" w:cs="宋体"/>
          <w:color w:val="000000"/>
          <w:sz w:val="24"/>
          <w:szCs w:val="24"/>
          <w:highlight w:val="none"/>
          <w:u w:val="none"/>
          <w:lang w:eastAsia="zh-CN"/>
        </w:rPr>
      </w:pPr>
      <w:bookmarkStart w:id="6" w:name="_Toc21773"/>
      <w:r>
        <w:rPr>
          <w:rFonts w:hint="eastAsia" w:ascii="宋体" w:hAnsi="宋体" w:eastAsia="宋体" w:cs="宋体"/>
          <w:color w:val="000000"/>
          <w:sz w:val="24"/>
          <w:szCs w:val="24"/>
          <w:highlight w:val="none"/>
          <w:u w:val="none"/>
          <w:lang w:val="en-US" w:eastAsia="zh-CN"/>
        </w:rPr>
        <w:t>1.</w:t>
      </w:r>
      <w:bookmarkEnd w:id="6"/>
      <w:r>
        <w:rPr>
          <w:rFonts w:hint="eastAsia" w:ascii="宋体" w:hAnsi="宋体" w:eastAsia="宋体" w:cs="宋体"/>
          <w:color w:val="000000"/>
          <w:sz w:val="24"/>
          <w:szCs w:val="24"/>
          <w:highlight w:val="none"/>
          <w:u w:val="none"/>
        </w:rPr>
        <w:t>全流程平台管控</w:t>
      </w:r>
      <w:r>
        <w:rPr>
          <w:rFonts w:hint="eastAsia" w:ascii="宋体" w:hAnsi="宋体" w:eastAsia="宋体" w:cs="宋体"/>
          <w:color w:val="000000"/>
          <w:sz w:val="24"/>
          <w:szCs w:val="24"/>
          <w:highlight w:val="none"/>
          <w:u w:val="none"/>
          <w:lang w:eastAsia="zh-CN"/>
        </w:rPr>
        <w:t>。</w:t>
      </w:r>
      <w:r>
        <w:rPr>
          <w:rFonts w:hint="eastAsia" w:ascii="宋体" w:hAnsi="宋体" w:eastAsia="宋体" w:cs="宋体"/>
          <w:color w:val="000000"/>
          <w:sz w:val="24"/>
          <w:szCs w:val="24"/>
          <w:highlight w:val="none"/>
          <w:u w:val="none"/>
        </w:rPr>
        <w:t>所有招聘活动的组织、信息发布、流程实施均需通过</w:t>
      </w:r>
      <w:r>
        <w:rPr>
          <w:rFonts w:hint="eastAsia" w:ascii="宋体" w:hAnsi="宋体" w:eastAsia="宋体" w:cs="宋体"/>
          <w:color w:val="000000"/>
          <w:sz w:val="24"/>
          <w:szCs w:val="24"/>
          <w:highlight w:val="none"/>
          <w:u w:val="none"/>
          <w:lang w:eastAsia="zh-CN"/>
        </w:rPr>
        <w:t>“</w:t>
      </w:r>
      <w:r>
        <w:rPr>
          <w:rFonts w:hint="eastAsia" w:ascii="宋体" w:hAnsi="宋体" w:eastAsia="宋体" w:cs="宋体"/>
          <w:color w:val="000000"/>
          <w:sz w:val="24"/>
          <w:szCs w:val="24"/>
          <w:highlight w:val="none"/>
          <w:u w:val="none"/>
        </w:rPr>
        <w:t>洪城就业通</w:t>
      </w:r>
      <w:r>
        <w:rPr>
          <w:rFonts w:hint="eastAsia" w:ascii="宋体" w:hAnsi="宋体" w:eastAsia="宋体" w:cs="宋体"/>
          <w:color w:val="000000"/>
          <w:sz w:val="24"/>
          <w:szCs w:val="24"/>
          <w:highlight w:val="none"/>
          <w:u w:val="none"/>
          <w:lang w:eastAsia="zh-CN"/>
        </w:rPr>
        <w:t>”</w:t>
      </w:r>
      <w:r>
        <w:rPr>
          <w:rFonts w:hint="eastAsia" w:ascii="宋体" w:hAnsi="宋体" w:eastAsia="宋体" w:cs="宋体"/>
          <w:color w:val="000000"/>
          <w:sz w:val="24"/>
          <w:szCs w:val="24"/>
          <w:highlight w:val="none"/>
          <w:u w:val="none"/>
        </w:rPr>
        <w:t>平台完成，确保线上线下信息同源、数据同步、服务同质</w:t>
      </w:r>
      <w:r>
        <w:rPr>
          <w:rFonts w:hint="eastAsia" w:ascii="宋体" w:hAnsi="宋体" w:eastAsia="宋体" w:cs="宋体"/>
          <w:color w:val="000000"/>
          <w:sz w:val="24"/>
          <w:szCs w:val="24"/>
          <w:highlight w:val="none"/>
          <w:u w:val="none"/>
          <w:lang w:val="en-US" w:eastAsia="zh-CN"/>
        </w:rPr>
        <w:t>；</w:t>
      </w:r>
    </w:p>
    <w:p w14:paraId="2A00BD0F">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u w:val="none"/>
          <w:lang w:eastAsia="zh-CN"/>
        </w:rPr>
      </w:pPr>
      <w:r>
        <w:rPr>
          <w:rFonts w:hint="eastAsia" w:ascii="宋体" w:hAnsi="宋体" w:eastAsia="宋体" w:cs="宋体"/>
          <w:color w:val="000000"/>
          <w:sz w:val="24"/>
          <w:szCs w:val="24"/>
          <w:highlight w:val="none"/>
          <w:u w:val="none"/>
          <w:lang w:val="en-US" w:eastAsia="zh-CN"/>
        </w:rPr>
        <w:t>2.</w:t>
      </w:r>
      <w:r>
        <w:rPr>
          <w:rFonts w:hint="default" w:ascii="宋体" w:hAnsi="宋体" w:eastAsia="宋体" w:cs="宋体"/>
          <w:sz w:val="24"/>
          <w:szCs w:val="24"/>
          <w:highlight w:val="none"/>
          <w:u w:val="none"/>
        </w:rPr>
        <w:t>方案报批要求。</w:t>
      </w:r>
      <w:r>
        <w:rPr>
          <w:rFonts w:hint="eastAsia" w:ascii="宋体" w:hAnsi="宋体" w:eastAsia="宋体" w:cs="宋体"/>
          <w:color w:val="000000"/>
          <w:sz w:val="24"/>
          <w:szCs w:val="24"/>
          <w:highlight w:val="none"/>
          <w:u w:val="none"/>
          <w:lang w:val="en-US" w:eastAsia="zh-CN"/>
        </w:rPr>
        <w:t>签订合同后15日内，中标人要制定整体活动策划方案报采购人审定；</w:t>
      </w:r>
      <w:r>
        <w:rPr>
          <w:rFonts w:hint="eastAsia" w:ascii="宋体" w:hAnsi="宋体" w:eastAsia="宋体" w:cs="宋体"/>
          <w:color w:val="000000"/>
          <w:sz w:val="24"/>
          <w:szCs w:val="24"/>
          <w:highlight w:val="none"/>
          <w:u w:val="none"/>
        </w:rPr>
        <w:t>每场活动开展</w:t>
      </w:r>
      <w:r>
        <w:rPr>
          <w:rFonts w:hint="eastAsia" w:ascii="宋体" w:hAnsi="宋体" w:eastAsia="宋体" w:cs="宋体"/>
          <w:color w:val="000000"/>
          <w:sz w:val="24"/>
          <w:szCs w:val="24"/>
          <w:highlight w:val="none"/>
          <w:u w:val="none"/>
          <w:lang w:val="en-US" w:eastAsia="zh-CN"/>
        </w:rPr>
        <w:t>10日前，需提交活动</w:t>
      </w:r>
      <w:r>
        <w:rPr>
          <w:rFonts w:hint="eastAsia" w:ascii="宋体" w:hAnsi="宋体" w:eastAsia="宋体" w:cs="宋体"/>
          <w:color w:val="000000"/>
          <w:sz w:val="24"/>
          <w:szCs w:val="24"/>
          <w:highlight w:val="none"/>
          <w:u w:val="none"/>
        </w:rPr>
        <w:t>执行方案、应急预案和布展效果图</w:t>
      </w:r>
      <w:r>
        <w:rPr>
          <w:rFonts w:hint="eastAsia" w:ascii="宋体" w:hAnsi="宋体" w:eastAsia="宋体" w:cs="宋体"/>
          <w:color w:val="000000"/>
          <w:sz w:val="24"/>
          <w:szCs w:val="24"/>
          <w:highlight w:val="none"/>
          <w:u w:val="none"/>
          <w:lang w:val="en-US" w:eastAsia="zh-CN"/>
        </w:rPr>
        <w:t>至采购人审核</w:t>
      </w:r>
      <w:r>
        <w:rPr>
          <w:rFonts w:hint="eastAsia" w:ascii="宋体" w:hAnsi="宋体" w:eastAsia="宋体" w:cs="宋体"/>
          <w:color w:val="000000"/>
          <w:sz w:val="24"/>
          <w:szCs w:val="24"/>
          <w:highlight w:val="none"/>
          <w:u w:val="none"/>
        </w:rPr>
        <w:t>，</w:t>
      </w:r>
      <w:r>
        <w:rPr>
          <w:rFonts w:hint="eastAsia" w:ascii="宋体" w:hAnsi="宋体" w:eastAsia="宋体" w:cs="宋体"/>
          <w:color w:val="000000"/>
          <w:sz w:val="24"/>
          <w:szCs w:val="24"/>
          <w:highlight w:val="none"/>
          <w:u w:val="none"/>
          <w:lang w:val="en-US" w:eastAsia="zh-CN"/>
        </w:rPr>
        <w:t>并</w:t>
      </w:r>
      <w:r>
        <w:rPr>
          <w:rFonts w:hint="eastAsia" w:ascii="宋体" w:hAnsi="宋体" w:eastAsia="宋体" w:cs="宋体"/>
          <w:color w:val="000000"/>
          <w:sz w:val="24"/>
          <w:szCs w:val="24"/>
          <w:highlight w:val="none"/>
          <w:u w:val="none"/>
        </w:rPr>
        <w:t>在</w:t>
      </w:r>
      <w:r>
        <w:rPr>
          <w:rFonts w:hint="eastAsia" w:ascii="宋体" w:hAnsi="宋体" w:eastAsia="宋体" w:cs="宋体"/>
          <w:color w:val="000000"/>
          <w:sz w:val="24"/>
          <w:szCs w:val="24"/>
          <w:highlight w:val="none"/>
          <w:u w:val="none"/>
          <w:lang w:val="en-US" w:eastAsia="zh-CN"/>
        </w:rPr>
        <w:t>采购人</w:t>
      </w:r>
      <w:r>
        <w:rPr>
          <w:rFonts w:hint="eastAsia" w:ascii="宋体" w:hAnsi="宋体" w:eastAsia="宋体" w:cs="宋体"/>
          <w:color w:val="000000"/>
          <w:sz w:val="24"/>
          <w:szCs w:val="24"/>
          <w:highlight w:val="none"/>
          <w:u w:val="none"/>
        </w:rPr>
        <w:t>提出意见的24小时内予以响应并调整到位，经</w:t>
      </w:r>
      <w:r>
        <w:rPr>
          <w:rFonts w:hint="eastAsia" w:ascii="宋体" w:hAnsi="宋体" w:eastAsia="宋体" w:cs="宋体"/>
          <w:color w:val="000000"/>
          <w:sz w:val="24"/>
          <w:szCs w:val="24"/>
          <w:highlight w:val="none"/>
          <w:u w:val="none"/>
          <w:lang w:eastAsia="zh-CN"/>
        </w:rPr>
        <w:t>采购人</w:t>
      </w:r>
      <w:r>
        <w:rPr>
          <w:rFonts w:hint="eastAsia" w:ascii="宋体" w:hAnsi="宋体" w:eastAsia="宋体" w:cs="宋体"/>
          <w:color w:val="000000"/>
          <w:sz w:val="24"/>
          <w:szCs w:val="24"/>
          <w:highlight w:val="none"/>
          <w:u w:val="none"/>
        </w:rPr>
        <w:t>同意后方可实施</w:t>
      </w:r>
      <w:r>
        <w:rPr>
          <w:rFonts w:hint="eastAsia" w:ascii="宋体" w:hAnsi="宋体" w:eastAsia="宋体" w:cs="宋体"/>
          <w:color w:val="000000"/>
          <w:sz w:val="24"/>
          <w:szCs w:val="24"/>
          <w:highlight w:val="none"/>
          <w:u w:val="none"/>
          <w:lang w:val="en-US" w:eastAsia="zh-CN"/>
        </w:rPr>
        <w:t>；</w:t>
      </w:r>
    </w:p>
    <w:p w14:paraId="526487FA">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u w:val="none"/>
          <w:lang w:eastAsia="zh-CN"/>
        </w:rPr>
      </w:pPr>
      <w:r>
        <w:rPr>
          <w:rFonts w:hint="eastAsia" w:ascii="宋体" w:hAnsi="宋体" w:eastAsia="宋体" w:cs="宋体"/>
          <w:color w:val="000000"/>
          <w:sz w:val="24"/>
          <w:szCs w:val="24"/>
          <w:highlight w:val="none"/>
          <w:u w:val="none"/>
          <w:lang w:val="en-US" w:eastAsia="zh-CN"/>
        </w:rPr>
        <w:t>3.</w:t>
      </w:r>
      <w:r>
        <w:rPr>
          <w:rFonts w:hint="default" w:ascii="宋体" w:hAnsi="宋体" w:eastAsia="宋体" w:cs="宋体"/>
          <w:sz w:val="24"/>
          <w:szCs w:val="24"/>
          <w:highlight w:val="none"/>
          <w:u w:val="none"/>
        </w:rPr>
        <w:t>高校对接职责。</w:t>
      </w:r>
      <w:r>
        <w:rPr>
          <w:rStyle w:val="8"/>
          <w:rFonts w:ascii="Segoe UI" w:hAnsi="Segoe UI" w:eastAsia="Segoe UI" w:cs="Segoe UI"/>
          <w:b w:val="0"/>
          <w:bCs w:val="0"/>
          <w:i w:val="0"/>
          <w:iCs w:val="0"/>
          <w:caps w:val="0"/>
          <w:color w:val="0F1115"/>
          <w:spacing w:val="0"/>
          <w:sz w:val="24"/>
          <w:szCs w:val="24"/>
          <w:highlight w:val="none"/>
          <w:u w:val="none"/>
          <w:shd w:val="clear" w:color="auto" w:fill="FFFFFF"/>
        </w:rPr>
        <w:t>中标人须具备跨区域、并行或连续协调多所高校的能力。</w:t>
      </w:r>
      <w:r>
        <w:rPr>
          <w:rFonts w:hint="eastAsia" w:ascii="宋体" w:hAnsi="宋体" w:eastAsia="宋体" w:cs="宋体"/>
          <w:sz w:val="24"/>
          <w:szCs w:val="24"/>
          <w:highlight w:val="none"/>
          <w:u w:val="none"/>
        </w:rPr>
        <w:t>负责对接活动举办高校，落实</w:t>
      </w:r>
      <w:r>
        <w:rPr>
          <w:rFonts w:hint="eastAsia" w:ascii="宋体" w:hAnsi="宋体" w:eastAsia="宋体" w:cs="宋体"/>
          <w:sz w:val="24"/>
          <w:szCs w:val="24"/>
          <w:highlight w:val="none"/>
          <w:u w:val="none"/>
          <w:lang w:val="en-US" w:eastAsia="zh-CN"/>
        </w:rPr>
        <w:t>布展、</w:t>
      </w:r>
      <w:r>
        <w:rPr>
          <w:rFonts w:hint="eastAsia" w:ascii="宋体" w:hAnsi="宋体" w:eastAsia="宋体" w:cs="宋体"/>
          <w:sz w:val="24"/>
          <w:szCs w:val="24"/>
          <w:highlight w:val="none"/>
          <w:u w:val="none"/>
        </w:rPr>
        <w:t>场地</w:t>
      </w:r>
      <w:r>
        <w:rPr>
          <w:rFonts w:hint="eastAsia" w:ascii="宋体" w:hAnsi="宋体" w:eastAsia="宋体" w:cs="宋体"/>
          <w:sz w:val="24"/>
          <w:szCs w:val="24"/>
          <w:highlight w:val="none"/>
          <w:u w:val="none"/>
          <w:lang w:eastAsia="zh-CN"/>
        </w:rPr>
        <w:t>、</w:t>
      </w:r>
      <w:r>
        <w:rPr>
          <w:rFonts w:hint="eastAsia" w:ascii="宋体" w:hAnsi="宋体" w:eastAsia="宋体" w:cs="宋体"/>
          <w:sz w:val="24"/>
          <w:szCs w:val="24"/>
          <w:highlight w:val="none"/>
          <w:u w:val="none"/>
          <w:lang w:val="en-US" w:eastAsia="zh-CN"/>
        </w:rPr>
        <w:t>校方领导邀请</w:t>
      </w:r>
      <w:r>
        <w:rPr>
          <w:rFonts w:hint="eastAsia" w:ascii="宋体" w:hAnsi="宋体" w:eastAsia="宋体" w:cs="宋体"/>
          <w:sz w:val="24"/>
          <w:szCs w:val="24"/>
          <w:highlight w:val="none"/>
          <w:u w:val="none"/>
        </w:rPr>
        <w:t>等相关事宜，</w:t>
      </w:r>
      <w:r>
        <w:rPr>
          <w:rFonts w:hint="eastAsia" w:ascii="宋体" w:hAnsi="宋体" w:eastAsia="宋体" w:cs="宋体"/>
          <w:color w:val="000000"/>
          <w:sz w:val="24"/>
          <w:szCs w:val="24"/>
          <w:highlight w:val="none"/>
          <w:u w:val="none"/>
          <w:lang w:val="en-US" w:eastAsia="zh-CN"/>
        </w:rPr>
        <w:t>并</w:t>
      </w:r>
      <w:r>
        <w:rPr>
          <w:rFonts w:hint="eastAsia" w:ascii="宋体" w:hAnsi="宋体" w:eastAsia="宋体" w:cs="宋体"/>
          <w:color w:val="000000"/>
          <w:sz w:val="24"/>
          <w:szCs w:val="24"/>
          <w:highlight w:val="none"/>
          <w:u w:val="none"/>
        </w:rPr>
        <w:t>按程序</w:t>
      </w:r>
      <w:r>
        <w:rPr>
          <w:rFonts w:hint="eastAsia" w:ascii="宋体" w:hAnsi="宋体" w:eastAsia="宋体" w:cs="宋体"/>
          <w:color w:val="000000"/>
          <w:sz w:val="24"/>
          <w:szCs w:val="24"/>
          <w:highlight w:val="none"/>
          <w:u w:val="none"/>
          <w:lang w:val="en-US" w:eastAsia="zh-CN"/>
        </w:rPr>
        <w:t>向校方相关部门</w:t>
      </w:r>
      <w:r>
        <w:rPr>
          <w:rFonts w:hint="eastAsia" w:ascii="宋体" w:hAnsi="宋体" w:eastAsia="宋体" w:cs="宋体"/>
          <w:color w:val="000000"/>
          <w:sz w:val="24"/>
          <w:szCs w:val="24"/>
          <w:highlight w:val="none"/>
          <w:u w:val="none"/>
        </w:rPr>
        <w:t>报批并实施</w:t>
      </w:r>
      <w:r>
        <w:rPr>
          <w:rFonts w:hint="eastAsia" w:ascii="宋体" w:hAnsi="宋体" w:eastAsia="宋体" w:cs="宋体"/>
          <w:color w:val="000000"/>
          <w:sz w:val="24"/>
          <w:szCs w:val="24"/>
          <w:highlight w:val="none"/>
          <w:u w:val="none"/>
          <w:lang w:val="en-US" w:eastAsia="zh-CN"/>
        </w:rPr>
        <w:t>；</w:t>
      </w:r>
    </w:p>
    <w:p w14:paraId="2DC2AD05">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sz w:val="24"/>
          <w:szCs w:val="24"/>
          <w:highlight w:val="none"/>
          <w:u w:val="none"/>
          <w:lang w:eastAsia="zh-CN"/>
        </w:rPr>
      </w:pPr>
      <w:r>
        <w:rPr>
          <w:rFonts w:hint="eastAsia" w:ascii="宋体" w:hAnsi="宋体" w:eastAsia="宋体" w:cs="宋体"/>
          <w:sz w:val="24"/>
          <w:szCs w:val="24"/>
          <w:highlight w:val="none"/>
          <w:u w:val="none"/>
          <w:lang w:val="en-US" w:eastAsia="zh-CN"/>
        </w:rPr>
        <w:t>4.</w:t>
      </w:r>
      <w:r>
        <w:rPr>
          <w:rFonts w:hint="default" w:ascii="宋体" w:hAnsi="宋体" w:eastAsia="宋体" w:cs="宋体"/>
          <w:sz w:val="24"/>
          <w:szCs w:val="24"/>
          <w:highlight w:val="none"/>
          <w:u w:val="none"/>
        </w:rPr>
        <w:t>企业与岗位筛选。</w:t>
      </w:r>
      <w:r>
        <w:rPr>
          <w:rFonts w:hint="eastAsia" w:ascii="宋体" w:hAnsi="宋体" w:eastAsia="宋体" w:cs="宋体"/>
          <w:sz w:val="24"/>
          <w:szCs w:val="24"/>
          <w:highlight w:val="none"/>
          <w:u w:val="none"/>
        </w:rPr>
        <w:t>每场活动按照供需对接准、人岗匹配高的要求，</w:t>
      </w:r>
      <w:r>
        <w:rPr>
          <w:rFonts w:hint="eastAsia" w:ascii="宋体" w:hAnsi="宋体" w:eastAsia="宋体" w:cs="宋体"/>
          <w:sz w:val="24"/>
          <w:szCs w:val="24"/>
          <w:highlight w:val="none"/>
          <w:u w:val="none"/>
          <w:lang w:val="en-US" w:eastAsia="zh-CN"/>
        </w:rPr>
        <w:t>中标人</w:t>
      </w:r>
      <w:r>
        <w:rPr>
          <w:rFonts w:hint="eastAsia" w:ascii="宋体" w:hAnsi="宋体" w:eastAsia="宋体" w:cs="宋体"/>
          <w:sz w:val="24"/>
          <w:szCs w:val="24"/>
          <w:highlight w:val="none"/>
          <w:u w:val="none"/>
        </w:rPr>
        <w:t>根据学校办学特色和专业设置，邀约相关</w:t>
      </w:r>
      <w:r>
        <w:rPr>
          <w:rFonts w:hint="eastAsia" w:ascii="宋体" w:hAnsi="宋体" w:eastAsia="宋体" w:cs="宋体"/>
          <w:sz w:val="24"/>
          <w:szCs w:val="24"/>
          <w:highlight w:val="none"/>
          <w:u w:val="none"/>
          <w:lang w:val="en-US" w:eastAsia="zh-CN"/>
        </w:rPr>
        <w:t>用人单位</w:t>
      </w:r>
      <w:r>
        <w:rPr>
          <w:rFonts w:hint="eastAsia" w:ascii="宋体" w:hAnsi="宋体" w:eastAsia="宋体" w:cs="宋体"/>
          <w:sz w:val="24"/>
          <w:szCs w:val="24"/>
          <w:highlight w:val="none"/>
          <w:u w:val="none"/>
        </w:rPr>
        <w:t>、筛选相应岗位</w:t>
      </w:r>
      <w:r>
        <w:rPr>
          <w:rFonts w:hint="eastAsia" w:ascii="宋体" w:hAnsi="宋体" w:eastAsia="宋体" w:cs="宋体"/>
          <w:sz w:val="24"/>
          <w:szCs w:val="24"/>
          <w:highlight w:val="none"/>
          <w:u w:val="none"/>
          <w:lang w:eastAsia="zh-CN"/>
        </w:rPr>
        <w:t>；</w:t>
      </w:r>
      <w:r>
        <w:rPr>
          <w:rFonts w:hint="eastAsia" w:ascii="宋体" w:hAnsi="宋体" w:eastAsia="宋体" w:cs="宋体"/>
          <w:sz w:val="24"/>
          <w:szCs w:val="24"/>
          <w:highlight w:val="none"/>
          <w:u w:val="none"/>
          <w:lang w:val="en-US" w:eastAsia="zh-CN"/>
        </w:rPr>
        <w:t>参会单位不少于25家，必须为驻昌国有企事业单位、百强民企、“专精特新”、小巨人、规上企业等类型</w:t>
      </w:r>
      <w:r>
        <w:rPr>
          <w:rFonts w:hint="eastAsia" w:ascii="宋体" w:hAnsi="宋体" w:eastAsia="宋体" w:cs="宋体"/>
          <w:sz w:val="24"/>
          <w:szCs w:val="24"/>
          <w:highlight w:val="none"/>
          <w:u w:val="none"/>
          <w:lang w:eastAsia="zh-CN"/>
        </w:rPr>
        <w:t>；</w:t>
      </w:r>
      <w:r>
        <w:rPr>
          <w:rFonts w:hint="eastAsia" w:ascii="宋体" w:hAnsi="宋体" w:eastAsia="宋体" w:cs="宋体"/>
          <w:sz w:val="24"/>
          <w:szCs w:val="24"/>
          <w:highlight w:val="none"/>
          <w:u w:val="none"/>
        </w:rPr>
        <w:t>确保</w:t>
      </w:r>
      <w:r>
        <w:rPr>
          <w:rFonts w:hint="eastAsia" w:ascii="宋体" w:hAnsi="宋体" w:eastAsia="宋体" w:cs="宋体"/>
          <w:sz w:val="24"/>
          <w:szCs w:val="24"/>
          <w:highlight w:val="none"/>
          <w:u w:val="none"/>
          <w:lang w:val="en-US" w:eastAsia="zh-CN"/>
        </w:rPr>
        <w:t>用人单位</w:t>
      </w:r>
      <w:r>
        <w:rPr>
          <w:rFonts w:hint="eastAsia" w:ascii="宋体" w:hAnsi="宋体" w:eastAsia="宋体" w:cs="宋体"/>
          <w:sz w:val="24"/>
          <w:szCs w:val="24"/>
          <w:highlight w:val="none"/>
          <w:u w:val="none"/>
        </w:rPr>
        <w:t>和岗位信息真实有效，于活动举办前</w:t>
      </w:r>
      <w:r>
        <w:rPr>
          <w:rFonts w:hint="eastAsia" w:ascii="宋体" w:hAnsi="宋体" w:eastAsia="宋体" w:cs="宋体"/>
          <w:sz w:val="24"/>
          <w:szCs w:val="24"/>
          <w:highlight w:val="none"/>
          <w:u w:val="none"/>
          <w:lang w:val="en-US" w:eastAsia="zh-CN"/>
        </w:rPr>
        <w:t>3</w:t>
      </w:r>
      <w:r>
        <w:rPr>
          <w:rFonts w:hint="eastAsia" w:ascii="宋体" w:hAnsi="宋体" w:eastAsia="宋体" w:cs="宋体"/>
          <w:sz w:val="24"/>
          <w:szCs w:val="24"/>
          <w:highlight w:val="none"/>
          <w:u w:val="none"/>
        </w:rPr>
        <w:t>个工作日内</w:t>
      </w:r>
      <w:r>
        <w:rPr>
          <w:rFonts w:hint="eastAsia" w:ascii="宋体" w:hAnsi="宋体" w:eastAsia="宋体" w:cs="宋体"/>
          <w:sz w:val="24"/>
          <w:szCs w:val="24"/>
          <w:highlight w:val="none"/>
          <w:u w:val="none"/>
          <w:lang w:val="en-US" w:eastAsia="zh-CN"/>
        </w:rPr>
        <w:t>在“洪城就业通”平台提交采购人审核</w:t>
      </w:r>
      <w:r>
        <w:rPr>
          <w:rFonts w:hint="eastAsia" w:ascii="宋体" w:hAnsi="宋体" w:eastAsia="宋体" w:cs="宋体"/>
          <w:sz w:val="24"/>
          <w:szCs w:val="24"/>
          <w:highlight w:val="none"/>
          <w:u w:val="none"/>
          <w:lang w:eastAsia="zh-CN"/>
        </w:rPr>
        <w:t>；</w:t>
      </w:r>
    </w:p>
    <w:p w14:paraId="08C00A4F">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5.</w:t>
      </w:r>
      <w:r>
        <w:rPr>
          <w:rFonts w:hint="default" w:ascii="宋体" w:hAnsi="宋体" w:eastAsia="宋体" w:cs="宋体"/>
          <w:b w:val="0"/>
          <w:bCs w:val="0"/>
          <w:snapToGrid w:val="0"/>
          <w:color w:val="000000"/>
          <w:sz w:val="24"/>
          <w:szCs w:val="24"/>
          <w:highlight w:val="none"/>
          <w:u w:val="none"/>
          <w:lang w:val="en-US" w:eastAsia="en-US" w:bidi="ar-SA"/>
        </w:rPr>
        <w:t>特色展区要求</w:t>
      </w:r>
      <w:r>
        <w:rPr>
          <w:rFonts w:hint="eastAsia" w:ascii="宋体" w:hAnsi="宋体" w:eastAsia="宋体" w:cs="宋体"/>
          <w:b w:val="0"/>
          <w:bCs w:val="0"/>
          <w:snapToGrid w:val="0"/>
          <w:color w:val="000000"/>
          <w:sz w:val="24"/>
          <w:szCs w:val="24"/>
          <w:highlight w:val="none"/>
          <w:u w:val="none"/>
          <w:lang w:val="en-US" w:eastAsia="zh-CN" w:bidi="ar-SA"/>
        </w:rPr>
        <w:t>。</w:t>
      </w:r>
      <w:r>
        <w:rPr>
          <w:rFonts w:hint="eastAsia" w:ascii="宋体" w:hAnsi="宋体" w:eastAsia="宋体" w:cs="宋体"/>
          <w:color w:val="000000"/>
          <w:sz w:val="24"/>
          <w:szCs w:val="24"/>
          <w:highlight w:val="none"/>
          <w:u w:val="none"/>
          <w:lang w:val="en-US" w:eastAsia="zh-CN"/>
        </w:rPr>
        <w:t>每场活动布展设计要突出南昌形象宣传，设立专门城市形象展示区，推介南昌人文历史、自然风光、产业发展、风味美食、公共服务等特点；</w:t>
      </w:r>
    </w:p>
    <w:p w14:paraId="7F98E175">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default"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6.物料及设备配置要求。每场活动要根据场地实际，设立不少于3块（4*8米）大型宣传展板，周边布设道旗、彩虹门、打卡点等，营造氛围。展区布局合理，展位摆放整齐，物品陈列有序，工作人员热情礼貌，保证参会人员的</w:t>
      </w:r>
      <w:r>
        <w:rPr>
          <w:rFonts w:hint="eastAsia" w:ascii="宋体" w:hAnsi="宋体" w:eastAsia="宋体" w:cs="宋体"/>
          <w:color w:val="auto"/>
          <w:sz w:val="24"/>
          <w:szCs w:val="24"/>
          <w:highlight w:val="none"/>
          <w:u w:val="none"/>
          <w:lang w:val="en-US" w:eastAsia="zh-CN"/>
        </w:rPr>
        <w:t>良好体验；招聘会现场提供1台就业一体机（支持职业测评、AI简历优化、AI面试模拟等多种功能），用于提供就业信息查询、职位匹配、职业技能测评等服务；</w:t>
      </w:r>
    </w:p>
    <w:p w14:paraId="1DE09A92">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sz w:val="24"/>
          <w:szCs w:val="24"/>
          <w:highlight w:val="none"/>
          <w:u w:val="none"/>
          <w:lang w:eastAsia="zh-CN"/>
        </w:rPr>
      </w:pPr>
      <w:r>
        <w:rPr>
          <w:rFonts w:hint="eastAsia" w:ascii="宋体" w:hAnsi="宋体" w:eastAsia="宋体" w:cs="宋体"/>
          <w:color w:val="000000"/>
          <w:sz w:val="24"/>
          <w:szCs w:val="24"/>
          <w:highlight w:val="none"/>
          <w:u w:val="none"/>
          <w:lang w:val="en-US" w:eastAsia="zh-CN"/>
        </w:rPr>
        <w:t>7.参与规模要求。招聘会要在高校学生聚集或专门招聘场所举办，不少于200名学生参与；</w:t>
      </w:r>
      <w:r>
        <w:rPr>
          <w:rFonts w:hint="eastAsia" w:ascii="宋体" w:hAnsi="宋体" w:eastAsia="宋体" w:cs="宋体"/>
          <w:sz w:val="24"/>
          <w:szCs w:val="24"/>
          <w:highlight w:val="none"/>
          <w:u w:val="none"/>
        </w:rPr>
        <w:t>集中推介活动不少于1</w:t>
      </w:r>
      <w:r>
        <w:rPr>
          <w:rFonts w:hint="eastAsia" w:ascii="宋体" w:hAnsi="宋体" w:eastAsia="宋体" w:cs="宋体"/>
          <w:sz w:val="24"/>
          <w:szCs w:val="24"/>
          <w:highlight w:val="none"/>
          <w:u w:val="none"/>
          <w:lang w:val="en-US" w:eastAsia="zh-CN"/>
        </w:rPr>
        <w:t>00</w:t>
      </w:r>
      <w:r>
        <w:rPr>
          <w:rFonts w:hint="eastAsia" w:ascii="宋体" w:hAnsi="宋体" w:eastAsia="宋体" w:cs="宋体"/>
          <w:sz w:val="24"/>
          <w:szCs w:val="24"/>
          <w:highlight w:val="none"/>
          <w:u w:val="none"/>
        </w:rPr>
        <w:t>名学生参与</w:t>
      </w:r>
      <w:r>
        <w:rPr>
          <w:rFonts w:hint="eastAsia" w:ascii="宋体" w:hAnsi="宋体" w:eastAsia="宋体" w:cs="宋体"/>
          <w:sz w:val="24"/>
          <w:szCs w:val="24"/>
          <w:highlight w:val="none"/>
          <w:u w:val="none"/>
          <w:lang w:eastAsia="zh-CN"/>
        </w:rPr>
        <w:t>；</w:t>
      </w:r>
      <w:r>
        <w:rPr>
          <w:rFonts w:hint="eastAsia" w:ascii="宋体" w:hAnsi="宋体" w:eastAsia="宋体" w:cs="宋体"/>
          <w:sz w:val="24"/>
          <w:szCs w:val="24"/>
          <w:highlight w:val="none"/>
          <w:u w:val="none"/>
        </w:rPr>
        <w:t>赣籍学子见面会不少于20名学生参与</w:t>
      </w:r>
      <w:r>
        <w:rPr>
          <w:rFonts w:hint="eastAsia" w:ascii="宋体" w:hAnsi="宋体" w:eastAsia="宋体" w:cs="宋体"/>
          <w:color w:val="000000"/>
          <w:sz w:val="24"/>
          <w:szCs w:val="24"/>
          <w:highlight w:val="none"/>
          <w:u w:val="none"/>
          <w:lang w:eastAsia="zh-CN"/>
        </w:rPr>
        <w:t>。中标人需在活动前通过高校官方渠道或自有渠道完成不少于150名目标学生的预报名确认，并提供预报名名单</w:t>
      </w:r>
      <w:r>
        <w:rPr>
          <w:rFonts w:hint="eastAsia" w:ascii="宋体" w:hAnsi="宋体" w:eastAsia="宋体" w:cs="宋体"/>
          <w:color w:val="auto"/>
          <w:sz w:val="24"/>
          <w:szCs w:val="24"/>
          <w:highlight w:val="none"/>
          <w:u w:val="none"/>
          <w:lang w:val="en-US" w:eastAsia="zh-CN"/>
        </w:rPr>
        <w:t>；</w:t>
      </w:r>
    </w:p>
    <w:p w14:paraId="60B5A92B">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8.现场维护。中标人中标后要根据活动规模和安排，安排足够的现场服务人员和秩序维护人员，以及至少1名医疗救护人员（需持有红十字会颁发的初级救护员证书），确保活动安全有序开展；</w:t>
      </w:r>
    </w:p>
    <w:p w14:paraId="4D0127CA">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u w:val="none"/>
        </w:rPr>
      </w:pPr>
      <w:r>
        <w:rPr>
          <w:rFonts w:hint="eastAsia" w:ascii="宋体" w:hAnsi="宋体" w:eastAsia="宋体" w:cs="宋体"/>
          <w:color w:val="000000"/>
          <w:sz w:val="24"/>
          <w:szCs w:val="24"/>
          <w:highlight w:val="none"/>
          <w:u w:val="none"/>
          <w:lang w:val="en-US" w:eastAsia="zh-CN"/>
        </w:rPr>
        <w:t>9.</w:t>
      </w:r>
      <w:r>
        <w:rPr>
          <w:rFonts w:hint="default" w:ascii="宋体" w:hAnsi="宋体" w:eastAsia="宋体" w:cs="宋体"/>
          <w:color w:val="000000"/>
          <w:sz w:val="24"/>
          <w:szCs w:val="24"/>
          <w:highlight w:val="none"/>
          <w:u w:val="none"/>
        </w:rPr>
        <w:t>数据统计反馈</w:t>
      </w:r>
      <w:r>
        <w:rPr>
          <w:rFonts w:hint="eastAsia" w:ascii="宋体" w:hAnsi="宋体" w:eastAsia="宋体" w:cs="宋体"/>
          <w:color w:val="000000"/>
          <w:sz w:val="24"/>
          <w:szCs w:val="24"/>
          <w:highlight w:val="none"/>
          <w:u w:val="none"/>
          <w:lang w:eastAsia="zh-CN"/>
        </w:rPr>
        <w:t>。中标人</w:t>
      </w:r>
      <w:r>
        <w:rPr>
          <w:rFonts w:hint="default" w:ascii="宋体" w:hAnsi="宋体" w:eastAsia="宋体" w:cs="宋体"/>
          <w:color w:val="000000"/>
          <w:sz w:val="24"/>
          <w:szCs w:val="24"/>
          <w:highlight w:val="none"/>
          <w:u w:val="none"/>
        </w:rPr>
        <w:t>负责通过</w:t>
      </w:r>
      <w:r>
        <w:rPr>
          <w:rFonts w:hint="eastAsia" w:ascii="宋体" w:hAnsi="宋体" w:eastAsia="宋体" w:cs="宋体"/>
          <w:color w:val="000000"/>
          <w:sz w:val="24"/>
          <w:szCs w:val="24"/>
          <w:highlight w:val="none"/>
          <w:u w:val="none"/>
          <w:lang w:eastAsia="zh-CN"/>
        </w:rPr>
        <w:t>“</w:t>
      </w:r>
      <w:r>
        <w:rPr>
          <w:rFonts w:hint="default" w:ascii="宋体" w:hAnsi="宋体" w:eastAsia="宋体" w:cs="宋体"/>
          <w:color w:val="000000"/>
          <w:sz w:val="24"/>
          <w:szCs w:val="24"/>
          <w:highlight w:val="none"/>
          <w:u w:val="none"/>
        </w:rPr>
        <w:t>洪城就业通</w:t>
      </w:r>
      <w:r>
        <w:rPr>
          <w:rFonts w:hint="eastAsia" w:ascii="宋体" w:hAnsi="宋体" w:eastAsia="宋体" w:cs="宋体"/>
          <w:color w:val="000000"/>
          <w:sz w:val="24"/>
          <w:szCs w:val="24"/>
          <w:highlight w:val="none"/>
          <w:u w:val="none"/>
          <w:lang w:eastAsia="zh-CN"/>
        </w:rPr>
        <w:t>”</w:t>
      </w:r>
      <w:r>
        <w:rPr>
          <w:rFonts w:hint="default" w:ascii="宋体" w:hAnsi="宋体" w:eastAsia="宋体" w:cs="宋体"/>
          <w:color w:val="000000"/>
          <w:sz w:val="24"/>
          <w:szCs w:val="24"/>
          <w:highlight w:val="none"/>
          <w:u w:val="none"/>
        </w:rPr>
        <w:t>平台统计参会企业名单、岗位数量</w:t>
      </w:r>
      <w:r>
        <w:rPr>
          <w:rFonts w:hint="eastAsia" w:ascii="宋体" w:hAnsi="宋体" w:eastAsia="宋体" w:cs="宋体"/>
          <w:color w:val="000000"/>
          <w:sz w:val="24"/>
          <w:szCs w:val="24"/>
          <w:highlight w:val="none"/>
          <w:u w:val="none"/>
          <w:lang w:val="en-US" w:eastAsia="zh-CN"/>
        </w:rPr>
        <w:t>；</w:t>
      </w:r>
      <w:r>
        <w:rPr>
          <w:rFonts w:hint="default" w:ascii="宋体" w:hAnsi="宋体" w:eastAsia="宋体" w:cs="宋体"/>
          <w:color w:val="000000"/>
          <w:sz w:val="24"/>
          <w:szCs w:val="24"/>
          <w:highlight w:val="none"/>
          <w:u w:val="none"/>
        </w:rPr>
        <w:t>实时记录活动当日进场人数、意向签约数、现场签约数</w:t>
      </w:r>
      <w:r>
        <w:rPr>
          <w:rFonts w:hint="eastAsia" w:ascii="宋体" w:hAnsi="宋体" w:eastAsia="宋体" w:cs="宋体"/>
          <w:color w:val="000000"/>
          <w:sz w:val="24"/>
          <w:szCs w:val="24"/>
          <w:highlight w:val="none"/>
          <w:u w:val="none"/>
          <w:lang w:eastAsia="zh-CN"/>
        </w:rPr>
        <w:t>。</w:t>
      </w:r>
      <w:r>
        <w:rPr>
          <w:rFonts w:hint="default" w:ascii="宋体" w:hAnsi="宋体" w:eastAsia="宋体" w:cs="宋体"/>
          <w:color w:val="000000"/>
          <w:sz w:val="24"/>
          <w:szCs w:val="24"/>
          <w:highlight w:val="none"/>
          <w:u w:val="none"/>
        </w:rPr>
        <w:t>活动结束后，需反馈最终实际签约数据，确保数据真实、准确、可追溯。</w:t>
      </w:r>
    </w:p>
    <w:p w14:paraId="1304A5D0">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default" w:ascii="宋体" w:hAnsi="宋体" w:eastAsia="宋体" w:cs="宋体"/>
          <w:b w:val="0"/>
          <w:bCs w:val="0"/>
          <w:color w:val="auto"/>
          <w:sz w:val="24"/>
          <w:szCs w:val="24"/>
          <w:highlight w:val="none"/>
          <w:u w:val="none"/>
          <w:lang w:val="en-US" w:eastAsia="zh-CN"/>
        </w:rPr>
      </w:pPr>
      <w:r>
        <w:rPr>
          <w:rFonts w:hint="eastAsia" w:ascii="宋体" w:hAnsi="宋体" w:eastAsia="宋体" w:cs="宋体"/>
          <w:b w:val="0"/>
          <w:bCs w:val="0"/>
          <w:color w:val="auto"/>
          <w:sz w:val="24"/>
          <w:szCs w:val="24"/>
          <w:highlight w:val="none"/>
          <w:u w:val="none"/>
          <w:lang w:val="en-US" w:eastAsia="zh-CN"/>
        </w:rPr>
        <w:t>10.</w:t>
      </w:r>
      <w:r>
        <w:rPr>
          <w:rFonts w:hint="default" w:ascii="宋体" w:hAnsi="宋体" w:eastAsia="宋体" w:cs="宋体"/>
          <w:b w:val="0"/>
          <w:bCs w:val="0"/>
          <w:color w:val="auto"/>
          <w:sz w:val="24"/>
          <w:szCs w:val="24"/>
          <w:highlight w:val="none"/>
          <w:u w:val="none"/>
        </w:rPr>
        <w:t>专业团队配置</w:t>
      </w:r>
      <w:r>
        <w:rPr>
          <w:rFonts w:hint="eastAsia" w:ascii="宋体" w:hAnsi="宋体" w:eastAsia="宋体" w:cs="宋体"/>
          <w:b w:val="0"/>
          <w:bCs w:val="0"/>
          <w:color w:val="auto"/>
          <w:sz w:val="24"/>
          <w:szCs w:val="24"/>
          <w:highlight w:val="none"/>
          <w:u w:val="none"/>
          <w:lang w:eastAsia="zh-CN"/>
        </w:rPr>
        <w:t>。</w:t>
      </w:r>
      <w:r>
        <w:rPr>
          <w:rFonts w:hint="default" w:ascii="宋体" w:hAnsi="宋体" w:eastAsia="宋体" w:cs="宋体"/>
          <w:b w:val="0"/>
          <w:bCs w:val="0"/>
          <w:color w:val="auto"/>
          <w:sz w:val="24"/>
          <w:szCs w:val="24"/>
          <w:highlight w:val="none"/>
          <w:u w:val="none"/>
          <w:lang w:val="en-US" w:eastAsia="zh-CN"/>
        </w:rPr>
        <w:t>需</w:t>
      </w:r>
      <w:r>
        <w:rPr>
          <w:rFonts w:hint="eastAsia" w:ascii="宋体" w:hAnsi="宋体" w:eastAsia="宋体" w:cs="宋体"/>
          <w:b w:val="0"/>
          <w:bCs w:val="0"/>
          <w:color w:val="auto"/>
          <w:sz w:val="24"/>
          <w:szCs w:val="24"/>
          <w:highlight w:val="none"/>
          <w:u w:val="none"/>
          <w:lang w:val="en-US" w:eastAsia="zh-CN"/>
        </w:rPr>
        <w:t>为本项目组建不少于8人专职团队（含项目负责人），团队</w:t>
      </w:r>
      <w:r>
        <w:rPr>
          <w:rFonts w:hint="default" w:ascii="宋体" w:hAnsi="宋体" w:eastAsia="宋体" w:cs="宋体"/>
          <w:b w:val="0"/>
          <w:bCs w:val="0"/>
          <w:color w:val="auto"/>
          <w:sz w:val="24"/>
          <w:szCs w:val="24"/>
          <w:highlight w:val="none"/>
          <w:u w:val="none"/>
          <w:lang w:val="en-US" w:eastAsia="zh-CN"/>
        </w:rPr>
        <w:t>配备持有</w:t>
      </w:r>
      <w:r>
        <w:rPr>
          <w:rFonts w:hint="eastAsia" w:ascii="宋体" w:hAnsi="宋体" w:eastAsia="宋体" w:cs="宋体"/>
          <w:b w:val="0"/>
          <w:bCs w:val="0"/>
          <w:color w:val="auto"/>
          <w:sz w:val="24"/>
          <w:szCs w:val="24"/>
          <w:highlight w:val="none"/>
          <w:u w:val="none"/>
          <w:lang w:val="en-US" w:eastAsia="zh-CN"/>
        </w:rPr>
        <w:t>人力资源相关</w:t>
      </w:r>
      <w:r>
        <w:rPr>
          <w:rFonts w:hint="default" w:ascii="宋体" w:hAnsi="宋体" w:eastAsia="宋体" w:cs="宋体"/>
          <w:b w:val="0"/>
          <w:bCs w:val="0"/>
          <w:color w:val="auto"/>
          <w:sz w:val="24"/>
          <w:szCs w:val="24"/>
          <w:highlight w:val="none"/>
          <w:u w:val="none"/>
          <w:lang w:val="en-US" w:eastAsia="zh-CN"/>
        </w:rPr>
        <w:t>证书的人员，为求职者提供专业化职业指导服务；</w:t>
      </w:r>
    </w:p>
    <w:p w14:paraId="1AF003CE">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11.</w:t>
      </w:r>
      <w:r>
        <w:rPr>
          <w:rFonts w:hint="eastAsia" w:ascii="宋体" w:hAnsi="宋体" w:eastAsia="宋体" w:cs="宋体"/>
          <w:sz w:val="24"/>
          <w:szCs w:val="24"/>
          <w:highlight w:val="none"/>
          <w:u w:val="none"/>
          <w:lang w:val="en-US" w:eastAsia="zh-CN"/>
        </w:rPr>
        <w:t>参会单位</w:t>
      </w:r>
      <w:r>
        <w:rPr>
          <w:rFonts w:hint="default" w:ascii="宋体" w:hAnsi="宋体" w:eastAsia="宋体" w:cs="宋体"/>
          <w:sz w:val="24"/>
          <w:szCs w:val="24"/>
          <w:highlight w:val="none"/>
          <w:u w:val="none"/>
        </w:rPr>
        <w:t>到场要求。</w:t>
      </w:r>
      <w:r>
        <w:rPr>
          <w:rFonts w:hint="default" w:ascii="宋体" w:hAnsi="宋体" w:eastAsia="宋体" w:cs="宋体"/>
          <w:color w:val="000000"/>
          <w:sz w:val="24"/>
          <w:szCs w:val="24"/>
          <w:highlight w:val="none"/>
          <w:u w:val="none"/>
        </w:rPr>
        <w:t>需制定</w:t>
      </w:r>
      <w:r>
        <w:rPr>
          <w:rFonts w:hint="eastAsia" w:ascii="宋体" w:hAnsi="宋体" w:eastAsia="宋体" w:cs="宋体"/>
          <w:sz w:val="24"/>
          <w:szCs w:val="24"/>
          <w:highlight w:val="none"/>
          <w:u w:val="none"/>
          <w:lang w:val="en-US" w:eastAsia="zh-CN"/>
        </w:rPr>
        <w:t>单位</w:t>
      </w:r>
      <w:r>
        <w:rPr>
          <w:rFonts w:hint="default" w:ascii="宋体" w:hAnsi="宋体" w:eastAsia="宋体" w:cs="宋体"/>
          <w:color w:val="000000"/>
          <w:sz w:val="24"/>
          <w:szCs w:val="24"/>
          <w:highlight w:val="none"/>
          <w:u w:val="none"/>
        </w:rPr>
        <w:t>邀约与到场保障机制，确保每场活动</w:t>
      </w:r>
      <w:r>
        <w:rPr>
          <w:rFonts w:hint="eastAsia" w:ascii="宋体" w:hAnsi="宋体" w:eastAsia="宋体" w:cs="宋体"/>
          <w:color w:val="000000"/>
          <w:sz w:val="24"/>
          <w:szCs w:val="24"/>
          <w:highlight w:val="none"/>
          <w:u w:val="none"/>
          <w:lang w:val="en-US" w:eastAsia="zh-CN"/>
        </w:rPr>
        <w:t>单位代表准时到场，全程参加；</w:t>
      </w:r>
      <w:r>
        <w:rPr>
          <w:rFonts w:hint="default" w:ascii="宋体" w:hAnsi="宋体" w:eastAsia="宋体" w:cs="宋体"/>
          <w:color w:val="000000"/>
          <w:sz w:val="24"/>
          <w:szCs w:val="24"/>
          <w:highlight w:val="none"/>
          <w:u w:val="none"/>
        </w:rPr>
        <w:t>​</w:t>
      </w:r>
    </w:p>
    <w:p w14:paraId="091B0A90">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b w:val="0"/>
          <w:bCs w:val="0"/>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12.会务服务。中标人</w:t>
      </w:r>
      <w:r>
        <w:rPr>
          <w:rStyle w:val="8"/>
          <w:rFonts w:ascii="Segoe UI" w:hAnsi="Segoe UI" w:eastAsia="Segoe UI" w:cs="Segoe UI"/>
          <w:b w:val="0"/>
          <w:bCs w:val="0"/>
          <w:i w:val="0"/>
          <w:iCs w:val="0"/>
          <w:caps w:val="0"/>
          <w:color w:val="0F1115"/>
          <w:spacing w:val="0"/>
          <w:sz w:val="24"/>
          <w:szCs w:val="24"/>
          <w:highlight w:val="none"/>
          <w:u w:val="none"/>
          <w:shd w:val="clear" w:color="auto" w:fill="FFFFFF"/>
        </w:rPr>
        <w:t>提供多城市并行</w:t>
      </w:r>
      <w:r>
        <w:rPr>
          <w:rStyle w:val="8"/>
          <w:rFonts w:hint="eastAsia" w:ascii="Segoe UI" w:hAnsi="Segoe UI" w:eastAsia="宋体" w:cs="Segoe UI"/>
          <w:b w:val="0"/>
          <w:bCs w:val="0"/>
          <w:i w:val="0"/>
          <w:iCs w:val="0"/>
          <w:caps w:val="0"/>
          <w:color w:val="0F1115"/>
          <w:spacing w:val="0"/>
          <w:sz w:val="24"/>
          <w:szCs w:val="24"/>
          <w:highlight w:val="none"/>
          <w:u w:val="none"/>
          <w:shd w:val="clear" w:color="auto" w:fill="FFFFFF"/>
          <w:lang w:val="en-US" w:eastAsia="zh-CN"/>
        </w:rPr>
        <w:t>或衔接</w:t>
      </w:r>
      <w:r>
        <w:rPr>
          <w:rStyle w:val="8"/>
          <w:rFonts w:ascii="Segoe UI" w:hAnsi="Segoe UI" w:eastAsia="Segoe UI" w:cs="Segoe UI"/>
          <w:b w:val="0"/>
          <w:bCs w:val="0"/>
          <w:i w:val="0"/>
          <w:iCs w:val="0"/>
          <w:caps w:val="0"/>
          <w:color w:val="0F1115"/>
          <w:spacing w:val="0"/>
          <w:sz w:val="24"/>
          <w:szCs w:val="24"/>
          <w:highlight w:val="none"/>
          <w:u w:val="none"/>
          <w:shd w:val="clear" w:color="auto" w:fill="FFFFFF"/>
        </w:rPr>
        <w:t>会务调度方案，包括但不限于交通、住宿、餐饮的异地协同</w:t>
      </w:r>
      <w:r>
        <w:rPr>
          <w:rFonts w:hint="eastAsia" w:ascii="宋体" w:hAnsi="宋体" w:eastAsia="宋体" w:cs="宋体"/>
          <w:color w:val="000000"/>
          <w:sz w:val="24"/>
          <w:szCs w:val="24"/>
          <w:highlight w:val="none"/>
          <w:u w:val="none"/>
          <w:lang w:val="en-US" w:eastAsia="zh-CN"/>
        </w:rPr>
        <w:t>。需为参会用人单位代表（每家不超过2人）提供在活动举办地的会务交通出行（含车站或机场接送）、用餐（单次不低于40元/人标准）、预定酒店等后勤保障服务；承担采购人验收人员（不超过2人）的参会往返交通、住宿、等差旅费用</w:t>
      </w:r>
      <w:r>
        <w:rPr>
          <w:rStyle w:val="8"/>
          <w:rFonts w:hint="eastAsia" w:ascii="Segoe UI" w:hAnsi="Segoe UI" w:eastAsia="宋体" w:cs="Segoe UI"/>
          <w:b w:val="0"/>
          <w:bCs w:val="0"/>
          <w:i w:val="0"/>
          <w:iCs w:val="0"/>
          <w:caps w:val="0"/>
          <w:color w:val="0F1115"/>
          <w:spacing w:val="0"/>
          <w:sz w:val="24"/>
          <w:szCs w:val="24"/>
          <w:highlight w:val="none"/>
          <w:u w:val="none"/>
          <w:shd w:val="clear" w:color="auto" w:fill="FFFFFF"/>
          <w:lang w:val="en-US" w:eastAsia="zh-CN"/>
        </w:rPr>
        <w:t>；</w:t>
      </w:r>
    </w:p>
    <w:p w14:paraId="367D0F34">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13.</w:t>
      </w:r>
      <w:r>
        <w:rPr>
          <w:rFonts w:hint="default" w:ascii="宋体" w:hAnsi="宋体" w:eastAsia="宋体" w:cs="宋体"/>
          <w:color w:val="000000"/>
          <w:sz w:val="24"/>
          <w:szCs w:val="24"/>
          <w:highlight w:val="none"/>
          <w:u w:val="none"/>
        </w:rPr>
        <w:t>宣传稿件报送</w:t>
      </w:r>
      <w:r>
        <w:rPr>
          <w:rFonts w:hint="eastAsia" w:ascii="宋体" w:hAnsi="宋体" w:eastAsia="宋体" w:cs="宋体"/>
          <w:color w:val="000000"/>
          <w:sz w:val="24"/>
          <w:szCs w:val="24"/>
          <w:highlight w:val="none"/>
          <w:u w:val="none"/>
          <w:lang w:eastAsia="zh-CN"/>
        </w:rPr>
        <w:t>。</w:t>
      </w:r>
      <w:r>
        <w:rPr>
          <w:rFonts w:hint="eastAsia" w:ascii="宋体" w:hAnsi="宋体" w:eastAsia="宋体" w:cs="宋体"/>
          <w:color w:val="000000"/>
          <w:sz w:val="24"/>
          <w:szCs w:val="24"/>
          <w:highlight w:val="none"/>
          <w:u w:val="none"/>
          <w:lang w:val="en-US" w:eastAsia="zh-CN"/>
        </w:rPr>
        <w:t>中标人于每场活动前3天提供活动预热宣传稿，活动结束当天提供活动成效宣传稿；</w:t>
      </w:r>
    </w:p>
    <w:p w14:paraId="0A6CF073">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14.高校推广。中标人需在每场活动开展前3天，在活动高校及</w:t>
      </w:r>
      <w:r>
        <w:rPr>
          <w:rStyle w:val="8"/>
          <w:rFonts w:ascii="Segoe UI" w:hAnsi="Segoe UI" w:eastAsia="Segoe UI" w:cs="Segoe UI"/>
          <w:b w:val="0"/>
          <w:bCs w:val="0"/>
          <w:i w:val="0"/>
          <w:iCs w:val="0"/>
          <w:caps w:val="0"/>
          <w:color w:val="0F1115"/>
          <w:spacing w:val="0"/>
          <w:sz w:val="24"/>
          <w:szCs w:val="24"/>
          <w:highlight w:val="none"/>
          <w:u w:val="none"/>
          <w:shd w:val="clear" w:color="auto" w:fill="FFFFFF"/>
        </w:rPr>
        <w:t>同城市至少2所其他本科高校</w:t>
      </w:r>
      <w:r>
        <w:rPr>
          <w:rFonts w:hint="eastAsia" w:ascii="宋体" w:hAnsi="宋体" w:eastAsia="宋体" w:cs="宋体"/>
          <w:color w:val="000000"/>
          <w:sz w:val="24"/>
          <w:szCs w:val="24"/>
          <w:highlight w:val="none"/>
          <w:u w:val="none"/>
          <w:lang w:val="en-US" w:eastAsia="zh-CN"/>
        </w:rPr>
        <w:t>就业网进行宣传推广。通过发布活动信息、推送宣传海报等方式，提升活动影响力和覆盖面，吸引更多人群参与；</w:t>
      </w:r>
    </w:p>
    <w:p w14:paraId="4D996CFB">
      <w:pPr>
        <w:keepNext w:val="0"/>
        <w:keepLines w:val="0"/>
        <w:pageBreakBefore w:val="0"/>
        <w:widowControl w:val="0"/>
        <w:kinsoku/>
        <w:wordWrap/>
        <w:overflowPunct/>
        <w:topLinePunct w:val="0"/>
        <w:autoSpaceDE w:val="0"/>
        <w:autoSpaceDN w:val="0"/>
        <w:bidi w:val="0"/>
        <w:adjustRightInd/>
        <w:snapToGrid/>
        <w:spacing w:line="46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15.特色宣传。中标人需为每场活动定制并发放一定数量能够体现南昌特色、展示南昌形象的礼品，礼品需设计精美、实用性强，能够给参会人员留下深刻印象。整体礼品定制费用不低于中标总价</w:t>
      </w:r>
      <w:r>
        <w:rPr>
          <w:rFonts w:hint="eastAsia" w:ascii="宋体" w:hAnsi="宋体" w:eastAsia="宋体" w:cs="宋体"/>
          <w:sz w:val="24"/>
          <w:szCs w:val="24"/>
          <w:highlight w:val="none"/>
          <w:u w:val="none"/>
          <w:lang w:eastAsia="zh-CN" w:bidi="ar-SA"/>
        </w:rPr>
        <w:t>（</w:t>
      </w:r>
      <w:r>
        <w:rPr>
          <w:rFonts w:hint="eastAsia" w:ascii="宋体" w:hAnsi="宋体" w:eastAsia="宋体" w:cs="宋体"/>
          <w:sz w:val="24"/>
          <w:szCs w:val="24"/>
          <w:highlight w:val="none"/>
          <w:u w:val="none"/>
          <w:lang w:val="en-US" w:eastAsia="zh-CN" w:bidi="ar-SA"/>
        </w:rPr>
        <w:t>除掉绩效考核费用</w:t>
      </w:r>
      <w:r>
        <w:rPr>
          <w:rFonts w:hint="eastAsia" w:ascii="宋体" w:hAnsi="宋体" w:eastAsia="宋体" w:cs="宋体"/>
          <w:sz w:val="24"/>
          <w:szCs w:val="24"/>
          <w:highlight w:val="none"/>
          <w:u w:val="none"/>
          <w:lang w:eastAsia="zh-CN" w:bidi="ar-SA"/>
        </w:rPr>
        <w:t>）</w:t>
      </w:r>
      <w:r>
        <w:rPr>
          <w:rFonts w:hint="eastAsia" w:ascii="宋体" w:hAnsi="宋体" w:eastAsia="宋体" w:cs="宋体"/>
          <w:color w:val="000000"/>
          <w:sz w:val="24"/>
          <w:szCs w:val="24"/>
          <w:highlight w:val="none"/>
          <w:u w:val="none"/>
          <w:lang w:val="en-US" w:eastAsia="zh-CN"/>
        </w:rPr>
        <w:t>的12%（含）；</w:t>
      </w:r>
    </w:p>
    <w:p w14:paraId="55CDA503">
      <w:pPr>
        <w:keepNext w:val="0"/>
        <w:keepLines w:val="0"/>
        <w:pageBreakBefore w:val="0"/>
        <w:kinsoku/>
        <w:wordWrap/>
        <w:overflowPunct/>
        <w:topLinePunct w:val="0"/>
        <w:autoSpaceDE w:val="0"/>
        <w:autoSpaceDN w:val="0"/>
        <w:bidi w:val="0"/>
        <w:spacing w:line="440" w:lineRule="exact"/>
        <w:ind w:firstLine="480" w:firstLineChars="200"/>
        <w:textAlignment w:val="auto"/>
        <w:rPr>
          <w:rFonts w:hint="eastAsia" w:ascii="宋体" w:hAnsi="宋体" w:eastAsia="宋体" w:cs="宋体"/>
          <w:color w:val="auto"/>
          <w:sz w:val="24"/>
          <w:szCs w:val="24"/>
          <w:highlight w:val="none"/>
          <w:u w:val="none"/>
        </w:rPr>
      </w:pPr>
      <w:r>
        <w:rPr>
          <w:rFonts w:hint="eastAsia" w:ascii="宋体" w:hAnsi="宋体" w:eastAsia="宋体" w:cs="宋体"/>
          <w:color w:val="auto"/>
          <w:sz w:val="24"/>
          <w:szCs w:val="24"/>
          <w:highlight w:val="none"/>
          <w:u w:val="none"/>
          <w:lang w:val="en-US" w:eastAsia="zh-CN"/>
        </w:rPr>
        <w:t>16.素材收集。中标人需为</w:t>
      </w:r>
      <w:r>
        <w:rPr>
          <w:rFonts w:hint="eastAsia" w:ascii="宋体" w:hAnsi="宋体" w:eastAsia="宋体" w:cs="宋体"/>
          <w:color w:val="auto"/>
          <w:sz w:val="24"/>
          <w:szCs w:val="24"/>
          <w:highlight w:val="none"/>
          <w:u w:val="none"/>
        </w:rPr>
        <w:t>每场活动安排专职摄影、摄像人员</w:t>
      </w:r>
      <w:r>
        <w:rPr>
          <w:rFonts w:hint="eastAsia" w:ascii="宋体" w:hAnsi="宋体" w:eastAsia="宋体" w:cs="宋体"/>
          <w:color w:val="auto"/>
          <w:sz w:val="24"/>
          <w:szCs w:val="24"/>
          <w:highlight w:val="none"/>
          <w:u w:val="none"/>
          <w:lang w:val="en-US" w:eastAsia="zh-CN"/>
        </w:rPr>
        <w:t>各1人</w:t>
      </w:r>
      <w:r>
        <w:rPr>
          <w:rFonts w:hint="eastAsia" w:ascii="宋体" w:hAnsi="宋体" w:eastAsia="宋体" w:cs="宋体"/>
          <w:color w:val="auto"/>
          <w:sz w:val="24"/>
          <w:szCs w:val="24"/>
          <w:highlight w:val="none"/>
          <w:u w:val="none"/>
        </w:rPr>
        <w:t>，</w:t>
      </w:r>
      <w:r>
        <w:rPr>
          <w:rFonts w:hint="eastAsia" w:ascii="宋体" w:hAnsi="宋体" w:eastAsia="宋体" w:cs="宋体"/>
          <w:color w:val="auto"/>
          <w:sz w:val="24"/>
          <w:szCs w:val="24"/>
          <w:highlight w:val="none"/>
          <w:u w:val="none"/>
          <w:lang w:val="en-US" w:eastAsia="zh-CN"/>
        </w:rPr>
        <w:t>收集</w:t>
      </w:r>
      <w:r>
        <w:rPr>
          <w:rFonts w:hint="eastAsia" w:ascii="宋体" w:hAnsi="宋体" w:eastAsia="宋体" w:cs="宋体"/>
          <w:color w:val="auto"/>
          <w:sz w:val="24"/>
          <w:szCs w:val="24"/>
          <w:highlight w:val="none"/>
          <w:u w:val="none"/>
        </w:rPr>
        <w:t>活动素材，并剪辑</w:t>
      </w:r>
      <w:r>
        <w:rPr>
          <w:rFonts w:hint="eastAsia" w:ascii="宋体" w:hAnsi="宋体" w:eastAsia="宋体" w:cs="宋体"/>
          <w:color w:val="auto"/>
          <w:sz w:val="24"/>
          <w:szCs w:val="24"/>
          <w:highlight w:val="none"/>
          <w:u w:val="none"/>
          <w:lang w:val="en-US" w:eastAsia="zh-CN"/>
        </w:rPr>
        <w:t>发布</w:t>
      </w:r>
      <w:r>
        <w:rPr>
          <w:rFonts w:hint="eastAsia" w:ascii="宋体" w:hAnsi="宋体" w:eastAsia="宋体" w:cs="宋体"/>
          <w:color w:val="auto"/>
          <w:sz w:val="24"/>
          <w:szCs w:val="24"/>
          <w:highlight w:val="none"/>
          <w:u w:val="none"/>
        </w:rPr>
        <w:t>活动短视频</w:t>
      </w:r>
      <w:r>
        <w:rPr>
          <w:rFonts w:hint="eastAsia" w:ascii="宋体" w:hAnsi="宋体" w:eastAsia="宋体" w:cs="宋体"/>
          <w:color w:val="auto"/>
          <w:sz w:val="24"/>
          <w:szCs w:val="24"/>
          <w:highlight w:val="none"/>
          <w:u w:val="none"/>
          <w:lang w:val="en-US" w:eastAsia="zh-CN"/>
        </w:rPr>
        <w:t>；</w:t>
      </w:r>
    </w:p>
    <w:p w14:paraId="22BFC849">
      <w:pPr>
        <w:keepNext w:val="0"/>
        <w:keepLines w:val="0"/>
        <w:pageBreakBefore w:val="0"/>
        <w:widowControl w:val="0"/>
        <w:kinsoku/>
        <w:wordWrap/>
        <w:overflowPunct/>
        <w:topLinePunct w:val="0"/>
        <w:autoSpaceDE w:val="0"/>
        <w:autoSpaceDN w:val="0"/>
        <w:bidi w:val="0"/>
        <w:adjustRightInd/>
        <w:snapToGrid/>
        <w:spacing w:line="44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17.</w:t>
      </w:r>
      <w:r>
        <w:rPr>
          <w:rFonts w:hint="eastAsia" w:ascii="宋体" w:hAnsi="宋体" w:eastAsia="宋体" w:cs="宋体"/>
          <w:sz w:val="24"/>
          <w:szCs w:val="24"/>
          <w:highlight w:val="none"/>
          <w:u w:val="none"/>
          <w:lang w:val="en-US" w:eastAsia="zh-CN"/>
        </w:rPr>
        <w:t>视频制作。</w:t>
      </w:r>
      <w:r>
        <w:rPr>
          <w:rFonts w:hint="eastAsia" w:ascii="宋体" w:hAnsi="宋体" w:eastAsia="宋体" w:cs="宋体"/>
          <w:color w:val="000000"/>
          <w:sz w:val="24"/>
          <w:szCs w:val="24"/>
          <w:highlight w:val="none"/>
          <w:u w:val="none"/>
          <w:lang w:val="en-US" w:eastAsia="zh-CN"/>
        </w:rPr>
        <w:t>中标人需委托专业视频制作公司为整体活动制作引才宣传视频，邀请目标院校在昌工作毕业生参与视频拍摄，视频总时长不超过3分钟；</w:t>
      </w:r>
    </w:p>
    <w:p w14:paraId="71468A92">
      <w:pPr>
        <w:keepNext w:val="0"/>
        <w:keepLines w:val="0"/>
        <w:widowControl w:val="0"/>
        <w:numPr>
          <w:ilvl w:val="0"/>
          <w:numId w:val="0"/>
        </w:numPr>
        <w:kinsoku/>
        <w:adjustRightInd/>
        <w:snapToGrid/>
        <w:spacing w:line="440" w:lineRule="exact"/>
        <w:ind w:firstLine="480" w:firstLineChars="200"/>
        <w:textAlignment w:val="auto"/>
        <w:rPr>
          <w:rFonts w:hint="eastAsia" w:ascii="宋体" w:hAnsi="宋体" w:eastAsia="宋体" w:cs="宋体"/>
          <w:b w:val="0"/>
          <w:bCs w:val="0"/>
          <w:snapToGrid w:val="0"/>
          <w:color w:val="000000"/>
          <w:sz w:val="24"/>
          <w:szCs w:val="24"/>
          <w:highlight w:val="none"/>
          <w:u w:val="none"/>
          <w:lang w:val="en-US" w:eastAsia="zh-CN" w:bidi="ar-SA"/>
        </w:rPr>
      </w:pPr>
      <w:r>
        <w:rPr>
          <w:rFonts w:hint="eastAsia" w:ascii="宋体" w:hAnsi="宋体" w:eastAsia="宋体" w:cs="宋体"/>
          <w:b w:val="0"/>
          <w:bCs w:val="0"/>
          <w:snapToGrid w:val="0"/>
          <w:color w:val="000000"/>
          <w:sz w:val="24"/>
          <w:szCs w:val="24"/>
          <w:highlight w:val="none"/>
          <w:u w:val="none"/>
          <w:lang w:val="en-US" w:eastAsia="zh-CN" w:bidi="ar-SA"/>
        </w:rPr>
        <w:t>18.推行绿色招聘。活动现场需推行“无纸化”招聘模式，引导求职者与企业通过“洪城就业通”平台二维码完成简历投递与接收；中标人需督促企业在活动结束后2周内，对活动当日接收的简历在线查看</w:t>
      </w:r>
      <w:r>
        <w:rPr>
          <w:rFonts w:hint="eastAsia" w:ascii="宋体" w:hAnsi="宋体" w:eastAsia="宋体" w:cs="宋体"/>
          <w:color w:val="auto"/>
          <w:sz w:val="24"/>
          <w:szCs w:val="24"/>
          <w:highlight w:val="none"/>
          <w:u w:val="none"/>
          <w:lang w:val="en-US" w:eastAsia="zh-CN"/>
        </w:rPr>
        <w:t>；</w:t>
      </w:r>
    </w:p>
    <w:p w14:paraId="12922976">
      <w:pPr>
        <w:keepNext w:val="0"/>
        <w:keepLines w:val="0"/>
        <w:widowControl w:val="0"/>
        <w:numPr>
          <w:ilvl w:val="0"/>
          <w:numId w:val="0"/>
        </w:numPr>
        <w:kinsoku/>
        <w:adjustRightInd/>
        <w:snapToGrid/>
        <w:spacing w:line="440" w:lineRule="exact"/>
        <w:ind w:firstLine="480" w:firstLineChars="200"/>
        <w:textAlignment w:val="auto"/>
        <w:rPr>
          <w:rFonts w:hint="default" w:ascii="宋体" w:hAnsi="宋体" w:eastAsia="宋体" w:cs="宋体"/>
          <w:b w:val="0"/>
          <w:bCs w:val="0"/>
          <w:snapToGrid w:val="0"/>
          <w:color w:val="000000"/>
          <w:sz w:val="24"/>
          <w:szCs w:val="24"/>
          <w:highlight w:val="none"/>
          <w:u w:val="none"/>
          <w:lang w:val="en-US" w:eastAsia="zh-CN" w:bidi="ar-SA"/>
        </w:rPr>
      </w:pPr>
      <w:r>
        <w:rPr>
          <w:rFonts w:hint="eastAsia" w:ascii="宋体" w:hAnsi="宋体" w:eastAsia="宋体" w:cs="宋体"/>
          <w:b w:val="0"/>
          <w:bCs w:val="0"/>
          <w:snapToGrid w:val="0"/>
          <w:color w:val="000000"/>
          <w:sz w:val="24"/>
          <w:szCs w:val="24"/>
          <w:highlight w:val="none"/>
          <w:u w:val="none"/>
          <w:lang w:val="en-US" w:eastAsia="zh-CN" w:bidi="ar-SA"/>
        </w:rPr>
        <w:t>19.跟踪服务。每场活动建立微信服务群，邀请招就处老师、参会学生、服务机构入群，实时解答疑问、跟踪服务情况，对有意向来昌学生持续推送岗位；</w:t>
      </w:r>
    </w:p>
    <w:p w14:paraId="7635B0DD">
      <w:pPr>
        <w:keepNext w:val="0"/>
        <w:keepLines w:val="0"/>
        <w:widowControl w:val="0"/>
        <w:numPr>
          <w:ilvl w:val="0"/>
          <w:numId w:val="0"/>
        </w:numPr>
        <w:kinsoku/>
        <w:adjustRightInd/>
        <w:snapToGrid/>
        <w:spacing w:line="44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20.活动保险。每场活动中标人需购买公众责任险；</w:t>
      </w:r>
    </w:p>
    <w:p w14:paraId="250B957E">
      <w:pPr>
        <w:keepNext w:val="0"/>
        <w:keepLines w:val="0"/>
        <w:widowControl w:val="0"/>
        <w:numPr>
          <w:ilvl w:val="0"/>
          <w:numId w:val="0"/>
        </w:numPr>
        <w:kinsoku/>
        <w:adjustRightInd/>
        <w:snapToGrid/>
        <w:spacing w:line="440" w:lineRule="exact"/>
        <w:ind w:firstLine="480" w:firstLineChars="200"/>
        <w:textAlignment w:val="auto"/>
        <w:rPr>
          <w:rFonts w:hint="eastAsia" w:ascii="宋体" w:hAnsi="宋体" w:eastAsia="宋体" w:cs="宋体"/>
          <w:color w:val="000000"/>
          <w:sz w:val="24"/>
          <w:szCs w:val="24"/>
          <w:highlight w:val="none"/>
          <w:u w:val="none"/>
          <w:lang w:val="en-US" w:eastAsia="zh-CN"/>
        </w:rPr>
      </w:pPr>
      <w:r>
        <w:rPr>
          <w:rFonts w:hint="eastAsia" w:ascii="宋体" w:hAnsi="宋体" w:eastAsia="宋体" w:cs="宋体"/>
          <w:color w:val="000000"/>
          <w:sz w:val="24"/>
          <w:szCs w:val="24"/>
          <w:highlight w:val="none"/>
          <w:u w:val="none"/>
          <w:lang w:val="en-US" w:eastAsia="zh-CN"/>
        </w:rPr>
        <w:t>21.并行活动执行。能够配备相应人员同一天在两个及以上不同城市同时执行线下招聘活动，每场活动均满足本需求中所有执行标准（企业规模、参会人数、服务专区等）。</w:t>
      </w:r>
    </w:p>
    <w:p w14:paraId="004B7C0B">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u w:val="none"/>
        </w:rPr>
      </w:pPr>
      <w:r>
        <w:rPr>
          <w:rFonts w:hint="eastAsia" w:ascii="宋体" w:hAnsi="宋体" w:eastAsia="宋体" w:cs="宋体"/>
          <w:color w:val="000000"/>
          <w:sz w:val="24"/>
          <w:szCs w:val="24"/>
          <w:u w:val="none"/>
          <w:lang w:eastAsia="zh-CN"/>
        </w:rPr>
        <w:t>（</w:t>
      </w:r>
      <w:r>
        <w:rPr>
          <w:rFonts w:hint="eastAsia" w:ascii="宋体" w:hAnsi="宋体" w:eastAsia="宋体" w:cs="宋体"/>
          <w:color w:val="000000"/>
          <w:sz w:val="24"/>
          <w:szCs w:val="24"/>
          <w:u w:val="none"/>
          <w:lang w:val="en-US" w:eastAsia="zh-CN"/>
        </w:rPr>
        <w:t>五</w:t>
      </w:r>
      <w:r>
        <w:rPr>
          <w:rFonts w:hint="eastAsia" w:ascii="宋体" w:hAnsi="宋体" w:eastAsia="宋体" w:cs="宋体"/>
          <w:color w:val="000000"/>
          <w:sz w:val="24"/>
          <w:szCs w:val="24"/>
          <w:u w:val="none"/>
          <w:lang w:eastAsia="zh-CN"/>
        </w:rPr>
        <w:t>）</w:t>
      </w:r>
      <w:r>
        <w:rPr>
          <w:rFonts w:hint="eastAsia" w:ascii="宋体" w:hAnsi="宋体" w:eastAsia="宋体" w:cs="宋体"/>
          <w:sz w:val="24"/>
          <w:szCs w:val="24"/>
          <w:u w:val="none"/>
        </w:rPr>
        <w:t>其他要求</w:t>
      </w:r>
    </w:p>
    <w:p w14:paraId="5D371CE6">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u w:val="none"/>
          <w:lang w:val="en-US" w:eastAsia="zh-CN"/>
        </w:rPr>
      </w:pPr>
      <w:r>
        <w:rPr>
          <w:rFonts w:hint="eastAsia" w:ascii="宋体" w:hAnsi="宋体" w:eastAsia="宋体" w:cs="宋体"/>
          <w:sz w:val="24"/>
          <w:szCs w:val="24"/>
          <w:u w:val="none"/>
        </w:rPr>
        <w:t>1.</w:t>
      </w:r>
      <w:r>
        <w:rPr>
          <w:rFonts w:hint="eastAsia" w:ascii="宋体" w:hAnsi="宋体" w:eastAsia="宋体" w:cs="宋体"/>
          <w:sz w:val="24"/>
          <w:szCs w:val="24"/>
          <w:u w:val="none"/>
          <w:lang w:val="en-US" w:eastAsia="zh-CN"/>
        </w:rPr>
        <w:t>高校确定。活动举办高校由采购人确定；</w:t>
      </w:r>
    </w:p>
    <w:p w14:paraId="62C75032">
      <w:pPr>
        <w:keepNext w:val="0"/>
        <w:keepLines w:val="0"/>
        <w:pageBreakBefore w:val="0"/>
        <w:widowControl w:val="0"/>
        <w:numPr>
          <w:ilvl w:val="0"/>
          <w:numId w:val="0"/>
        </w:numPr>
        <w:kinsoku/>
        <w:wordWrap/>
        <w:overflowPunct/>
        <w:topLinePunct w:val="0"/>
        <w:autoSpaceDE w:val="0"/>
        <w:autoSpaceDN w:val="0"/>
        <w:bidi w:val="0"/>
        <w:adjustRightInd/>
        <w:snapToGrid/>
        <w:spacing w:before="0" w:line="420" w:lineRule="exact"/>
        <w:ind w:left="0" w:firstLine="480" w:firstLineChars="200"/>
        <w:textAlignment w:val="auto"/>
        <w:rPr>
          <w:rFonts w:hint="eastAsia" w:ascii="宋体" w:hAnsi="宋体" w:eastAsia="宋体" w:cs="宋体"/>
          <w:sz w:val="24"/>
          <w:szCs w:val="24"/>
          <w:u w:val="none"/>
          <w:lang w:val="en-US" w:eastAsia="zh-CN"/>
        </w:rPr>
      </w:pPr>
      <w:r>
        <w:rPr>
          <w:rFonts w:hint="eastAsia" w:ascii="宋体" w:hAnsi="宋体" w:eastAsia="宋体" w:cs="宋体"/>
          <w:sz w:val="24"/>
          <w:szCs w:val="24"/>
          <w:u w:val="none"/>
          <w:lang w:val="en-US" w:eastAsia="zh-CN"/>
        </w:rPr>
        <w:t>2.</w:t>
      </w:r>
      <w:r>
        <w:rPr>
          <w:rFonts w:hint="default" w:ascii="宋体" w:hAnsi="宋体" w:eastAsia="宋体" w:cs="宋体"/>
          <w:color w:val="000000"/>
          <w:sz w:val="24"/>
          <w:szCs w:val="24"/>
          <w:u w:val="none"/>
        </w:rPr>
        <w:t>免费服务要求。</w:t>
      </w:r>
      <w:r>
        <w:rPr>
          <w:rFonts w:hint="eastAsia" w:ascii="宋体" w:hAnsi="宋体" w:eastAsia="宋体" w:cs="宋体"/>
          <w:sz w:val="24"/>
          <w:szCs w:val="24"/>
          <w:u w:val="none"/>
          <w:lang w:val="en-US" w:eastAsia="zh-CN"/>
        </w:rPr>
        <w:t>每场活动中标人不得收取用人单位、求职个人任何费用。</w:t>
      </w:r>
    </w:p>
    <w:p w14:paraId="2106F738">
      <w:pPr>
        <w:keepNext w:val="0"/>
        <w:keepLines w:val="0"/>
        <w:pageBreakBefore w:val="0"/>
        <w:widowControl w:val="0"/>
        <w:numPr>
          <w:ilvl w:val="0"/>
          <w:numId w:val="0"/>
        </w:numPr>
        <w:kinsoku/>
        <w:wordWrap/>
        <w:overflowPunct/>
        <w:topLinePunct w:val="0"/>
        <w:autoSpaceDE w:val="0"/>
        <w:autoSpaceDN w:val="0"/>
        <w:bidi w:val="0"/>
        <w:adjustRightInd/>
        <w:snapToGrid/>
        <w:spacing w:before="0" w:line="420" w:lineRule="exact"/>
        <w:ind w:left="0" w:firstLine="480" w:firstLineChars="200"/>
        <w:textAlignment w:val="auto"/>
        <w:rPr>
          <w:rFonts w:hint="eastAsia" w:ascii="宋体" w:hAnsi="宋体" w:eastAsia="宋体" w:cs="宋体"/>
          <w:sz w:val="24"/>
          <w:szCs w:val="24"/>
          <w:u w:val="none"/>
          <w:lang w:val="en-US" w:eastAsia="zh-CN"/>
        </w:rPr>
      </w:pPr>
      <w:r>
        <w:rPr>
          <w:rFonts w:hint="eastAsia" w:ascii="宋体" w:hAnsi="宋体" w:eastAsia="宋体" w:cs="宋体"/>
          <w:sz w:val="24"/>
          <w:szCs w:val="24"/>
          <w:u w:val="none"/>
          <w:lang w:val="en-US" w:eastAsia="zh-CN"/>
        </w:rPr>
        <w:t>3.</w:t>
      </w:r>
      <w:r>
        <w:rPr>
          <w:rFonts w:hint="default" w:ascii="宋体" w:hAnsi="宋体" w:eastAsia="宋体" w:cs="宋体"/>
          <w:color w:val="000000"/>
          <w:sz w:val="24"/>
          <w:szCs w:val="24"/>
          <w:u w:val="none"/>
        </w:rPr>
        <w:t>安全责任承担。活动期间若发生各类安全事故，相关责任及后续处置费用均由中标人全额承担；中标人需建立应急报告机制，明确人员疏散路线及集合点位，确保紧急情况可快速响应处置。​</w:t>
      </w:r>
    </w:p>
    <w:p w14:paraId="5B20D6B5">
      <w:pPr>
        <w:keepNext w:val="0"/>
        <w:keepLines w:val="0"/>
        <w:pageBreakBefore w:val="0"/>
        <w:widowControl w:val="0"/>
        <w:numPr>
          <w:ilvl w:val="0"/>
          <w:numId w:val="0"/>
        </w:numPr>
        <w:kinsoku/>
        <w:wordWrap/>
        <w:overflowPunct/>
        <w:topLinePunct w:val="0"/>
        <w:autoSpaceDE w:val="0"/>
        <w:autoSpaceDN w:val="0"/>
        <w:bidi w:val="0"/>
        <w:adjustRightInd/>
        <w:snapToGrid/>
        <w:spacing w:before="0" w:line="420" w:lineRule="exact"/>
        <w:ind w:left="0" w:firstLine="480" w:firstLineChars="200"/>
        <w:textAlignment w:val="auto"/>
        <w:rPr>
          <w:rFonts w:hint="default" w:ascii="宋体" w:hAnsi="宋体" w:eastAsia="宋体" w:cs="宋体"/>
          <w:color w:val="000000"/>
          <w:sz w:val="24"/>
          <w:szCs w:val="24"/>
          <w:u w:val="none"/>
        </w:rPr>
      </w:pPr>
      <w:r>
        <w:rPr>
          <w:rFonts w:hint="eastAsia" w:ascii="宋体" w:hAnsi="宋体" w:eastAsia="宋体" w:cs="宋体"/>
          <w:sz w:val="24"/>
          <w:szCs w:val="24"/>
          <w:u w:val="none"/>
          <w:lang w:val="en-US" w:eastAsia="zh-CN"/>
        </w:rPr>
        <w:t>4.其它</w:t>
      </w:r>
      <w:r>
        <w:rPr>
          <w:rFonts w:hint="default" w:ascii="宋体" w:hAnsi="宋体" w:eastAsia="宋体" w:cs="宋体"/>
          <w:sz w:val="24"/>
          <w:szCs w:val="24"/>
          <w:u w:val="none"/>
        </w:rPr>
        <w:t>工作配合。</w:t>
      </w:r>
      <w:r>
        <w:rPr>
          <w:rFonts w:hint="default" w:ascii="宋体" w:hAnsi="宋体" w:eastAsia="宋体" w:cs="宋体"/>
          <w:color w:val="000000"/>
          <w:sz w:val="24"/>
          <w:szCs w:val="24"/>
          <w:u w:val="none"/>
        </w:rPr>
        <w:t>中标人需无条件配合采购人开展非本项目范畴内的招聘活动企业邀约、岗位征集等工作，保障人社系统招聘服务整体成效。</w:t>
      </w:r>
    </w:p>
    <w:p w14:paraId="00B42D27">
      <w:pPr>
        <w:pStyle w:val="4"/>
        <w:keepNext w:val="0"/>
        <w:keepLines w:val="0"/>
        <w:pageBreakBefore w:val="0"/>
        <w:numPr>
          <w:ilvl w:val="0"/>
          <w:numId w:val="0"/>
        </w:numPr>
        <w:kinsoku/>
        <w:wordWrap/>
        <w:overflowPunct/>
        <w:topLinePunct w:val="0"/>
        <w:bidi w:val="0"/>
        <w:spacing w:after="0" w:line="420" w:lineRule="exact"/>
        <w:ind w:firstLine="482" w:firstLineChars="200"/>
        <w:textAlignment w:val="auto"/>
        <w:rPr>
          <w:rFonts w:hint="eastAsia" w:ascii="宋体" w:hAnsi="宋体" w:eastAsia="宋体" w:cs="宋体"/>
          <w:b/>
          <w:bCs/>
          <w:sz w:val="24"/>
          <w:szCs w:val="24"/>
          <w:u w:val="none"/>
        </w:rPr>
      </w:pPr>
      <w:r>
        <w:rPr>
          <w:rFonts w:hint="eastAsia" w:ascii="宋体" w:hAnsi="宋体" w:eastAsia="宋体" w:cs="宋体"/>
          <w:b/>
          <w:bCs/>
          <w:color w:val="000000"/>
          <w:sz w:val="24"/>
          <w:szCs w:val="24"/>
          <w:u w:val="none"/>
          <w:lang w:val="en-US" w:eastAsia="zh-CN"/>
        </w:rPr>
        <w:t>二、考核要求</w:t>
      </w:r>
    </w:p>
    <w:p w14:paraId="1C9FC0CD">
      <w:pPr>
        <w:keepNext w:val="0"/>
        <w:keepLines w:val="0"/>
        <w:pageBreakBefore w:val="0"/>
        <w:kinsoku/>
        <w:wordWrap/>
        <w:overflowPunct/>
        <w:topLinePunct w:val="0"/>
        <w:bidi w:val="0"/>
        <w:spacing w:line="420" w:lineRule="exact"/>
        <w:ind w:firstLine="480" w:firstLineChars="200"/>
        <w:textAlignment w:val="auto"/>
        <w:rPr>
          <w:rFonts w:hint="default" w:ascii="宋体" w:hAnsi="宋体" w:eastAsia="宋体" w:cs="宋体"/>
          <w:color w:val="000000"/>
          <w:sz w:val="24"/>
          <w:szCs w:val="24"/>
          <w:u w:val="none"/>
        </w:rPr>
      </w:pPr>
      <w:r>
        <w:rPr>
          <w:rFonts w:hint="eastAsia" w:ascii="宋体" w:hAnsi="宋体" w:eastAsia="宋体" w:cs="宋体"/>
          <w:b w:val="0"/>
          <w:bCs w:val="0"/>
          <w:sz w:val="24"/>
          <w:szCs w:val="24"/>
          <w:u w:val="none"/>
        </w:rPr>
        <w:t>（一）</w:t>
      </w:r>
      <w:r>
        <w:rPr>
          <w:rFonts w:hint="default" w:ascii="宋体" w:hAnsi="宋体" w:eastAsia="宋体" w:cs="宋体"/>
          <w:color w:val="000000"/>
          <w:sz w:val="24"/>
          <w:szCs w:val="24"/>
          <w:u w:val="none"/>
        </w:rPr>
        <w:t>基础指标考核</w:t>
      </w:r>
    </w:p>
    <w:p w14:paraId="0DDE2718">
      <w:pPr>
        <w:keepNext w:val="0"/>
        <w:keepLines w:val="0"/>
        <w:pageBreakBefore w:val="0"/>
        <w:wordWrap/>
        <w:overflowPunct/>
        <w:topLinePunct w:val="0"/>
        <w:autoSpaceDE w:val="0"/>
        <w:autoSpaceDN w:val="0"/>
        <w:bidi w:val="0"/>
        <w:spacing w:line="460" w:lineRule="exact"/>
        <w:ind w:firstLine="480" w:firstLineChars="200"/>
        <w:rPr>
          <w:rFonts w:hint="eastAsia"/>
          <w:u w:val="none"/>
        </w:rPr>
      </w:pPr>
      <w:r>
        <w:rPr>
          <w:rFonts w:hint="default" w:ascii="宋体" w:hAnsi="宋体" w:eastAsia="宋体" w:cs="宋体"/>
          <w:b w:val="0"/>
          <w:bCs w:val="0"/>
          <w:sz w:val="24"/>
          <w:szCs w:val="24"/>
          <w:u w:val="none"/>
          <w:lang w:val="en-US" w:eastAsia="zh-CN"/>
        </w:rPr>
        <w:t>基础指标考核针对活动执行的核心要求开展，考核扣款金额 = 单场活动预算（不含考核经费）×对应扣减比例，具体考核标准如下：​</w:t>
      </w:r>
    </w:p>
    <w:p w14:paraId="3733F9EB">
      <w:pPr>
        <w:keepNext w:val="0"/>
        <w:keepLines w:val="0"/>
        <w:pageBreakBefore w:val="0"/>
        <w:wordWrap/>
        <w:overflowPunct/>
        <w:topLinePunct w:val="0"/>
        <w:autoSpaceDE w:val="0"/>
        <w:autoSpaceDN w:val="0"/>
        <w:bidi w:val="0"/>
        <w:spacing w:line="460" w:lineRule="exact"/>
        <w:ind w:firstLine="480" w:firstLineChars="200"/>
        <w:rPr>
          <w:rFonts w:hint="default" w:ascii="宋体" w:hAnsi="宋体" w:eastAsia="宋体" w:cs="宋体"/>
          <w:b w:val="0"/>
          <w:bCs w:val="0"/>
          <w:sz w:val="24"/>
          <w:szCs w:val="24"/>
          <w:u w:val="none"/>
          <w:lang w:val="en-US" w:eastAsia="zh-CN"/>
        </w:rPr>
      </w:pPr>
      <w:r>
        <w:rPr>
          <w:rFonts w:hint="eastAsia" w:ascii="宋体" w:hAnsi="宋体" w:eastAsia="宋体" w:cs="宋体"/>
          <w:b w:val="0"/>
          <w:bCs w:val="0"/>
          <w:sz w:val="24"/>
          <w:szCs w:val="24"/>
          <w:u w:val="none"/>
          <w:lang w:val="en-US" w:eastAsia="zh-CN"/>
        </w:rPr>
        <w:t>1.</w:t>
      </w:r>
      <w:r>
        <w:rPr>
          <w:rFonts w:hint="default" w:ascii="宋体" w:hAnsi="宋体" w:eastAsia="宋体" w:cs="宋体"/>
          <w:b w:val="0"/>
          <w:bCs w:val="0"/>
          <w:sz w:val="24"/>
          <w:szCs w:val="24"/>
          <w:u w:val="none"/>
          <w:lang w:val="en-US" w:eastAsia="zh-CN"/>
        </w:rPr>
        <w:t>企业到场率考核。单场活动</w:t>
      </w:r>
      <w:r>
        <w:rPr>
          <w:rFonts w:hint="eastAsia" w:ascii="宋体" w:hAnsi="宋体" w:eastAsia="宋体" w:cs="宋体"/>
          <w:b w:val="0"/>
          <w:bCs w:val="0"/>
          <w:sz w:val="24"/>
          <w:szCs w:val="24"/>
          <w:u w:val="none"/>
          <w:lang w:val="en-US" w:eastAsia="zh-CN"/>
        </w:rPr>
        <w:t>单位代表</w:t>
      </w:r>
      <w:r>
        <w:rPr>
          <w:rFonts w:hint="default" w:ascii="宋体" w:hAnsi="宋体" w:eastAsia="宋体" w:cs="宋体"/>
          <w:b w:val="0"/>
          <w:bCs w:val="0"/>
          <w:sz w:val="24"/>
          <w:szCs w:val="24"/>
          <w:u w:val="none"/>
          <w:lang w:val="en-US" w:eastAsia="zh-CN"/>
        </w:rPr>
        <w:t>到场率</w:t>
      </w:r>
      <w:r>
        <w:rPr>
          <w:rFonts w:hint="eastAsia" w:ascii="宋体" w:hAnsi="宋体" w:eastAsia="宋体" w:cs="宋体"/>
          <w:b w:val="0"/>
          <w:bCs w:val="0"/>
          <w:sz w:val="24"/>
          <w:szCs w:val="24"/>
          <w:u w:val="none"/>
          <w:lang w:val="en-US" w:eastAsia="zh-CN"/>
        </w:rPr>
        <w:t>小于8</w:t>
      </w:r>
      <w:r>
        <w:rPr>
          <w:rFonts w:hint="eastAsia" w:ascii="宋体" w:hAnsi="宋体" w:eastAsia="宋体" w:cs="宋体"/>
          <w:b w:val="0"/>
          <w:bCs w:val="0"/>
          <w:sz w:val="24"/>
          <w:szCs w:val="24"/>
          <w:highlight w:val="none"/>
          <w:u w:val="none"/>
          <w:lang w:val="en-US" w:eastAsia="zh-CN"/>
        </w:rPr>
        <w:t>0%的，扣除单场活动合</w:t>
      </w:r>
      <w:r>
        <w:rPr>
          <w:rFonts w:hint="eastAsia" w:ascii="宋体" w:hAnsi="宋体" w:eastAsia="宋体" w:cs="宋体"/>
          <w:b w:val="0"/>
          <w:bCs w:val="0"/>
          <w:sz w:val="24"/>
          <w:szCs w:val="24"/>
          <w:u w:val="none"/>
          <w:lang w:val="en-US" w:eastAsia="zh-CN"/>
        </w:rPr>
        <w:t>同价；单位代表</w:t>
      </w:r>
      <w:r>
        <w:rPr>
          <w:rFonts w:hint="default" w:ascii="宋体" w:hAnsi="宋体" w:eastAsia="宋体" w:cs="宋体"/>
          <w:b w:val="0"/>
          <w:bCs w:val="0"/>
          <w:sz w:val="24"/>
          <w:szCs w:val="24"/>
          <w:u w:val="none"/>
          <w:lang w:val="en-US" w:eastAsia="zh-CN"/>
        </w:rPr>
        <w:t>到场率</w:t>
      </w:r>
      <w:r>
        <w:rPr>
          <w:rFonts w:hint="eastAsia" w:ascii="宋体" w:hAnsi="宋体" w:eastAsia="宋体" w:cs="宋体"/>
          <w:b w:val="0"/>
          <w:bCs w:val="0"/>
          <w:sz w:val="24"/>
          <w:szCs w:val="24"/>
          <w:u w:val="none"/>
          <w:lang w:val="en-US" w:eastAsia="zh-CN"/>
        </w:rPr>
        <w:t>达到95%（含）的，不扣减</w:t>
      </w:r>
      <w:r>
        <w:rPr>
          <w:rFonts w:hint="default" w:ascii="宋体" w:hAnsi="宋体" w:eastAsia="宋体" w:cs="宋体"/>
          <w:b w:val="0"/>
          <w:bCs w:val="0"/>
          <w:sz w:val="24"/>
          <w:szCs w:val="24"/>
          <w:u w:val="none"/>
          <w:lang w:val="en-US" w:eastAsia="zh-CN"/>
        </w:rPr>
        <w:t>；到场率</w:t>
      </w:r>
      <w:r>
        <w:rPr>
          <w:rFonts w:hint="eastAsia" w:ascii="宋体" w:hAnsi="宋体" w:eastAsia="宋体" w:cs="宋体"/>
          <w:b w:val="0"/>
          <w:bCs w:val="0"/>
          <w:sz w:val="24"/>
          <w:szCs w:val="24"/>
          <w:u w:val="none"/>
          <w:lang w:val="en-US" w:eastAsia="zh-CN"/>
        </w:rPr>
        <w:t>达到</w:t>
      </w:r>
      <w:r>
        <w:rPr>
          <w:rFonts w:hint="default" w:ascii="宋体" w:hAnsi="宋体" w:eastAsia="宋体" w:cs="宋体"/>
          <w:b w:val="0"/>
          <w:bCs w:val="0"/>
          <w:sz w:val="24"/>
          <w:szCs w:val="24"/>
          <w:u w:val="none"/>
          <w:lang w:val="en-US" w:eastAsia="zh-CN"/>
        </w:rPr>
        <w:t>80%</w:t>
      </w:r>
      <w:r>
        <w:rPr>
          <w:rFonts w:hint="eastAsia" w:ascii="宋体" w:hAnsi="宋体" w:eastAsia="宋体" w:cs="宋体"/>
          <w:b w:val="0"/>
          <w:bCs w:val="0"/>
          <w:sz w:val="24"/>
          <w:szCs w:val="24"/>
          <w:u w:val="none"/>
          <w:lang w:val="en-US" w:eastAsia="zh-CN"/>
        </w:rPr>
        <w:t>不足95</w:t>
      </w:r>
      <w:r>
        <w:rPr>
          <w:rFonts w:hint="default" w:ascii="宋体" w:hAnsi="宋体" w:eastAsia="宋体" w:cs="宋体"/>
          <w:b w:val="0"/>
          <w:bCs w:val="0"/>
          <w:sz w:val="24"/>
          <w:szCs w:val="24"/>
          <w:u w:val="none"/>
          <w:lang w:val="en-US" w:eastAsia="zh-CN"/>
        </w:rPr>
        <w:t>%</w:t>
      </w:r>
      <w:r>
        <w:rPr>
          <w:rFonts w:hint="eastAsia" w:ascii="宋体" w:hAnsi="宋体" w:eastAsia="宋体" w:cs="宋体"/>
          <w:b w:val="0"/>
          <w:bCs w:val="0"/>
          <w:sz w:val="24"/>
          <w:szCs w:val="24"/>
          <w:u w:val="none"/>
          <w:lang w:val="en-US" w:eastAsia="zh-CN"/>
        </w:rPr>
        <w:t>的</w:t>
      </w:r>
      <w:r>
        <w:rPr>
          <w:rFonts w:hint="default" w:ascii="宋体" w:hAnsi="宋体" w:eastAsia="宋体" w:cs="宋体"/>
          <w:b w:val="0"/>
          <w:bCs w:val="0"/>
          <w:sz w:val="24"/>
          <w:szCs w:val="24"/>
          <w:u w:val="none"/>
          <w:lang w:val="en-US" w:eastAsia="zh-CN"/>
        </w:rPr>
        <w:t>，</w:t>
      </w:r>
      <w:r>
        <w:rPr>
          <w:rFonts w:hint="eastAsia" w:ascii="宋体" w:hAnsi="宋体" w:eastAsia="宋体" w:cs="宋体"/>
          <w:b w:val="0"/>
          <w:bCs w:val="0"/>
          <w:sz w:val="24"/>
          <w:szCs w:val="24"/>
          <w:u w:val="none"/>
          <w:lang w:val="en-US" w:eastAsia="zh-CN"/>
        </w:rPr>
        <w:t>按</w:t>
      </w:r>
      <w:r>
        <w:rPr>
          <w:rFonts w:hint="default" w:ascii="宋体" w:hAnsi="宋体" w:eastAsia="宋体" w:cs="宋体"/>
          <w:b w:val="0"/>
          <w:bCs w:val="0"/>
          <w:sz w:val="24"/>
          <w:szCs w:val="24"/>
          <w:u w:val="none"/>
          <w:lang w:val="en-US" w:eastAsia="zh-CN"/>
        </w:rPr>
        <w:t>到场</w:t>
      </w:r>
      <w:r>
        <w:rPr>
          <w:rFonts w:hint="eastAsia" w:ascii="宋体" w:hAnsi="宋体" w:eastAsia="宋体" w:cs="宋体"/>
          <w:b w:val="0"/>
          <w:bCs w:val="0"/>
          <w:sz w:val="24"/>
          <w:szCs w:val="24"/>
          <w:u w:val="none"/>
          <w:lang w:val="en-US" w:eastAsia="zh-CN"/>
        </w:rPr>
        <w:t>比例结算</w:t>
      </w:r>
      <w:r>
        <w:rPr>
          <w:rFonts w:hint="default" w:ascii="宋体" w:hAnsi="宋体" w:eastAsia="宋体" w:cs="宋体"/>
          <w:b w:val="0"/>
          <w:bCs w:val="0"/>
          <w:sz w:val="24"/>
          <w:szCs w:val="24"/>
          <w:u w:val="none"/>
          <w:lang w:val="en-US" w:eastAsia="zh-CN"/>
        </w:rPr>
        <w:t>单场</w:t>
      </w:r>
      <w:r>
        <w:rPr>
          <w:rFonts w:hint="eastAsia" w:ascii="宋体" w:hAnsi="宋体" w:eastAsia="宋体" w:cs="宋体"/>
          <w:b w:val="0"/>
          <w:bCs w:val="0"/>
          <w:sz w:val="24"/>
          <w:szCs w:val="24"/>
          <w:u w:val="none"/>
          <w:lang w:val="en-US" w:eastAsia="zh-CN"/>
        </w:rPr>
        <w:t>活动合同价</w:t>
      </w:r>
      <w:r>
        <w:rPr>
          <w:rFonts w:hint="default" w:ascii="宋体" w:hAnsi="宋体" w:eastAsia="宋体" w:cs="宋体"/>
          <w:b w:val="0"/>
          <w:bCs w:val="0"/>
          <w:sz w:val="24"/>
          <w:szCs w:val="24"/>
          <w:u w:val="none"/>
          <w:lang w:val="en-US" w:eastAsia="zh-CN"/>
        </w:rPr>
        <w:t>。​</w:t>
      </w:r>
    </w:p>
    <w:p w14:paraId="2D91D7D7">
      <w:pPr>
        <w:keepNext w:val="0"/>
        <w:keepLines w:val="0"/>
        <w:pageBreakBefore w:val="0"/>
        <w:numPr>
          <w:ilvl w:val="0"/>
          <w:numId w:val="0"/>
        </w:numPr>
        <w:wordWrap/>
        <w:overflowPunct/>
        <w:topLinePunct w:val="0"/>
        <w:autoSpaceDE w:val="0"/>
        <w:autoSpaceDN w:val="0"/>
        <w:bidi w:val="0"/>
        <w:spacing w:line="460" w:lineRule="exact"/>
        <w:ind w:firstLine="480" w:firstLineChars="200"/>
        <w:rPr>
          <w:rFonts w:hint="default" w:ascii="宋体" w:hAnsi="宋体" w:eastAsia="宋体" w:cs="宋体"/>
          <w:b w:val="0"/>
          <w:bCs w:val="0"/>
          <w:sz w:val="24"/>
          <w:szCs w:val="24"/>
          <w:u w:val="none"/>
          <w:lang w:val="en-US" w:eastAsia="zh-CN"/>
        </w:rPr>
      </w:pPr>
      <w:r>
        <w:rPr>
          <w:rFonts w:hint="eastAsia" w:ascii="宋体" w:hAnsi="宋体" w:eastAsia="宋体" w:cs="宋体"/>
          <w:b w:val="0"/>
          <w:bCs w:val="0"/>
          <w:sz w:val="24"/>
          <w:szCs w:val="24"/>
          <w:u w:val="none"/>
          <w:lang w:val="en-US" w:eastAsia="zh-CN"/>
        </w:rPr>
        <w:t>2.</w:t>
      </w:r>
      <w:r>
        <w:rPr>
          <w:rFonts w:hint="default" w:ascii="宋体" w:hAnsi="宋体" w:eastAsia="宋体" w:cs="宋体"/>
          <w:b w:val="0"/>
          <w:bCs w:val="0"/>
          <w:sz w:val="24"/>
          <w:szCs w:val="24"/>
          <w:u w:val="none"/>
          <w:lang w:val="en-US" w:eastAsia="zh-CN"/>
        </w:rPr>
        <w:t>在线简历考核。企业在活动结束后2周内，</w:t>
      </w:r>
      <w:r>
        <w:rPr>
          <w:rFonts w:hint="eastAsia" w:ascii="宋体" w:hAnsi="宋体" w:eastAsia="宋体" w:cs="宋体"/>
          <w:b w:val="0"/>
          <w:bCs w:val="0"/>
          <w:sz w:val="24"/>
          <w:szCs w:val="24"/>
          <w:u w:val="none"/>
          <w:lang w:val="en-US" w:eastAsia="zh-CN"/>
        </w:rPr>
        <w:t>要</w:t>
      </w:r>
      <w:r>
        <w:rPr>
          <w:rFonts w:hint="default" w:ascii="宋体" w:hAnsi="宋体" w:eastAsia="宋体" w:cs="宋体"/>
          <w:b w:val="0"/>
          <w:bCs w:val="0"/>
          <w:sz w:val="24"/>
          <w:szCs w:val="24"/>
          <w:u w:val="none"/>
          <w:lang w:val="en-US" w:eastAsia="zh-CN"/>
        </w:rPr>
        <w:t>实现活动当日接收简历100%在线查看，单场活动</w:t>
      </w:r>
      <w:r>
        <w:rPr>
          <w:rFonts w:hint="eastAsia" w:ascii="宋体" w:hAnsi="宋体" w:eastAsia="宋体" w:cs="宋体"/>
          <w:b w:val="0"/>
          <w:bCs w:val="0"/>
          <w:sz w:val="24"/>
          <w:szCs w:val="24"/>
          <w:u w:val="none"/>
          <w:lang w:val="en-US" w:eastAsia="zh-CN"/>
        </w:rPr>
        <w:t>单位简历查看</w:t>
      </w:r>
      <w:r>
        <w:rPr>
          <w:rFonts w:hint="default" w:ascii="宋体" w:hAnsi="宋体" w:eastAsia="宋体" w:cs="宋体"/>
          <w:b w:val="0"/>
          <w:bCs w:val="0"/>
          <w:sz w:val="24"/>
          <w:szCs w:val="24"/>
          <w:u w:val="none"/>
          <w:lang w:val="en-US" w:eastAsia="zh-CN"/>
        </w:rPr>
        <w:t>率</w:t>
      </w:r>
      <w:r>
        <w:rPr>
          <w:rFonts w:hint="eastAsia" w:ascii="宋体" w:hAnsi="宋体" w:eastAsia="宋体" w:cs="宋体"/>
          <w:b w:val="0"/>
          <w:bCs w:val="0"/>
          <w:sz w:val="24"/>
          <w:szCs w:val="24"/>
          <w:u w:val="none"/>
          <w:lang w:val="en-US" w:eastAsia="zh-CN"/>
        </w:rPr>
        <w:t>小于80%的，扣除单场活动合同价；简历查看</w:t>
      </w:r>
      <w:r>
        <w:rPr>
          <w:rFonts w:hint="default" w:ascii="宋体" w:hAnsi="宋体" w:eastAsia="宋体" w:cs="宋体"/>
          <w:b w:val="0"/>
          <w:bCs w:val="0"/>
          <w:sz w:val="24"/>
          <w:szCs w:val="24"/>
          <w:u w:val="none"/>
          <w:lang w:val="en-US" w:eastAsia="zh-CN"/>
        </w:rPr>
        <w:t>率</w:t>
      </w:r>
      <w:r>
        <w:rPr>
          <w:rFonts w:hint="eastAsia" w:ascii="宋体" w:hAnsi="宋体" w:eastAsia="宋体" w:cs="宋体"/>
          <w:b w:val="0"/>
          <w:bCs w:val="0"/>
          <w:sz w:val="24"/>
          <w:szCs w:val="24"/>
          <w:u w:val="none"/>
          <w:lang w:val="en-US" w:eastAsia="zh-CN"/>
        </w:rPr>
        <w:t>达到95%（含）的，不扣减</w:t>
      </w:r>
      <w:r>
        <w:rPr>
          <w:rFonts w:hint="default" w:ascii="宋体" w:hAnsi="宋体" w:eastAsia="宋体" w:cs="宋体"/>
          <w:b w:val="0"/>
          <w:bCs w:val="0"/>
          <w:sz w:val="24"/>
          <w:szCs w:val="24"/>
          <w:u w:val="none"/>
          <w:lang w:val="en-US" w:eastAsia="zh-CN"/>
        </w:rPr>
        <w:t>；</w:t>
      </w:r>
      <w:r>
        <w:rPr>
          <w:rFonts w:hint="eastAsia" w:ascii="宋体" w:hAnsi="宋体" w:eastAsia="宋体" w:cs="宋体"/>
          <w:b w:val="0"/>
          <w:bCs w:val="0"/>
          <w:sz w:val="24"/>
          <w:szCs w:val="24"/>
          <w:u w:val="none"/>
          <w:lang w:val="en-US" w:eastAsia="zh-CN"/>
        </w:rPr>
        <w:t>查看</w:t>
      </w:r>
      <w:r>
        <w:rPr>
          <w:rFonts w:hint="default" w:ascii="宋体" w:hAnsi="宋体" w:eastAsia="宋体" w:cs="宋体"/>
          <w:b w:val="0"/>
          <w:bCs w:val="0"/>
          <w:sz w:val="24"/>
          <w:szCs w:val="24"/>
          <w:u w:val="none"/>
          <w:lang w:val="en-US" w:eastAsia="zh-CN"/>
        </w:rPr>
        <w:t>率</w:t>
      </w:r>
      <w:r>
        <w:rPr>
          <w:rFonts w:hint="eastAsia" w:ascii="宋体" w:hAnsi="宋体" w:eastAsia="宋体" w:cs="宋体"/>
          <w:b w:val="0"/>
          <w:bCs w:val="0"/>
          <w:sz w:val="24"/>
          <w:szCs w:val="24"/>
          <w:u w:val="none"/>
          <w:lang w:val="en-US" w:eastAsia="zh-CN"/>
        </w:rPr>
        <w:t>达到</w:t>
      </w:r>
      <w:r>
        <w:rPr>
          <w:rFonts w:hint="default" w:ascii="宋体" w:hAnsi="宋体" w:eastAsia="宋体" w:cs="宋体"/>
          <w:b w:val="0"/>
          <w:bCs w:val="0"/>
          <w:sz w:val="24"/>
          <w:szCs w:val="24"/>
          <w:u w:val="none"/>
          <w:lang w:val="en-US" w:eastAsia="zh-CN"/>
        </w:rPr>
        <w:t>80%</w:t>
      </w:r>
      <w:r>
        <w:rPr>
          <w:rFonts w:hint="eastAsia" w:ascii="宋体" w:hAnsi="宋体" w:eastAsia="宋体" w:cs="宋体"/>
          <w:b w:val="0"/>
          <w:bCs w:val="0"/>
          <w:sz w:val="24"/>
          <w:szCs w:val="24"/>
          <w:u w:val="none"/>
          <w:lang w:val="en-US" w:eastAsia="zh-CN"/>
        </w:rPr>
        <w:t>不足95</w:t>
      </w:r>
      <w:r>
        <w:rPr>
          <w:rFonts w:hint="default" w:ascii="宋体" w:hAnsi="宋体" w:eastAsia="宋体" w:cs="宋体"/>
          <w:b w:val="0"/>
          <w:bCs w:val="0"/>
          <w:sz w:val="24"/>
          <w:szCs w:val="24"/>
          <w:u w:val="none"/>
          <w:lang w:val="en-US" w:eastAsia="zh-CN"/>
        </w:rPr>
        <w:t>%</w:t>
      </w:r>
      <w:r>
        <w:rPr>
          <w:rFonts w:hint="eastAsia" w:ascii="宋体" w:hAnsi="宋体" w:eastAsia="宋体" w:cs="宋体"/>
          <w:b w:val="0"/>
          <w:bCs w:val="0"/>
          <w:sz w:val="24"/>
          <w:szCs w:val="24"/>
          <w:u w:val="none"/>
          <w:lang w:val="en-US" w:eastAsia="zh-CN"/>
        </w:rPr>
        <w:t>的</w:t>
      </w:r>
      <w:r>
        <w:rPr>
          <w:rFonts w:hint="default" w:ascii="宋体" w:hAnsi="宋体" w:eastAsia="宋体" w:cs="宋体"/>
          <w:b w:val="0"/>
          <w:bCs w:val="0"/>
          <w:sz w:val="24"/>
          <w:szCs w:val="24"/>
          <w:u w:val="none"/>
          <w:lang w:val="en-US" w:eastAsia="zh-CN"/>
        </w:rPr>
        <w:t>，</w:t>
      </w:r>
      <w:r>
        <w:rPr>
          <w:rFonts w:hint="eastAsia" w:ascii="宋体" w:hAnsi="宋体" w:eastAsia="宋体" w:cs="宋体"/>
          <w:b w:val="0"/>
          <w:bCs w:val="0"/>
          <w:sz w:val="24"/>
          <w:szCs w:val="24"/>
          <w:u w:val="none"/>
          <w:lang w:val="en-US" w:eastAsia="zh-CN"/>
        </w:rPr>
        <w:t>按查看</w:t>
      </w:r>
      <w:r>
        <w:rPr>
          <w:rFonts w:hint="default" w:ascii="宋体" w:hAnsi="宋体" w:eastAsia="宋体" w:cs="宋体"/>
          <w:b w:val="0"/>
          <w:bCs w:val="0"/>
          <w:sz w:val="24"/>
          <w:szCs w:val="24"/>
          <w:u w:val="none"/>
          <w:lang w:val="en-US" w:eastAsia="zh-CN"/>
        </w:rPr>
        <w:t>率</w:t>
      </w:r>
      <w:r>
        <w:rPr>
          <w:rFonts w:hint="eastAsia" w:ascii="宋体" w:hAnsi="宋体" w:eastAsia="宋体" w:cs="宋体"/>
          <w:b w:val="0"/>
          <w:bCs w:val="0"/>
          <w:sz w:val="24"/>
          <w:szCs w:val="24"/>
          <w:u w:val="none"/>
          <w:lang w:val="en-US" w:eastAsia="zh-CN"/>
        </w:rPr>
        <w:t>结算</w:t>
      </w:r>
      <w:r>
        <w:rPr>
          <w:rFonts w:hint="default" w:ascii="宋体" w:hAnsi="宋体" w:eastAsia="宋体" w:cs="宋体"/>
          <w:b w:val="0"/>
          <w:bCs w:val="0"/>
          <w:sz w:val="24"/>
          <w:szCs w:val="24"/>
          <w:u w:val="none"/>
          <w:lang w:val="en-US" w:eastAsia="zh-CN"/>
        </w:rPr>
        <w:t>单场</w:t>
      </w:r>
      <w:r>
        <w:rPr>
          <w:rFonts w:hint="eastAsia" w:ascii="宋体" w:hAnsi="宋体" w:eastAsia="宋体" w:cs="宋体"/>
          <w:b w:val="0"/>
          <w:bCs w:val="0"/>
          <w:sz w:val="24"/>
          <w:szCs w:val="24"/>
          <w:u w:val="none"/>
          <w:lang w:val="en-US" w:eastAsia="zh-CN"/>
        </w:rPr>
        <w:t>活动合同价</w:t>
      </w:r>
      <w:r>
        <w:rPr>
          <w:rFonts w:hint="default" w:ascii="宋体" w:hAnsi="宋体" w:eastAsia="宋体" w:cs="宋体"/>
          <w:b w:val="0"/>
          <w:bCs w:val="0"/>
          <w:sz w:val="24"/>
          <w:szCs w:val="24"/>
          <w:u w:val="none"/>
          <w:lang w:val="en-US" w:eastAsia="zh-CN"/>
        </w:rPr>
        <w:t>。</w:t>
      </w:r>
    </w:p>
    <w:p w14:paraId="1A17466C">
      <w:pPr>
        <w:keepNext w:val="0"/>
        <w:keepLines w:val="0"/>
        <w:pageBreakBefore w:val="0"/>
        <w:numPr>
          <w:ilvl w:val="0"/>
          <w:numId w:val="0"/>
        </w:numPr>
        <w:wordWrap/>
        <w:overflowPunct/>
        <w:topLinePunct w:val="0"/>
        <w:autoSpaceDE w:val="0"/>
        <w:autoSpaceDN w:val="0"/>
        <w:bidi w:val="0"/>
        <w:spacing w:line="460" w:lineRule="exact"/>
        <w:ind w:firstLine="480" w:firstLineChars="200"/>
        <w:rPr>
          <w:rFonts w:hint="eastAsia" w:ascii="宋体" w:hAnsi="宋体" w:eastAsia="宋体" w:cs="宋体"/>
          <w:b w:val="0"/>
          <w:bCs w:val="0"/>
          <w:sz w:val="24"/>
          <w:szCs w:val="24"/>
          <w:u w:val="none"/>
          <w:lang w:val="en-US" w:eastAsia="zh-CN"/>
        </w:rPr>
      </w:pPr>
      <w:r>
        <w:rPr>
          <w:rFonts w:hint="eastAsia" w:ascii="宋体" w:hAnsi="宋体" w:eastAsia="宋体" w:cs="宋体"/>
          <w:b w:val="0"/>
          <w:bCs w:val="0"/>
          <w:sz w:val="24"/>
          <w:szCs w:val="24"/>
          <w:u w:val="none"/>
          <w:lang w:val="en-US" w:eastAsia="zh-CN"/>
        </w:rPr>
        <w:t>3.</w:t>
      </w:r>
      <w:r>
        <w:rPr>
          <w:rFonts w:hint="default" w:ascii="宋体" w:hAnsi="宋体" w:eastAsia="宋体" w:cs="宋体"/>
          <w:b w:val="0"/>
          <w:bCs w:val="0"/>
          <w:sz w:val="24"/>
          <w:szCs w:val="24"/>
          <w:u w:val="none"/>
          <w:lang w:val="en-US" w:eastAsia="zh-CN"/>
        </w:rPr>
        <w:t>活动执行考核。中标人需严格按照活动</w:t>
      </w:r>
      <w:r>
        <w:rPr>
          <w:rFonts w:hint="eastAsia" w:ascii="宋体" w:hAnsi="宋体" w:eastAsia="宋体" w:cs="宋体"/>
          <w:b w:val="0"/>
          <w:bCs w:val="0"/>
          <w:sz w:val="24"/>
          <w:szCs w:val="24"/>
          <w:u w:val="none"/>
          <w:lang w:val="en-US" w:eastAsia="zh-CN"/>
        </w:rPr>
        <w:t>需求</w:t>
      </w:r>
      <w:r>
        <w:rPr>
          <w:rFonts w:hint="default" w:ascii="宋体" w:hAnsi="宋体" w:eastAsia="宋体" w:cs="宋体"/>
          <w:b w:val="0"/>
          <w:bCs w:val="0"/>
          <w:sz w:val="24"/>
          <w:szCs w:val="24"/>
          <w:u w:val="none"/>
          <w:lang w:val="en-US" w:eastAsia="zh-CN"/>
        </w:rPr>
        <w:t>落实服务，每出现1项不符合项，扣减单场活动</w:t>
      </w:r>
      <w:r>
        <w:rPr>
          <w:rFonts w:hint="eastAsia" w:ascii="宋体" w:hAnsi="宋体" w:eastAsia="宋体" w:cs="宋体"/>
          <w:b w:val="0"/>
          <w:bCs w:val="0"/>
          <w:sz w:val="24"/>
          <w:szCs w:val="24"/>
          <w:u w:val="none"/>
          <w:lang w:val="en-US" w:eastAsia="zh-CN"/>
        </w:rPr>
        <w:t>合同价</w:t>
      </w:r>
      <w:r>
        <w:rPr>
          <w:rFonts w:hint="default" w:ascii="宋体" w:hAnsi="宋体" w:eastAsia="宋体" w:cs="宋体"/>
          <w:b w:val="0"/>
          <w:bCs w:val="0"/>
          <w:sz w:val="24"/>
          <w:szCs w:val="24"/>
          <w:u w:val="none"/>
          <w:lang w:val="en-US" w:eastAsia="zh-CN"/>
        </w:rPr>
        <w:t>的5%。​</w:t>
      </w:r>
    </w:p>
    <w:p w14:paraId="57FF29BA">
      <w:pPr>
        <w:keepNext w:val="0"/>
        <w:keepLines w:val="0"/>
        <w:pageBreakBefore w:val="0"/>
        <w:kinsoku/>
        <w:wordWrap/>
        <w:overflowPunct/>
        <w:topLinePunct w:val="0"/>
        <w:bidi w:val="0"/>
        <w:spacing w:line="420" w:lineRule="exact"/>
        <w:ind w:firstLine="480" w:firstLineChars="200"/>
        <w:textAlignment w:val="auto"/>
        <w:rPr>
          <w:rFonts w:hint="eastAsia" w:ascii="宋体" w:hAnsi="宋体" w:eastAsia="宋体" w:cs="宋体"/>
          <w:b w:val="0"/>
          <w:bCs w:val="0"/>
          <w:sz w:val="24"/>
          <w:szCs w:val="24"/>
        </w:rPr>
      </w:pPr>
      <w:r>
        <w:rPr>
          <w:rFonts w:hint="eastAsia" w:ascii="宋体" w:hAnsi="宋体" w:eastAsia="宋体" w:cs="宋体"/>
          <w:b w:val="0"/>
          <w:bCs w:val="0"/>
          <w:sz w:val="24"/>
          <w:szCs w:val="24"/>
        </w:rPr>
        <w:t>（</w:t>
      </w:r>
      <w:r>
        <w:rPr>
          <w:rFonts w:hint="eastAsia" w:ascii="宋体" w:hAnsi="宋体" w:eastAsia="宋体" w:cs="宋体"/>
          <w:b w:val="0"/>
          <w:bCs w:val="0"/>
          <w:sz w:val="24"/>
          <w:szCs w:val="24"/>
          <w:lang w:val="en-US" w:eastAsia="zh-CN"/>
        </w:rPr>
        <w:t>二</w:t>
      </w:r>
      <w:r>
        <w:rPr>
          <w:rFonts w:hint="eastAsia" w:ascii="宋体" w:hAnsi="宋体" w:eastAsia="宋体" w:cs="宋体"/>
          <w:b w:val="0"/>
          <w:bCs w:val="0"/>
          <w:sz w:val="24"/>
          <w:szCs w:val="24"/>
        </w:rPr>
        <w:t>）</w:t>
      </w:r>
      <w:r>
        <w:rPr>
          <w:rFonts w:hint="eastAsia" w:ascii="宋体" w:hAnsi="宋体" w:eastAsia="宋体" w:cs="宋体"/>
          <w:b w:val="0"/>
          <w:bCs w:val="0"/>
          <w:sz w:val="24"/>
          <w:szCs w:val="24"/>
          <w:lang w:val="en-US" w:eastAsia="zh-CN"/>
        </w:rPr>
        <w:t>引才</w:t>
      </w:r>
      <w:r>
        <w:rPr>
          <w:rFonts w:hint="eastAsia" w:ascii="宋体" w:hAnsi="宋体" w:eastAsia="宋体" w:cs="宋体"/>
          <w:b w:val="0"/>
          <w:bCs w:val="0"/>
          <w:sz w:val="24"/>
          <w:szCs w:val="24"/>
        </w:rPr>
        <w:t>考核完成情况</w:t>
      </w:r>
    </w:p>
    <w:p w14:paraId="2D7B3A00">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default" w:ascii="宋体" w:hAnsi="宋体" w:eastAsia="宋体" w:cs="宋体"/>
          <w:b w:val="0"/>
          <w:bCs w:val="0"/>
          <w:sz w:val="24"/>
          <w:szCs w:val="24"/>
          <w:lang w:val="en-US" w:eastAsia="zh-CN"/>
        </w:rPr>
        <w:t>考核经费总计</w:t>
      </w:r>
      <w:r>
        <w:rPr>
          <w:rFonts w:hint="eastAsia" w:ascii="宋体" w:hAnsi="宋体" w:eastAsia="宋体" w:cs="宋体"/>
          <w:b w:val="0"/>
          <w:bCs w:val="0"/>
          <w:sz w:val="24"/>
          <w:szCs w:val="24"/>
          <w:lang w:val="en-US" w:eastAsia="zh-CN"/>
        </w:rPr>
        <w:t>26</w:t>
      </w:r>
      <w:r>
        <w:rPr>
          <w:rFonts w:hint="default" w:ascii="宋体" w:hAnsi="宋体" w:eastAsia="宋体" w:cs="宋体"/>
          <w:b w:val="0"/>
          <w:bCs w:val="0"/>
          <w:sz w:val="24"/>
          <w:szCs w:val="24"/>
          <w:lang w:val="en-US" w:eastAsia="zh-CN"/>
        </w:rPr>
        <w:t>万元</w:t>
      </w:r>
      <w:r>
        <w:rPr>
          <w:rFonts w:hint="eastAsia" w:ascii="宋体" w:hAnsi="宋体" w:eastAsia="宋体" w:cs="宋体"/>
          <w:sz w:val="24"/>
          <w:szCs w:val="24"/>
          <w:lang w:val="en-US" w:eastAsia="zh-CN"/>
        </w:rPr>
        <w:t>，</w:t>
      </w:r>
      <w:r>
        <w:rPr>
          <w:rFonts w:hint="eastAsia" w:ascii="宋体" w:hAnsi="宋体" w:eastAsia="宋体" w:cs="宋体"/>
          <w:sz w:val="24"/>
          <w:szCs w:val="24"/>
        </w:rPr>
        <w:t>按照吸引本科毕业生</w:t>
      </w:r>
      <w:r>
        <w:rPr>
          <w:rFonts w:hint="eastAsia" w:ascii="宋体" w:hAnsi="宋体" w:eastAsia="宋体" w:cs="宋体"/>
          <w:sz w:val="24"/>
          <w:szCs w:val="24"/>
          <w:lang w:val="en-US" w:eastAsia="zh-CN"/>
        </w:rPr>
        <w:t>1500</w:t>
      </w:r>
      <w:r>
        <w:rPr>
          <w:rFonts w:hint="eastAsia" w:ascii="宋体" w:hAnsi="宋体" w:eastAsia="宋体" w:cs="宋体"/>
          <w:sz w:val="24"/>
          <w:szCs w:val="24"/>
        </w:rPr>
        <w:t>元/人、硕士</w:t>
      </w:r>
      <w:r>
        <w:rPr>
          <w:rFonts w:hint="eastAsia" w:ascii="宋体" w:hAnsi="宋体" w:eastAsia="宋体" w:cs="宋体"/>
          <w:sz w:val="24"/>
          <w:szCs w:val="24"/>
          <w:lang w:val="en-US" w:eastAsia="zh-CN"/>
        </w:rPr>
        <w:t>3000</w:t>
      </w:r>
      <w:r>
        <w:rPr>
          <w:rFonts w:hint="eastAsia" w:ascii="宋体" w:hAnsi="宋体" w:eastAsia="宋体" w:cs="宋体"/>
          <w:sz w:val="24"/>
          <w:szCs w:val="24"/>
        </w:rPr>
        <w:t>元/人、博士</w:t>
      </w:r>
      <w:r>
        <w:rPr>
          <w:rFonts w:hint="eastAsia" w:ascii="宋体" w:hAnsi="宋体" w:eastAsia="宋体" w:cs="宋体"/>
          <w:sz w:val="24"/>
          <w:szCs w:val="24"/>
          <w:lang w:val="en-US" w:eastAsia="zh-CN"/>
        </w:rPr>
        <w:t>5000</w:t>
      </w:r>
      <w:r>
        <w:rPr>
          <w:rFonts w:hint="eastAsia" w:ascii="宋体" w:hAnsi="宋体" w:eastAsia="宋体" w:cs="宋体"/>
          <w:sz w:val="24"/>
          <w:szCs w:val="24"/>
        </w:rPr>
        <w:t>元/人的标准结算，每个城市累计不超过6.5万元。</w:t>
      </w:r>
    </w:p>
    <w:p w14:paraId="24EBC6B7">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r>
        <w:rPr>
          <w:rFonts w:hint="eastAsia" w:ascii="宋体" w:hAnsi="宋体" w:eastAsia="宋体" w:cs="宋体"/>
          <w:b w:val="0"/>
          <w:bCs w:val="0"/>
          <w:sz w:val="24"/>
          <w:szCs w:val="24"/>
          <w:lang w:val="en-US" w:eastAsia="zh-CN"/>
        </w:rPr>
        <w:t>中标人</w:t>
      </w:r>
      <w:r>
        <w:rPr>
          <w:rFonts w:hint="eastAsia" w:ascii="宋体" w:hAnsi="宋体" w:eastAsia="宋体" w:cs="宋体"/>
          <w:sz w:val="24"/>
          <w:szCs w:val="24"/>
        </w:rPr>
        <w:t>需提供引才名单（姓名、身份证号码、毕业院校、引才单位）至</w:t>
      </w:r>
      <w:r>
        <w:rPr>
          <w:rFonts w:hint="eastAsia" w:ascii="宋体" w:hAnsi="宋体" w:eastAsia="宋体" w:cs="宋体"/>
          <w:sz w:val="24"/>
          <w:szCs w:val="24"/>
          <w:lang w:eastAsia="zh-CN"/>
        </w:rPr>
        <w:t>采购人</w:t>
      </w:r>
      <w:r>
        <w:rPr>
          <w:rFonts w:hint="eastAsia" w:ascii="宋体" w:hAnsi="宋体" w:eastAsia="宋体" w:cs="宋体"/>
          <w:sz w:val="24"/>
          <w:szCs w:val="24"/>
        </w:rPr>
        <w:t>审核，以参会</w:t>
      </w:r>
      <w:r>
        <w:rPr>
          <w:rFonts w:hint="eastAsia" w:ascii="宋体" w:hAnsi="宋体" w:eastAsia="宋体" w:cs="宋体"/>
          <w:sz w:val="24"/>
          <w:szCs w:val="24"/>
          <w:lang w:val="en-US" w:eastAsia="zh-CN"/>
        </w:rPr>
        <w:t>用人单位</w:t>
      </w:r>
      <w:r>
        <w:rPr>
          <w:rFonts w:hint="eastAsia" w:ascii="宋体" w:hAnsi="宋体" w:eastAsia="宋体" w:cs="宋体"/>
          <w:sz w:val="24"/>
          <w:szCs w:val="24"/>
        </w:rPr>
        <w:t>与</w:t>
      </w:r>
      <w:r>
        <w:rPr>
          <w:rFonts w:hint="eastAsia" w:ascii="宋体" w:hAnsi="宋体" w:eastAsia="宋体" w:cs="宋体"/>
          <w:sz w:val="24"/>
          <w:szCs w:val="24"/>
          <w:lang w:val="en-US" w:eastAsia="zh-CN"/>
        </w:rPr>
        <w:t>活动高校毕业生</w:t>
      </w:r>
      <w:r>
        <w:rPr>
          <w:rFonts w:hint="eastAsia" w:ascii="宋体" w:hAnsi="宋体" w:eastAsia="宋体" w:cs="宋体"/>
          <w:sz w:val="24"/>
          <w:szCs w:val="24"/>
        </w:rPr>
        <w:t>签订劳动合同且缴纳1个月以上社会保险为准。</w:t>
      </w:r>
      <w:r>
        <w:rPr>
          <w:rFonts w:hint="eastAsia" w:ascii="宋体" w:hAnsi="宋体" w:eastAsia="宋体" w:cs="宋体"/>
          <w:sz w:val="24"/>
          <w:szCs w:val="24"/>
          <w:lang w:val="en-US" w:eastAsia="zh-CN"/>
        </w:rPr>
        <w:t>2026年7月1日前开展的招聘活动，认定截至时间为2026年12月1日；</w:t>
      </w:r>
      <w:r>
        <w:rPr>
          <w:rFonts w:hint="eastAsia" w:ascii="宋体" w:hAnsi="宋体" w:eastAsia="宋体" w:cs="宋体"/>
          <w:sz w:val="24"/>
          <w:szCs w:val="24"/>
        </w:rPr>
        <w:t>202</w:t>
      </w:r>
      <w:r>
        <w:rPr>
          <w:rFonts w:hint="eastAsia" w:ascii="宋体" w:hAnsi="宋体" w:eastAsia="宋体" w:cs="宋体"/>
          <w:sz w:val="24"/>
          <w:szCs w:val="24"/>
          <w:lang w:val="en-US" w:eastAsia="zh-CN"/>
        </w:rPr>
        <w:t>6</w:t>
      </w:r>
      <w:r>
        <w:rPr>
          <w:rFonts w:hint="eastAsia" w:ascii="宋体" w:hAnsi="宋体" w:eastAsia="宋体" w:cs="宋体"/>
          <w:sz w:val="24"/>
          <w:szCs w:val="24"/>
        </w:rPr>
        <w:t>年</w:t>
      </w:r>
      <w:r>
        <w:rPr>
          <w:rFonts w:hint="eastAsia" w:ascii="宋体" w:hAnsi="宋体" w:eastAsia="宋体" w:cs="宋体"/>
          <w:sz w:val="24"/>
          <w:szCs w:val="24"/>
          <w:lang w:val="en-US" w:eastAsia="zh-CN"/>
        </w:rPr>
        <w:t>7月1日后开展的招聘活动，认定截至时间为2027年12月1日</w:t>
      </w:r>
      <w:r>
        <w:rPr>
          <w:rFonts w:hint="eastAsia" w:ascii="宋体" w:hAnsi="宋体" w:eastAsia="宋体" w:cs="宋体"/>
          <w:sz w:val="24"/>
          <w:szCs w:val="24"/>
        </w:rPr>
        <w:t>。</w:t>
      </w:r>
    </w:p>
    <w:p w14:paraId="3F3C887E">
      <w:pPr>
        <w:keepNext w:val="0"/>
        <w:keepLines w:val="0"/>
        <w:pageBreakBefore w:val="0"/>
        <w:widowControl w:val="0"/>
        <w:kinsoku/>
        <w:wordWrap/>
        <w:overflowPunct/>
        <w:topLinePunct w:val="0"/>
        <w:autoSpaceDE/>
        <w:autoSpaceDN/>
        <w:bidi w:val="0"/>
        <w:adjustRightInd/>
        <w:snapToGrid/>
        <w:spacing w:line="420" w:lineRule="exact"/>
        <w:ind w:firstLine="480" w:firstLineChars="200"/>
        <w:textAlignment w:val="auto"/>
        <w:rPr>
          <w:rFonts w:hint="eastAsia" w:ascii="宋体" w:hAnsi="宋体" w:eastAsia="宋体" w:cs="宋体"/>
          <w:sz w:val="24"/>
          <w:szCs w:val="24"/>
        </w:rPr>
      </w:pPr>
    </w:p>
    <w:p w14:paraId="1D6C0D09">
      <w:pPr>
        <w:keepNext w:val="0"/>
        <w:keepLines w:val="0"/>
        <w:pageBreakBefore w:val="0"/>
        <w:widowControl/>
        <w:kinsoku/>
        <w:wordWrap/>
        <w:overflowPunct/>
        <w:topLinePunct w:val="0"/>
        <w:autoSpaceDE/>
        <w:autoSpaceDN/>
        <w:bidi w:val="0"/>
        <w:adjustRightInd/>
        <w:snapToGrid/>
        <w:spacing w:line="240" w:lineRule="auto"/>
        <w:jc w:val="both"/>
        <w:textAlignment w:val="auto"/>
        <w:rPr>
          <w:color w:val="auto"/>
          <w:spacing w:val="0"/>
          <w:position w:val="0"/>
          <w:lang w:eastAsia="zh-CN"/>
        </w:rPr>
      </w:pPr>
      <w:r>
        <w:rPr>
          <w:rFonts w:hint="eastAsia" w:ascii="宋体" w:hAnsi="宋体" w:eastAsia="宋体" w:cs="宋体"/>
          <w:b/>
          <w:bCs/>
          <w:color w:val="000000"/>
          <w:spacing w:val="2"/>
          <w:kern w:val="0"/>
          <w:sz w:val="24"/>
          <w:szCs w:val="24"/>
          <w:highlight w:val="none"/>
        </w:rPr>
        <w:t>注：以上“技术要求”为实质</w:t>
      </w:r>
      <w:r>
        <w:rPr>
          <w:rFonts w:hint="eastAsia" w:ascii="宋体" w:hAnsi="宋体" w:eastAsia="宋体" w:cs="宋体"/>
          <w:b/>
          <w:bCs/>
          <w:color w:val="000000"/>
          <w:spacing w:val="2"/>
          <w:kern w:val="0"/>
          <w:sz w:val="24"/>
          <w:szCs w:val="24"/>
        </w:rPr>
        <w:t>性条款须完全响应，否则投标无效。</w:t>
      </w:r>
    </w:p>
    <w:p w14:paraId="38BDA5E7">
      <w:pPr>
        <w:pageBreakBefore w:val="0"/>
        <w:widowControl w:val="0"/>
        <w:wordWrap/>
        <w:overflowPunct/>
        <w:topLinePunct w:val="0"/>
        <w:bidi w:val="0"/>
        <w:spacing w:line="245" w:lineRule="auto"/>
        <w:rPr>
          <w:color w:val="auto"/>
          <w:spacing w:val="0"/>
          <w:position w:val="0"/>
          <w:lang w:eastAsia="zh-CN"/>
        </w:rPr>
      </w:pPr>
    </w:p>
    <w:p w14:paraId="0E988926">
      <w:pPr>
        <w:pageBreakBefore w:val="0"/>
        <w:widowControl w:val="0"/>
        <w:wordWrap/>
        <w:overflowPunct/>
        <w:topLinePunct w:val="0"/>
        <w:bidi w:val="0"/>
        <w:spacing w:line="245" w:lineRule="auto"/>
        <w:rPr>
          <w:color w:val="auto"/>
          <w:spacing w:val="0"/>
          <w:position w:val="0"/>
          <w:lang w:eastAsia="zh-CN"/>
        </w:rPr>
      </w:pPr>
    </w:p>
    <w:p w14:paraId="56827914">
      <w:pPr>
        <w:pageBreakBefore w:val="0"/>
        <w:widowControl w:val="0"/>
        <w:wordWrap/>
        <w:overflowPunct/>
        <w:topLinePunct w:val="0"/>
        <w:bidi w:val="0"/>
        <w:spacing w:before="47" w:line="219" w:lineRule="auto"/>
        <w:ind w:left="3805"/>
        <w:outlineLvl w:val="1"/>
        <w:rPr>
          <w:rFonts w:hint="eastAsia" w:ascii="宋体" w:hAnsi="宋体" w:eastAsia="宋体" w:cs="宋体"/>
          <w:color w:val="auto"/>
          <w:spacing w:val="0"/>
          <w:position w:val="0"/>
          <w:sz w:val="28"/>
          <w:szCs w:val="28"/>
          <w:lang w:val="en-US" w:eastAsia="zh-CN"/>
        </w:rPr>
      </w:pPr>
      <w:bookmarkStart w:id="7" w:name="_Toc4726"/>
      <w:bookmarkStart w:id="8" w:name="_Toc2703"/>
      <w:bookmarkStart w:id="9" w:name="_Toc13248"/>
      <w:bookmarkStart w:id="10" w:name="_Toc17843"/>
      <w:bookmarkStart w:id="11" w:name="_Toc32483"/>
      <w:bookmarkStart w:id="12" w:name="_Toc22766"/>
    </w:p>
    <w:p w14:paraId="0194B9D9">
      <w:pPr>
        <w:pageBreakBefore w:val="0"/>
        <w:widowControl w:val="0"/>
        <w:wordWrap/>
        <w:overflowPunct/>
        <w:topLinePunct w:val="0"/>
        <w:bidi w:val="0"/>
        <w:spacing w:before="47" w:line="219" w:lineRule="auto"/>
        <w:ind w:left="3805"/>
        <w:outlineLvl w:val="1"/>
        <w:rPr>
          <w:rFonts w:hint="eastAsia" w:ascii="宋体" w:hAnsi="宋体" w:eastAsia="宋体" w:cs="宋体"/>
          <w:color w:val="auto"/>
          <w:spacing w:val="0"/>
          <w:position w:val="0"/>
          <w:sz w:val="28"/>
          <w:szCs w:val="28"/>
          <w:lang w:val="en-US" w:eastAsia="zh-CN"/>
        </w:rPr>
      </w:pPr>
      <w:bookmarkStart w:id="13" w:name="_GoBack"/>
      <w:bookmarkEnd w:id="13"/>
      <w:r>
        <w:rPr>
          <w:rFonts w:hint="eastAsia" w:ascii="宋体" w:hAnsi="宋体" w:eastAsia="宋体" w:cs="宋体"/>
          <w:color w:val="auto"/>
          <w:spacing w:val="0"/>
          <w:position w:val="0"/>
          <w:sz w:val="28"/>
          <w:szCs w:val="28"/>
          <w:lang w:val="en-US" w:eastAsia="zh-CN"/>
        </w:rPr>
        <w:t>三</w:t>
      </w:r>
      <w:r>
        <w:rPr>
          <w:rFonts w:hint="eastAsia" w:ascii="宋体" w:hAnsi="宋体" w:eastAsia="宋体" w:cs="宋体"/>
          <w:color w:val="auto"/>
          <w:spacing w:val="0"/>
          <w:position w:val="0"/>
          <w:sz w:val="28"/>
          <w:szCs w:val="28"/>
        </w:rPr>
        <w:t>、商务</w:t>
      </w:r>
      <w:bookmarkEnd w:id="7"/>
      <w:bookmarkEnd w:id="8"/>
      <w:bookmarkEnd w:id="9"/>
      <w:r>
        <w:rPr>
          <w:rFonts w:hint="eastAsia" w:ascii="宋体" w:hAnsi="宋体" w:eastAsia="宋体" w:cs="宋体"/>
          <w:color w:val="auto"/>
          <w:spacing w:val="0"/>
          <w:position w:val="0"/>
          <w:sz w:val="28"/>
          <w:szCs w:val="28"/>
          <w:lang w:val="en-US" w:eastAsia="zh-CN"/>
        </w:rPr>
        <w:t>条款</w:t>
      </w:r>
      <w:bookmarkEnd w:id="10"/>
      <w:bookmarkEnd w:id="11"/>
      <w:bookmarkEnd w:id="12"/>
    </w:p>
    <w:p w14:paraId="54B1EF07">
      <w:pPr>
        <w:pageBreakBefore w:val="0"/>
        <w:widowControl w:val="0"/>
        <w:wordWrap/>
        <w:overflowPunct/>
        <w:topLinePunct w:val="0"/>
        <w:bidi w:val="0"/>
        <w:spacing w:before="47" w:line="219" w:lineRule="auto"/>
        <w:ind w:left="3805"/>
        <w:outlineLvl w:val="1"/>
        <w:rPr>
          <w:rFonts w:hint="default" w:ascii="宋体" w:hAnsi="宋体" w:eastAsia="宋体" w:cs="宋体"/>
          <w:color w:val="auto"/>
          <w:spacing w:val="0"/>
          <w:position w:val="0"/>
          <w:sz w:val="28"/>
          <w:szCs w:val="28"/>
          <w:lang w:val="en-US" w:eastAsia="zh-CN"/>
        </w:rPr>
      </w:pPr>
    </w:p>
    <w:tbl>
      <w:tblPr>
        <w:tblStyle w:val="9"/>
        <w:tblW w:w="997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30"/>
        <w:gridCol w:w="1783"/>
        <w:gridCol w:w="7263"/>
      </w:tblGrid>
      <w:tr w14:paraId="50F5BD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49" w:hRule="atLeast"/>
        </w:trPr>
        <w:tc>
          <w:tcPr>
            <w:tcW w:w="930" w:type="dxa"/>
            <w:noWrap w:val="0"/>
            <w:vAlign w:val="center"/>
          </w:tcPr>
          <w:p w14:paraId="22060601">
            <w:pPr>
              <w:pStyle w:val="10"/>
              <w:spacing w:before="144" w:line="225" w:lineRule="auto"/>
              <w:ind w:left="114"/>
              <w:jc w:val="center"/>
              <w:rPr>
                <w:rFonts w:hint="eastAsia" w:ascii="宋体" w:hAnsi="宋体" w:eastAsia="宋体" w:cs="宋体"/>
                <w:sz w:val="24"/>
                <w:szCs w:val="24"/>
              </w:rPr>
            </w:pPr>
            <w:r>
              <w:rPr>
                <w:rFonts w:hint="eastAsia" w:ascii="宋体" w:hAnsi="宋体" w:eastAsia="宋体" w:cs="宋体"/>
                <w:b/>
                <w:bCs/>
                <w:spacing w:val="-7"/>
                <w:sz w:val="24"/>
                <w:szCs w:val="24"/>
              </w:rPr>
              <w:t>序号</w:t>
            </w:r>
          </w:p>
        </w:tc>
        <w:tc>
          <w:tcPr>
            <w:tcW w:w="1783" w:type="dxa"/>
            <w:noWrap w:val="0"/>
            <w:vAlign w:val="center"/>
          </w:tcPr>
          <w:p w14:paraId="13FB4FE4">
            <w:pPr>
              <w:pStyle w:val="10"/>
              <w:spacing w:before="145" w:line="224" w:lineRule="auto"/>
              <w:jc w:val="both"/>
              <w:rPr>
                <w:rFonts w:hint="eastAsia" w:ascii="宋体" w:hAnsi="宋体" w:eastAsia="宋体" w:cs="宋体"/>
                <w:sz w:val="24"/>
                <w:szCs w:val="24"/>
              </w:rPr>
            </w:pPr>
            <w:r>
              <w:rPr>
                <w:rFonts w:hint="eastAsia" w:ascii="宋体" w:hAnsi="宋体" w:eastAsia="宋体" w:cs="宋体"/>
                <w:b/>
                <w:bCs/>
                <w:spacing w:val="-6"/>
                <w:sz w:val="24"/>
                <w:szCs w:val="24"/>
              </w:rPr>
              <w:t>商务条款名称</w:t>
            </w:r>
          </w:p>
        </w:tc>
        <w:tc>
          <w:tcPr>
            <w:tcW w:w="7263" w:type="dxa"/>
            <w:noWrap w:val="0"/>
            <w:vAlign w:val="center"/>
          </w:tcPr>
          <w:p w14:paraId="4EE85674">
            <w:pPr>
              <w:pStyle w:val="10"/>
              <w:spacing w:before="144" w:line="224" w:lineRule="auto"/>
              <w:jc w:val="center"/>
              <w:rPr>
                <w:rFonts w:hint="eastAsia" w:ascii="宋体" w:hAnsi="宋体" w:eastAsia="宋体" w:cs="宋体"/>
                <w:sz w:val="24"/>
                <w:szCs w:val="24"/>
              </w:rPr>
            </w:pPr>
            <w:r>
              <w:rPr>
                <w:rFonts w:hint="eastAsia" w:ascii="宋体" w:hAnsi="宋体" w:eastAsia="宋体" w:cs="宋体"/>
                <w:b/>
                <w:bCs/>
                <w:spacing w:val="-9"/>
                <w:sz w:val="24"/>
                <w:szCs w:val="24"/>
              </w:rPr>
              <w:t>需求说明</w:t>
            </w:r>
          </w:p>
        </w:tc>
      </w:tr>
      <w:tr w14:paraId="498FC8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930" w:type="dxa"/>
            <w:noWrap w:val="0"/>
            <w:vAlign w:val="center"/>
          </w:tcPr>
          <w:p w14:paraId="7C5720D8">
            <w:pPr>
              <w:pStyle w:val="10"/>
              <w:spacing w:before="78" w:line="184" w:lineRule="auto"/>
              <w:jc w:val="center"/>
              <w:rPr>
                <w:rFonts w:hint="eastAsia" w:ascii="宋体" w:hAnsi="宋体" w:eastAsia="宋体" w:cs="宋体"/>
                <w:sz w:val="24"/>
                <w:szCs w:val="24"/>
              </w:rPr>
            </w:pPr>
          </w:p>
          <w:p w14:paraId="200EE9B9">
            <w:pPr>
              <w:pStyle w:val="10"/>
              <w:spacing w:before="78" w:line="184"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1783" w:type="dxa"/>
            <w:noWrap w:val="0"/>
            <w:vAlign w:val="center"/>
          </w:tcPr>
          <w:p w14:paraId="785A709F">
            <w:pPr>
              <w:pStyle w:val="10"/>
              <w:spacing w:before="78" w:line="224" w:lineRule="auto"/>
              <w:ind w:firstLine="240" w:firstLineChars="100"/>
              <w:jc w:val="both"/>
              <w:rPr>
                <w:rFonts w:hint="eastAsia" w:ascii="宋体" w:hAnsi="宋体" w:eastAsia="宋体" w:cs="宋体"/>
                <w:sz w:val="24"/>
                <w:szCs w:val="24"/>
              </w:rPr>
            </w:pPr>
            <w:r>
              <w:rPr>
                <w:rFonts w:hint="eastAsia" w:ascii="宋体" w:hAnsi="宋体" w:eastAsia="宋体" w:cs="宋体"/>
                <w:sz w:val="24"/>
                <w:szCs w:val="24"/>
                <w:highlight w:val="none"/>
              </w:rPr>
              <w:t>交付时间</w:t>
            </w:r>
          </w:p>
        </w:tc>
        <w:tc>
          <w:tcPr>
            <w:tcW w:w="7263" w:type="dxa"/>
            <w:noWrap w:val="0"/>
            <w:vAlign w:val="center"/>
          </w:tcPr>
          <w:p w14:paraId="0405354F">
            <w:pPr>
              <w:pStyle w:val="10"/>
              <w:spacing w:before="177" w:line="227" w:lineRule="auto"/>
              <w:ind w:left="35" w:firstLine="480" w:firstLineChars="200"/>
              <w:jc w:val="both"/>
              <w:rPr>
                <w:rFonts w:hint="eastAsia" w:ascii="宋体" w:hAnsi="宋体" w:eastAsia="宋体" w:cs="宋体"/>
                <w:sz w:val="24"/>
                <w:szCs w:val="24"/>
                <w:lang w:eastAsia="zh-CN"/>
              </w:rPr>
            </w:pPr>
            <w:r>
              <w:rPr>
                <w:rFonts w:hint="eastAsia" w:ascii="宋体" w:hAnsi="宋体" w:eastAsia="宋体" w:cs="宋体"/>
                <w:sz w:val="24"/>
                <w:szCs w:val="24"/>
                <w:highlight w:val="none"/>
              </w:rPr>
              <w:t>合同签订后至202</w:t>
            </w: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年1</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月3</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日</w:t>
            </w:r>
            <w:r>
              <w:rPr>
                <w:rFonts w:hint="eastAsia" w:ascii="宋体" w:hAnsi="宋体" w:eastAsia="宋体" w:cs="宋体"/>
                <w:sz w:val="24"/>
                <w:szCs w:val="24"/>
                <w:highlight w:val="none"/>
                <w:lang w:eastAsia="zh-CN"/>
              </w:rPr>
              <w:t>。</w:t>
            </w:r>
          </w:p>
        </w:tc>
      </w:tr>
      <w:tr w14:paraId="39BFD4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930" w:type="dxa"/>
            <w:noWrap w:val="0"/>
            <w:vAlign w:val="center"/>
          </w:tcPr>
          <w:p w14:paraId="54E2C853">
            <w:pPr>
              <w:pStyle w:val="10"/>
              <w:spacing w:before="78" w:line="184"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1783" w:type="dxa"/>
            <w:noWrap w:val="0"/>
            <w:vAlign w:val="center"/>
          </w:tcPr>
          <w:p w14:paraId="071F780A">
            <w:pPr>
              <w:pStyle w:val="10"/>
              <w:spacing w:before="177" w:line="225" w:lineRule="auto"/>
              <w:ind w:left="533"/>
              <w:jc w:val="both"/>
              <w:rPr>
                <w:rFonts w:hint="eastAsia" w:ascii="宋体" w:hAnsi="宋体" w:eastAsia="宋体" w:cs="宋体"/>
                <w:sz w:val="24"/>
                <w:szCs w:val="24"/>
              </w:rPr>
            </w:pPr>
            <w:r>
              <w:rPr>
                <w:rFonts w:hint="eastAsia" w:ascii="宋体" w:hAnsi="宋体" w:eastAsia="宋体" w:cs="宋体"/>
                <w:sz w:val="24"/>
                <w:szCs w:val="24"/>
                <w:highlight w:val="none"/>
              </w:rPr>
              <w:t>地点</w:t>
            </w:r>
          </w:p>
        </w:tc>
        <w:tc>
          <w:tcPr>
            <w:tcW w:w="7263" w:type="dxa"/>
            <w:noWrap w:val="0"/>
            <w:vAlign w:val="center"/>
          </w:tcPr>
          <w:p w14:paraId="73A7B4FD">
            <w:pPr>
              <w:pStyle w:val="10"/>
              <w:spacing w:before="177" w:line="227" w:lineRule="auto"/>
              <w:ind w:left="35" w:firstLine="480" w:firstLineChars="200"/>
              <w:jc w:val="both"/>
              <w:rPr>
                <w:rFonts w:hint="eastAsia" w:ascii="宋体" w:hAnsi="宋体" w:eastAsia="宋体" w:cs="宋体"/>
                <w:sz w:val="24"/>
                <w:szCs w:val="24"/>
              </w:rPr>
            </w:pPr>
            <w:r>
              <w:rPr>
                <w:rFonts w:hint="eastAsia" w:ascii="宋体" w:hAnsi="宋体" w:eastAsia="宋体" w:cs="宋体"/>
                <w:sz w:val="24"/>
                <w:szCs w:val="24"/>
                <w:highlight w:val="none"/>
              </w:rPr>
              <w:t>采购人指定地点。</w:t>
            </w:r>
          </w:p>
        </w:tc>
      </w:tr>
      <w:tr w14:paraId="6FE32B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43" w:hRule="atLeast"/>
        </w:trPr>
        <w:tc>
          <w:tcPr>
            <w:tcW w:w="930" w:type="dxa"/>
            <w:noWrap w:val="0"/>
            <w:vAlign w:val="center"/>
          </w:tcPr>
          <w:p w14:paraId="52E02DEB">
            <w:pPr>
              <w:pStyle w:val="10"/>
              <w:spacing w:before="78" w:line="184" w:lineRule="auto"/>
              <w:jc w:val="center"/>
              <w:rPr>
                <w:rFonts w:hint="eastAsia" w:ascii="宋体" w:hAnsi="宋体" w:eastAsia="宋体" w:cs="宋体"/>
                <w:sz w:val="24"/>
                <w:szCs w:val="24"/>
              </w:rPr>
            </w:pPr>
            <w:r>
              <w:rPr>
                <w:rFonts w:hint="eastAsia" w:ascii="宋体" w:hAnsi="宋体" w:eastAsia="宋体" w:cs="宋体"/>
                <w:sz w:val="24"/>
                <w:szCs w:val="24"/>
              </w:rPr>
              <w:t>3</w:t>
            </w:r>
          </w:p>
        </w:tc>
        <w:tc>
          <w:tcPr>
            <w:tcW w:w="1783" w:type="dxa"/>
            <w:noWrap w:val="0"/>
            <w:vAlign w:val="center"/>
          </w:tcPr>
          <w:p w14:paraId="40033824">
            <w:pPr>
              <w:pStyle w:val="10"/>
              <w:spacing w:before="78" w:line="229" w:lineRule="auto"/>
              <w:jc w:val="center"/>
              <w:rPr>
                <w:rFonts w:hint="eastAsia" w:ascii="宋体" w:hAnsi="宋体" w:eastAsia="宋体" w:cs="宋体"/>
                <w:sz w:val="24"/>
                <w:szCs w:val="24"/>
              </w:rPr>
            </w:pPr>
            <w:r>
              <w:rPr>
                <w:rFonts w:hint="eastAsia" w:ascii="宋体" w:hAnsi="宋体" w:eastAsia="宋体" w:cs="宋体"/>
                <w:sz w:val="24"/>
                <w:szCs w:val="24"/>
                <w:highlight w:val="none"/>
              </w:rPr>
              <w:t>付款进度和方式</w:t>
            </w:r>
          </w:p>
        </w:tc>
        <w:tc>
          <w:tcPr>
            <w:tcW w:w="7263" w:type="dxa"/>
            <w:noWrap w:val="0"/>
            <w:vAlign w:val="center"/>
          </w:tcPr>
          <w:p w14:paraId="0ACDD97C">
            <w:pPr>
              <w:spacing w:line="600" w:lineRule="exact"/>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3.1履约保证金：合同签订后20天内，中标人须向采购人支付合同金额的10%的履约保证金，待服务期验收完成后，采购人在30天内无息退还。</w:t>
            </w:r>
          </w:p>
          <w:p w14:paraId="2C08AE12">
            <w:pPr>
              <w:spacing w:line="600" w:lineRule="exact"/>
              <w:ind w:firstLine="482" w:firstLineChars="200"/>
              <w:jc w:val="left"/>
              <w:textAlignment w:val="center"/>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3.2付款方式：</w:t>
            </w:r>
          </w:p>
          <w:p w14:paraId="0259500F">
            <w:pPr>
              <w:spacing w:line="600" w:lineRule="exact"/>
              <w:ind w:firstLine="480" w:firstLineChars="200"/>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3.2.1 自签订合同且中标人材料齐全后，采购人收到发票10个工作日向中标方支付中标金额的 </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0% 款项</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当中标人已完成活动安排计划60%，开展中期验收，采购人应在收到发票10个工作日内支付</w:t>
            </w:r>
            <w:r>
              <w:rPr>
                <w:rFonts w:hint="eastAsia" w:ascii="宋体" w:hAnsi="宋体" w:eastAsia="宋体" w:cs="宋体"/>
                <w:sz w:val="24"/>
                <w:szCs w:val="24"/>
                <w:highlight w:val="none"/>
                <w:lang w:val="en-US" w:eastAsia="zh-CN"/>
              </w:rPr>
              <w:t>对应</w:t>
            </w:r>
            <w:r>
              <w:rPr>
                <w:rFonts w:hint="eastAsia" w:ascii="宋体" w:hAnsi="宋体" w:eastAsia="宋体" w:cs="宋体"/>
                <w:sz w:val="24"/>
                <w:szCs w:val="24"/>
                <w:highlight w:val="none"/>
              </w:rPr>
              <w:t>款项；当中标人完成所有活动计划后，开展终期验收，并结算专项考核费用，采购人在收到中标人开具的合法发票后，于202</w:t>
            </w: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年12月31日前一次性支付</w:t>
            </w:r>
            <w:r>
              <w:rPr>
                <w:rFonts w:hint="eastAsia" w:ascii="宋体" w:hAnsi="宋体" w:eastAsia="宋体" w:cs="宋体"/>
                <w:sz w:val="24"/>
                <w:szCs w:val="24"/>
                <w:highlight w:val="none"/>
                <w:lang w:val="en-US" w:eastAsia="zh-CN"/>
              </w:rPr>
              <w:t>尾款</w:t>
            </w:r>
            <w:r>
              <w:rPr>
                <w:rFonts w:hint="eastAsia" w:ascii="宋体" w:hAnsi="宋体" w:eastAsia="宋体" w:cs="宋体"/>
                <w:sz w:val="24"/>
                <w:szCs w:val="24"/>
                <w:highlight w:val="none"/>
              </w:rPr>
              <w:t>。</w:t>
            </w:r>
          </w:p>
          <w:p w14:paraId="6BE49002">
            <w:pPr>
              <w:spacing w:line="600" w:lineRule="exact"/>
              <w:ind w:firstLine="480" w:firstLineChars="200"/>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3.2.2 采购人依据</w:t>
            </w:r>
            <w:r>
              <w:rPr>
                <w:rFonts w:hint="eastAsia" w:ascii="宋体" w:hAnsi="宋体" w:eastAsia="宋体" w:cs="宋体"/>
                <w:color w:val="auto"/>
                <w:spacing w:val="0"/>
                <w:position w:val="0"/>
                <w:sz w:val="24"/>
                <w:szCs w:val="24"/>
                <w:lang w:eastAsia="zh-CN"/>
              </w:rPr>
              <w:t>项目</w:t>
            </w:r>
            <w:r>
              <w:rPr>
                <w:rFonts w:hint="eastAsia" w:ascii="宋体" w:hAnsi="宋体" w:eastAsia="宋体" w:cs="宋体"/>
                <w:sz w:val="24"/>
                <w:szCs w:val="24"/>
                <w:highlight w:val="none"/>
              </w:rPr>
              <w:t>具体要求开展验收工作。验收完成后，按照验收结果进行尾款结算。</w:t>
            </w:r>
          </w:p>
          <w:p w14:paraId="50D22FB5">
            <w:pPr>
              <w:spacing w:line="6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highlight w:val="none"/>
              </w:rPr>
              <w:t>3.2.3采购人付款前，中标人须开具合法、等额的发票，否则采购人有权拒绝付款并无需承担违约责任。</w:t>
            </w:r>
          </w:p>
        </w:tc>
      </w:tr>
      <w:tr w14:paraId="085EA8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1" w:hRule="atLeast"/>
        </w:trPr>
        <w:tc>
          <w:tcPr>
            <w:tcW w:w="930" w:type="dxa"/>
            <w:noWrap w:val="0"/>
            <w:vAlign w:val="center"/>
          </w:tcPr>
          <w:p w14:paraId="4DEAFE1D">
            <w:pPr>
              <w:pStyle w:val="10"/>
              <w:spacing w:before="78" w:line="184" w:lineRule="auto"/>
              <w:jc w:val="center"/>
              <w:rPr>
                <w:rFonts w:hint="eastAsia" w:ascii="宋体" w:hAnsi="宋体" w:eastAsia="宋体" w:cs="宋体"/>
                <w:sz w:val="24"/>
                <w:szCs w:val="24"/>
              </w:rPr>
            </w:pPr>
            <w:r>
              <w:rPr>
                <w:rFonts w:hint="eastAsia" w:ascii="宋体" w:hAnsi="宋体" w:eastAsia="宋体" w:cs="宋体"/>
                <w:sz w:val="24"/>
                <w:szCs w:val="24"/>
              </w:rPr>
              <w:t>4</w:t>
            </w:r>
          </w:p>
        </w:tc>
        <w:tc>
          <w:tcPr>
            <w:tcW w:w="1783" w:type="dxa"/>
            <w:noWrap w:val="0"/>
            <w:vAlign w:val="center"/>
          </w:tcPr>
          <w:p w14:paraId="0DC4A1ED">
            <w:pPr>
              <w:pStyle w:val="10"/>
              <w:spacing w:before="78" w:line="229" w:lineRule="auto"/>
              <w:jc w:val="center"/>
              <w:rPr>
                <w:rFonts w:hint="eastAsia" w:ascii="宋体" w:hAnsi="宋体" w:eastAsia="宋体" w:cs="宋体"/>
                <w:sz w:val="24"/>
                <w:szCs w:val="24"/>
                <w:highlight w:val="none"/>
              </w:rPr>
            </w:pPr>
          </w:p>
          <w:p w14:paraId="3FD2C552">
            <w:pPr>
              <w:pStyle w:val="10"/>
              <w:spacing w:before="78" w:line="229"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报价要求</w:t>
            </w:r>
          </w:p>
          <w:p w14:paraId="77B77174">
            <w:pPr>
              <w:pStyle w:val="10"/>
              <w:spacing w:before="78" w:line="231" w:lineRule="auto"/>
              <w:ind w:left="539"/>
              <w:jc w:val="center"/>
              <w:rPr>
                <w:rFonts w:hint="eastAsia" w:ascii="宋体" w:hAnsi="宋体" w:eastAsia="宋体" w:cs="宋体"/>
                <w:sz w:val="24"/>
                <w:szCs w:val="24"/>
              </w:rPr>
            </w:pPr>
          </w:p>
        </w:tc>
        <w:tc>
          <w:tcPr>
            <w:tcW w:w="7263" w:type="dxa"/>
            <w:noWrap w:val="0"/>
            <w:vAlign w:val="center"/>
          </w:tcPr>
          <w:p w14:paraId="3412D6D1">
            <w:pPr>
              <w:spacing w:line="600" w:lineRule="exact"/>
              <w:ind w:firstLine="480" w:firstLineChars="200"/>
              <w:jc w:val="left"/>
              <w:textAlignment w:val="center"/>
              <w:rPr>
                <w:rFonts w:hint="eastAsia" w:ascii="宋体" w:hAnsi="宋体" w:eastAsia="宋体" w:cs="宋体"/>
                <w:sz w:val="24"/>
                <w:szCs w:val="24"/>
              </w:rPr>
            </w:pPr>
            <w:r>
              <w:rPr>
                <w:rFonts w:hint="eastAsia" w:ascii="宋体" w:hAnsi="宋体" w:eastAsia="宋体" w:cs="宋体"/>
                <w:sz w:val="24"/>
                <w:szCs w:val="24"/>
                <w:highlight w:val="none"/>
              </w:rPr>
              <w:t>报价包含线下招聘会场展位（或线上招聘网络专区设置）、招聘海报等物料的设计制作、参会单位餐食及矿泉水等、网络、硬件、软件配套设施安排等服务全部费用。</w:t>
            </w:r>
          </w:p>
        </w:tc>
      </w:tr>
      <w:tr w14:paraId="259C74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4" w:hRule="atLeast"/>
        </w:trPr>
        <w:tc>
          <w:tcPr>
            <w:tcW w:w="930" w:type="dxa"/>
            <w:noWrap w:val="0"/>
            <w:vAlign w:val="center"/>
          </w:tcPr>
          <w:p w14:paraId="0C98F425">
            <w:pPr>
              <w:pStyle w:val="10"/>
              <w:spacing w:before="78" w:line="184"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1783" w:type="dxa"/>
            <w:noWrap w:val="0"/>
            <w:vAlign w:val="center"/>
          </w:tcPr>
          <w:p w14:paraId="3316E7A5">
            <w:pPr>
              <w:pStyle w:val="10"/>
              <w:spacing w:before="78" w:line="229"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项目验收</w:t>
            </w:r>
          </w:p>
        </w:tc>
        <w:tc>
          <w:tcPr>
            <w:tcW w:w="7263" w:type="dxa"/>
            <w:noWrap w:val="0"/>
            <w:vAlign w:val="center"/>
          </w:tcPr>
          <w:p w14:paraId="24E10578">
            <w:pPr>
              <w:pStyle w:val="3"/>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采购人在收到验收申请后的七个工作日内，组织相关专业人员进行验收。验收合格，双方在验收报告上签字。中标人发出书面验收通知，采购人组织成立验收组，组织相关人员依照相关规范、要求、合同及有关附件要求进行验收。</w:t>
            </w:r>
          </w:p>
          <w:p w14:paraId="390F116D">
            <w:pPr>
              <w:pStyle w:val="3"/>
              <w:spacing w:line="360" w:lineRule="auto"/>
              <w:ind w:firstLine="480" w:firstLineChars="200"/>
              <w:rPr>
                <w:rFonts w:hint="eastAsia" w:ascii="宋体" w:hAnsi="宋体" w:eastAsia="宋体" w:cs="宋体"/>
                <w:b w:val="0"/>
                <w:bCs/>
                <w:sz w:val="24"/>
                <w:szCs w:val="24"/>
                <w:lang w:val="en-US" w:eastAsia="zh-CN"/>
              </w:rPr>
            </w:pPr>
            <w:r>
              <w:rPr>
                <w:rFonts w:hint="eastAsia" w:ascii="宋体" w:hAnsi="宋体" w:eastAsia="宋体" w:cs="宋体"/>
                <w:b w:val="0"/>
                <w:bCs/>
                <w:sz w:val="24"/>
                <w:szCs w:val="24"/>
                <w:lang w:val="en-US" w:eastAsia="zh-CN"/>
              </w:rPr>
              <w:t>履约验收内容：中标人应按约定数量、质量和时间进度要求在相应地点开展现场活动和进行相关宣传。中标人在各现场活动应拍摄照片，对展板典型和宣传材料等相关宣传内容以实物、照片等方式记录。中标人将网站宣传、微信端宣传、会场桁架、会场照片等会务照片及宣传材料拍照或截图汇集成册后，交采购人留存备案，以上材料亦是采购人验收的依据。</w:t>
            </w:r>
          </w:p>
          <w:p w14:paraId="7EE5FB37">
            <w:pPr>
              <w:pStyle w:val="3"/>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b w:val="0"/>
                <w:bCs/>
                <w:sz w:val="24"/>
                <w:szCs w:val="24"/>
                <w:lang w:val="en-US" w:eastAsia="zh-CN"/>
              </w:rPr>
              <w:t>履约验收验收标准：必须符合国家有关技术规范和质量标准、招标文件要求、环保标准或行业标准，验收不合格、存在质量或服务问题，中标人必须返工，产生的一切经济损失由中标人承担。</w:t>
            </w:r>
          </w:p>
        </w:tc>
      </w:tr>
      <w:tr w14:paraId="770C53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8" w:hRule="atLeast"/>
        </w:trPr>
        <w:tc>
          <w:tcPr>
            <w:tcW w:w="930" w:type="dxa"/>
            <w:noWrap w:val="0"/>
            <w:vAlign w:val="center"/>
          </w:tcPr>
          <w:p w14:paraId="466F7B59">
            <w:pPr>
              <w:pStyle w:val="10"/>
              <w:spacing w:before="78" w:line="184"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6</w:t>
            </w:r>
          </w:p>
        </w:tc>
        <w:tc>
          <w:tcPr>
            <w:tcW w:w="1783" w:type="dxa"/>
            <w:noWrap w:val="0"/>
            <w:vAlign w:val="center"/>
          </w:tcPr>
          <w:p w14:paraId="50CC17C2">
            <w:pPr>
              <w:pStyle w:val="10"/>
              <w:spacing w:before="178" w:line="223" w:lineRule="auto"/>
              <w:ind w:firstLine="240" w:firstLineChars="100"/>
              <w:jc w:val="both"/>
              <w:rPr>
                <w:rFonts w:hint="eastAsia" w:ascii="宋体" w:hAnsi="宋体" w:eastAsia="宋体" w:cs="宋体"/>
                <w:sz w:val="24"/>
                <w:szCs w:val="24"/>
              </w:rPr>
            </w:pPr>
            <w:r>
              <w:rPr>
                <w:rFonts w:hint="eastAsia" w:ascii="宋体" w:hAnsi="宋体" w:eastAsia="宋体" w:cs="宋体"/>
                <w:sz w:val="24"/>
                <w:szCs w:val="24"/>
                <w:highlight w:val="none"/>
              </w:rPr>
              <w:t>售后服务</w:t>
            </w:r>
          </w:p>
        </w:tc>
        <w:tc>
          <w:tcPr>
            <w:tcW w:w="7263" w:type="dxa"/>
            <w:noWrap w:val="0"/>
            <w:vAlign w:val="center"/>
          </w:tcPr>
          <w:p w14:paraId="4DF29A44">
            <w:pPr>
              <w:spacing w:line="600" w:lineRule="exact"/>
              <w:ind w:firstLine="480" w:firstLineChars="200"/>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.1.按采购需求中“技术要求”的内容为采购人、用人单位、求职人员提供相应线上线下招聘会配套会务服务。</w:t>
            </w:r>
          </w:p>
          <w:p w14:paraId="0F61FD7F">
            <w:pPr>
              <w:spacing w:line="600" w:lineRule="exact"/>
              <w:ind w:firstLine="480" w:firstLineChars="200"/>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.2.每次活动结束次日按要求提供会后统计数据；全部活动结束后需在五个工作日内提供线上线下招聘活动总结和会后统计数据。</w:t>
            </w:r>
          </w:p>
          <w:p w14:paraId="33A66675">
            <w:pPr>
              <w:spacing w:line="600" w:lineRule="exact"/>
              <w:ind w:firstLine="480" w:firstLineChars="200"/>
              <w:jc w:val="left"/>
              <w:textAlignment w:val="center"/>
              <w:rPr>
                <w:rFonts w:hint="eastAsia" w:ascii="宋体" w:hAnsi="宋体" w:eastAsia="宋体" w:cs="宋体"/>
                <w:sz w:val="24"/>
                <w:szCs w:val="24"/>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.3.投标人在会务期间需提供24小时随时响应服务。</w:t>
            </w:r>
          </w:p>
        </w:tc>
      </w:tr>
      <w:tr w14:paraId="766ECC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8" w:hRule="atLeast"/>
        </w:trPr>
        <w:tc>
          <w:tcPr>
            <w:tcW w:w="930" w:type="dxa"/>
            <w:noWrap w:val="0"/>
            <w:vAlign w:val="center"/>
          </w:tcPr>
          <w:p w14:paraId="4C61AF0B">
            <w:pPr>
              <w:pStyle w:val="10"/>
              <w:spacing w:before="78" w:line="184" w:lineRule="auto"/>
              <w:jc w:val="center"/>
              <w:rPr>
                <w:rFonts w:hint="eastAsia" w:ascii="宋体" w:hAnsi="宋体" w:eastAsia="宋体" w:cs="宋体"/>
                <w:sz w:val="24"/>
                <w:szCs w:val="24"/>
                <w:lang w:eastAsia="zh-CN"/>
              </w:rPr>
            </w:pPr>
            <w:r>
              <w:rPr>
                <w:rFonts w:hint="eastAsia" w:ascii="宋体" w:hAnsi="宋体" w:eastAsia="宋体" w:cs="宋体"/>
                <w:sz w:val="24"/>
                <w:szCs w:val="24"/>
                <w:lang w:val="en-US" w:eastAsia="zh-CN"/>
              </w:rPr>
              <w:t>7</w:t>
            </w:r>
          </w:p>
        </w:tc>
        <w:tc>
          <w:tcPr>
            <w:tcW w:w="1783" w:type="dxa"/>
            <w:noWrap w:val="0"/>
            <w:vAlign w:val="center"/>
          </w:tcPr>
          <w:p w14:paraId="2366CA05">
            <w:pPr>
              <w:pStyle w:val="10"/>
              <w:spacing w:before="178" w:line="223" w:lineRule="auto"/>
              <w:jc w:val="center"/>
              <w:rPr>
                <w:rFonts w:hint="eastAsia" w:ascii="宋体" w:hAnsi="宋体" w:eastAsia="宋体" w:cs="宋体"/>
                <w:sz w:val="24"/>
                <w:szCs w:val="24"/>
              </w:rPr>
            </w:pPr>
            <w:r>
              <w:rPr>
                <w:rFonts w:hint="eastAsia" w:ascii="宋体" w:hAnsi="宋体" w:eastAsia="宋体" w:cs="宋体"/>
                <w:sz w:val="24"/>
                <w:szCs w:val="24"/>
                <w:highlight w:val="none"/>
              </w:rPr>
              <w:t>保险</w:t>
            </w:r>
          </w:p>
        </w:tc>
        <w:tc>
          <w:tcPr>
            <w:tcW w:w="7263" w:type="dxa"/>
            <w:noWrap w:val="0"/>
            <w:vAlign w:val="center"/>
          </w:tcPr>
          <w:p w14:paraId="03CD9667">
            <w:pPr>
              <w:spacing w:line="600" w:lineRule="exact"/>
              <w:ind w:firstLine="480" w:firstLineChars="200"/>
              <w:jc w:val="left"/>
              <w:rPr>
                <w:rFonts w:hint="eastAsia" w:ascii="宋体" w:hAnsi="宋体" w:eastAsia="宋体" w:cs="宋体"/>
                <w:sz w:val="24"/>
                <w:szCs w:val="24"/>
              </w:rPr>
            </w:pPr>
            <w:r>
              <w:rPr>
                <w:rFonts w:hint="eastAsia" w:ascii="宋体" w:hAnsi="宋体" w:eastAsia="宋体" w:cs="宋体"/>
                <w:sz w:val="24"/>
                <w:szCs w:val="24"/>
                <w:highlight w:val="none"/>
              </w:rPr>
              <w:t>举办线下招聘活动之前，需为对应活动购买“公众责任险”。</w:t>
            </w:r>
          </w:p>
        </w:tc>
      </w:tr>
      <w:tr w14:paraId="622653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8" w:hRule="atLeast"/>
        </w:trPr>
        <w:tc>
          <w:tcPr>
            <w:tcW w:w="930" w:type="dxa"/>
            <w:noWrap w:val="0"/>
            <w:vAlign w:val="center"/>
          </w:tcPr>
          <w:p w14:paraId="3413F315">
            <w:pPr>
              <w:pStyle w:val="10"/>
              <w:spacing w:before="78" w:line="184"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p>
        </w:tc>
        <w:tc>
          <w:tcPr>
            <w:tcW w:w="1783" w:type="dxa"/>
            <w:noWrap w:val="0"/>
            <w:vAlign w:val="center"/>
          </w:tcPr>
          <w:p w14:paraId="7695EF67">
            <w:pPr>
              <w:pStyle w:val="10"/>
              <w:spacing w:before="178" w:line="223"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知识产权</w:t>
            </w:r>
          </w:p>
        </w:tc>
        <w:tc>
          <w:tcPr>
            <w:tcW w:w="7263" w:type="dxa"/>
            <w:noWrap w:val="0"/>
            <w:vAlign w:val="center"/>
          </w:tcPr>
          <w:p w14:paraId="4AB91866">
            <w:pPr>
              <w:spacing w:line="600" w:lineRule="exact"/>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rPr>
              <w:t>投标人应保证本项目服务过程中涉及的任何部分不受任何关于侵犯所有权和工业产权、著作权（版权）等知识产权的指控。如果任何第三方提出侵权指控，投标人承担一切责任，给采购人造成损失的，赔偿采购人损失。</w:t>
            </w:r>
          </w:p>
        </w:tc>
      </w:tr>
    </w:tbl>
    <w:p w14:paraId="73B18C34">
      <w:pPr>
        <w:pStyle w:val="2"/>
        <w:numPr>
          <w:ilvl w:val="0"/>
          <w:numId w:val="0"/>
        </w:numPr>
        <w:spacing w:before="0" w:after="0"/>
        <w:jc w:val="center"/>
        <w:rPr>
          <w:rFonts w:hint="default" w:ascii="宋体" w:hAnsi="宋体" w:eastAsia="宋体" w:cs="宋体"/>
          <w:bCs/>
          <w:color w:val="000000"/>
          <w:sz w:val="28"/>
          <w:szCs w:val="28"/>
          <w:highlight w:val="yellow"/>
          <w:lang w:val="en-US" w:eastAsia="zh-CN"/>
        </w:rPr>
      </w:pPr>
    </w:p>
    <w:p w14:paraId="284D6483">
      <w:pPr>
        <w:spacing w:line="400" w:lineRule="exact"/>
        <w:rPr>
          <w:rFonts w:hint="eastAsia" w:ascii="宋体" w:hAnsi="宋体" w:eastAsia="宋体" w:cs="宋体"/>
          <w:b/>
          <w:bCs/>
          <w:color w:val="000000"/>
          <w:spacing w:val="2"/>
          <w:kern w:val="0"/>
          <w:sz w:val="24"/>
          <w:szCs w:val="24"/>
          <w:lang w:eastAsia="zh-CN"/>
        </w:rPr>
      </w:pPr>
      <w:r>
        <w:rPr>
          <w:rFonts w:hint="eastAsia" w:ascii="宋体" w:hAnsi="宋体" w:eastAsia="宋体" w:cs="宋体"/>
          <w:b/>
          <w:bCs/>
          <w:color w:val="000000"/>
          <w:spacing w:val="2"/>
          <w:kern w:val="0"/>
          <w:sz w:val="24"/>
          <w:szCs w:val="24"/>
        </w:rPr>
        <w:t>注：以上“商务要求”为实质性条款须完全响应，否则投标无效</w:t>
      </w:r>
      <w:r>
        <w:rPr>
          <w:rFonts w:hint="eastAsia" w:ascii="宋体" w:hAnsi="宋体" w:eastAsia="宋体" w:cs="宋体"/>
          <w:b/>
          <w:bCs/>
          <w:color w:val="000000"/>
          <w:spacing w:val="2"/>
          <w:kern w:val="0"/>
          <w:sz w:val="24"/>
          <w:szCs w:val="24"/>
          <w:lang w:eastAsia="zh-CN"/>
        </w:rPr>
        <w:t>。</w:t>
      </w:r>
    </w:p>
    <w:p w14:paraId="21B164CD">
      <w:pPr>
        <w:spacing w:line="400" w:lineRule="exact"/>
        <w:rPr>
          <w:rFonts w:hint="eastAsia" w:ascii="宋体" w:hAnsi="宋体" w:eastAsia="宋体" w:cs="宋体"/>
          <w:b/>
          <w:bCs/>
          <w:color w:val="000000"/>
          <w:spacing w:val="2"/>
          <w:kern w:val="0"/>
          <w:sz w:val="24"/>
          <w:szCs w:val="24"/>
          <w:lang w:eastAsia="zh-CN"/>
        </w:rPr>
      </w:pPr>
    </w:p>
    <w:p w14:paraId="1E9C52B5">
      <w:pPr>
        <w:pageBreakBefore w:val="0"/>
        <w:widowControl w:val="0"/>
        <w:wordWrap/>
        <w:overflowPunct/>
        <w:topLinePunct w:val="0"/>
        <w:bidi w:val="0"/>
        <w:spacing w:line="249" w:lineRule="auto"/>
        <w:rPr>
          <w:color w:val="auto"/>
          <w:spacing w:val="0"/>
          <w:position w:val="0"/>
          <w:lang w:eastAsia="zh-CN"/>
        </w:rPr>
      </w:pPr>
    </w:p>
    <w:p w14:paraId="30C9F6A9">
      <w:pPr>
        <w:pageBreakBefore w:val="0"/>
        <w:widowControl w:val="0"/>
        <w:wordWrap/>
        <w:overflowPunct/>
        <w:topLinePunct w:val="0"/>
        <w:bidi w:val="0"/>
        <w:spacing w:line="283" w:lineRule="auto"/>
        <w:rPr>
          <w:color w:val="auto"/>
          <w:spacing w:val="0"/>
          <w:position w:val="0"/>
          <w:lang w:eastAsia="zh-CN"/>
        </w:rPr>
      </w:pPr>
    </w:p>
    <w:p w14:paraId="4847F052"/>
    <w:sectPr>
      <w:pgSz w:w="11906" w:h="16838"/>
      <w:pgMar w:top="1247" w:right="1247" w:bottom="1247" w:left="124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9C9D98">
    <w:pPr>
      <w:pStyle w:val="5"/>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5A07CA8">
                          <w:pPr>
                            <w:pStyle w:val="5"/>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vgJmo5AgAAc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s0lY7tAAAAAFAQAADwAAAAAAAAABACAAAAAiAAAAZHJzL2Rvd25yZXYueG1s&#10;UEsBAhQAFAAAAAgAh07iQKvgJmo5AgAAcQQAAA4AAAAAAAAAAQAgAAAAHwEAAGRycy9lMm9Eb2Mu&#10;eG1sUEsFBgAAAAAGAAYAWQEAAMoFAAAAAA==&#10;">
              <v:path/>
              <v:fill on="f" focussize="0,0"/>
              <v:stroke on="f" weight="0.5pt"/>
              <v:imagedata o:title=""/>
              <o:lock v:ext="edit" aspectratio="f"/>
              <v:textbox inset="0mm,0mm,0mm,0mm" style="mso-fit-shape-to-text:t;">
                <w:txbxContent>
                  <w:p w14:paraId="75A07CA8">
                    <w:pPr>
                      <w:pStyle w:val="5"/>
                    </w:pPr>
                    <w:r>
                      <w:fldChar w:fldCharType="begin"/>
                    </w:r>
                    <w:r>
                      <w:instrText xml:space="preserve"> PAGE  \* MERGEFORMAT </w:instrText>
                    </w:r>
                    <w:r>
                      <w:fldChar w:fldCharType="separate"/>
                    </w:r>
                    <w:r>
                      <w:t>58</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A93E02"/>
    <w:rsid w:val="5FA93E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Plain Text"/>
    <w:basedOn w:val="1"/>
    <w:qFormat/>
    <w:uiPriority w:val="0"/>
    <w:rPr>
      <w:rFonts w:ascii="宋体" w:hAnsi="Courier New"/>
      <w:kern w:val="0"/>
      <w:sz w:val="20"/>
      <w:szCs w:val="21"/>
    </w:rPr>
  </w:style>
  <w:style w:type="paragraph" w:styleId="4">
    <w:name w:val="Body Text Indent 2"/>
    <w:basedOn w:val="1"/>
    <w:qFormat/>
    <w:uiPriority w:val="0"/>
    <w:pPr>
      <w:spacing w:after="120" w:line="480" w:lineRule="auto"/>
      <w:ind w:left="420" w:leftChars="200"/>
    </w:pPr>
  </w:style>
  <w:style w:type="paragraph" w:styleId="5">
    <w:name w:val="footer"/>
    <w:basedOn w:val="1"/>
    <w:qFormat/>
    <w:uiPriority w:val="0"/>
    <w:pPr>
      <w:tabs>
        <w:tab w:val="center" w:pos="4153"/>
        <w:tab w:val="right" w:pos="8306"/>
      </w:tabs>
    </w:pPr>
    <w:rPr>
      <w:sz w:val="18"/>
    </w:rPr>
  </w:style>
  <w:style w:type="character" w:styleId="8">
    <w:name w:val="Strong"/>
    <w:basedOn w:val="7"/>
    <w:qFormat/>
    <w:uiPriority w:val="0"/>
    <w:rPr>
      <w:b/>
    </w:rPr>
  </w:style>
  <w:style w:type="table" w:customStyle="1" w:styleId="9">
    <w:name w:val="Table Normal"/>
    <w:unhideWhenUsed/>
    <w:qFormat/>
    <w:uiPriority w:val="0"/>
    <w:tblPr>
      <w:tblCellMar>
        <w:top w:w="0" w:type="dxa"/>
        <w:left w:w="0" w:type="dxa"/>
        <w:bottom w:w="0" w:type="dxa"/>
        <w:right w:w="0" w:type="dxa"/>
      </w:tblCellMar>
    </w:tblPr>
  </w:style>
  <w:style w:type="paragraph" w:customStyle="1" w:styleId="10">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2026-05-13T02:34:00Z</dcterms:created>
  <dc:creator>曹</dc:creator>
  <cp:lastModifiedBy>曹</cp:lastModifiedBy>
  <dcterms:modified xsi:type="dcterms:W3CDTF">2026-05-13T02:34:57Z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938AB105C08D4A17B612221CDF1AD6A1_11</vt:lpwstr>
  </property>
  <property fmtid="{D5CDD505-2E9C-101B-9397-08002B2CF9AE}" pid="4" name="KSOTemplateDocerSaveRecord">
    <vt:lpwstr>eyJoZGlkIjoiYmU5ZjcxYjU2ZTVkMDk4OTc5OWZmZjBlNTgzYzliZDYiLCJ1c2VySWQiOiIzNDE4OTM1NDkifQ==</vt:lpwstr>
  </property>
</Properties>
</file>