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numPr>
          <w:ilvl w:val="0"/>
          <w:numId w:val="0"/>
        </w:numPr>
        <w:wordWrap/>
        <w:overflowPunct/>
        <w:topLinePunct w:val="0"/>
        <w:bidi w:val="0"/>
        <w:spacing w:before="78" w:line="219" w:lineRule="auto"/>
        <w:jc w:val="center"/>
        <w:rPr>
          <w:rFonts w:ascii="宋体" w:hAnsi="宋体" w:eastAsia="宋体" w:cs="宋体"/>
          <w:b/>
          <w:bCs/>
          <w:color w:val="auto"/>
          <w:spacing w:val="-5"/>
          <w:sz w:val="24"/>
          <w:szCs w:val="24"/>
          <w:highlight w:val="none"/>
        </w:rPr>
      </w:pPr>
      <w:bookmarkStart w:id="0" w:name="_GoBack"/>
      <w:r>
        <w:rPr>
          <w:rFonts w:hint="eastAsia" w:ascii="宋体" w:hAnsi="宋体" w:eastAsia="宋体" w:cs="宋体"/>
          <w:b/>
          <w:bCs/>
          <w:color w:val="auto"/>
          <w:spacing w:val="-5"/>
          <w:sz w:val="52"/>
          <w:szCs w:val="52"/>
          <w:highlight w:val="none"/>
          <w:lang w:val="en-US" w:eastAsia="zh-CN"/>
        </w:rPr>
        <w:t>服务</w:t>
      </w:r>
      <w:r>
        <w:rPr>
          <w:rFonts w:ascii="宋体" w:hAnsi="宋体" w:eastAsia="宋体" w:cs="宋体"/>
          <w:b/>
          <w:bCs/>
          <w:color w:val="auto"/>
          <w:spacing w:val="-5"/>
          <w:sz w:val="52"/>
          <w:szCs w:val="52"/>
          <w:highlight w:val="none"/>
        </w:rPr>
        <w:t>需求</w:t>
      </w:r>
    </w:p>
    <w:bookmarkEnd w:id="0"/>
    <w:p w14:paraId="12C013BC">
      <w:pPr>
        <w:pStyle w:val="7"/>
        <w:keepNext/>
        <w:keepLines/>
        <w:spacing w:after="0" w:line="360" w:lineRule="auto"/>
        <w:jc w:val="left"/>
        <w:rPr>
          <w:rFonts w:hint="eastAsia" w:ascii="Times New Roman" w:hAnsi="Times New Roman" w:cs="Times New Roman"/>
          <w:b/>
          <w:bCs/>
          <w:color w:val="auto"/>
          <w:sz w:val="24"/>
          <w:szCs w:val="24"/>
          <w:highlight w:val="none"/>
          <w:lang w:val="en-US" w:eastAsia="zh-CN"/>
        </w:rPr>
      </w:pPr>
    </w:p>
    <w:p w14:paraId="19D67986">
      <w:pPr>
        <w:pStyle w:val="7"/>
        <w:keepNext/>
        <w:keepLines/>
        <w:spacing w:after="0" w:line="360" w:lineRule="auto"/>
        <w:jc w:val="left"/>
        <w:rPr>
          <w:rFonts w:hint="eastAsia" w:ascii="Times New Roman" w:hAnsi="Times New Roman" w:cs="Times New Roman"/>
          <w:b/>
          <w:bCs/>
          <w:color w:val="auto"/>
          <w:sz w:val="24"/>
          <w:szCs w:val="24"/>
          <w:highlight w:val="none"/>
          <w:lang w:val="en-US" w:eastAsia="zh-CN"/>
        </w:rPr>
      </w:pPr>
    </w:p>
    <w:p w14:paraId="2D7CC7F3">
      <w:pPr>
        <w:pStyle w:val="7"/>
        <w:keepNext/>
        <w:keepLines/>
        <w:spacing w:after="0" w:line="360" w:lineRule="auto"/>
        <w:jc w:val="left"/>
        <w:rPr>
          <w:rFonts w:ascii="Times New Roman" w:hAnsi="Times New Roman" w:cs="Times New Roman"/>
          <w:color w:val="auto"/>
          <w:sz w:val="24"/>
          <w:szCs w:val="24"/>
          <w:highlight w:val="none"/>
          <w:lang w:eastAsia="zh-CN"/>
        </w:rPr>
      </w:pPr>
      <w:r>
        <w:rPr>
          <w:rFonts w:hint="eastAsia" w:ascii="Times New Roman" w:hAnsi="Times New Roman" w:cs="Times New Roman"/>
          <w:b/>
          <w:bCs/>
          <w:color w:val="auto"/>
          <w:sz w:val="24"/>
          <w:szCs w:val="24"/>
          <w:highlight w:val="none"/>
          <w:lang w:val="en-US" w:eastAsia="zh-CN"/>
        </w:rPr>
        <w:t>1.1</w:t>
      </w:r>
      <w:r>
        <w:rPr>
          <w:rFonts w:ascii="Times New Roman" w:hAnsi="Times New Roman" w:cs="Times New Roman"/>
          <w:b/>
          <w:bCs/>
          <w:color w:val="auto"/>
          <w:sz w:val="24"/>
          <w:szCs w:val="24"/>
          <w:highlight w:val="none"/>
          <w:lang w:eastAsia="zh-CN"/>
        </w:rPr>
        <w:t>项目概况</w:t>
      </w:r>
    </w:p>
    <w:p w14:paraId="0FD36E91">
      <w:pPr>
        <w:pStyle w:val="8"/>
        <w:spacing w:line="360" w:lineRule="auto"/>
        <w:ind w:firstLine="480"/>
        <w:rPr>
          <w:rFonts w:hint="eastAsia" w:ascii="宋体" w:hAnsi="宋体" w:eastAsia="宋体" w:cs="宋体"/>
          <w:color w:val="auto"/>
          <w:sz w:val="24"/>
          <w:szCs w:val="24"/>
          <w:highlight w:val="none"/>
          <w:lang w:val="en-US" w:eastAsia="zh-CN" w:bidi="en-US"/>
        </w:rPr>
      </w:pPr>
      <w:r>
        <w:rPr>
          <w:rFonts w:hint="eastAsia" w:ascii="宋体" w:hAnsi="宋体" w:eastAsia="宋体" w:cs="宋体"/>
          <w:b/>
          <w:bCs/>
          <w:color w:val="auto"/>
          <w:sz w:val="24"/>
          <w:szCs w:val="24"/>
          <w:highlight w:val="none"/>
          <w:lang w:eastAsia="zh-CN"/>
        </w:rPr>
        <w:t>项目名称：</w:t>
      </w:r>
      <w:r>
        <w:rPr>
          <w:rFonts w:hint="eastAsia" w:ascii="宋体" w:hAnsi="宋体" w:eastAsia="宋体" w:cs="宋体"/>
          <w:color w:val="auto"/>
          <w:sz w:val="24"/>
          <w:szCs w:val="24"/>
          <w:highlight w:val="none"/>
          <w:lang w:val="en-US" w:eastAsia="zh-CN"/>
        </w:rPr>
        <w:t>2026年临川区受污染耕地与严格管控项目</w:t>
      </w:r>
    </w:p>
    <w:p w14:paraId="3D333194">
      <w:pPr>
        <w:pStyle w:val="8"/>
        <w:spacing w:line="360" w:lineRule="auto"/>
        <w:ind w:firstLine="480"/>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项目周期</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合同签订之日起</w:t>
      </w:r>
      <w:r>
        <w:rPr>
          <w:rFonts w:hint="eastAsia" w:ascii="宋体" w:hAnsi="宋体" w:eastAsia="宋体" w:cs="宋体"/>
          <w:color w:val="auto"/>
          <w:sz w:val="24"/>
          <w:szCs w:val="24"/>
          <w:highlight w:val="none"/>
          <w:lang w:eastAsia="zh-CN"/>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年12月</w:t>
      </w:r>
    </w:p>
    <w:p w14:paraId="1D1E36D7">
      <w:pPr>
        <w:pStyle w:val="8"/>
        <w:spacing w:line="360" w:lineRule="auto"/>
        <w:ind w:firstLine="480"/>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项目单位：</w:t>
      </w:r>
      <w:r>
        <w:rPr>
          <w:rFonts w:hint="eastAsia" w:ascii="宋体" w:hAnsi="宋体" w:eastAsia="宋体" w:cs="宋体"/>
          <w:color w:val="auto"/>
          <w:sz w:val="24"/>
          <w:szCs w:val="24"/>
          <w:highlight w:val="none"/>
          <w:lang w:val="en-US" w:eastAsia="zh-CN"/>
        </w:rPr>
        <w:t>临川区</w:t>
      </w:r>
      <w:r>
        <w:rPr>
          <w:rFonts w:hint="eastAsia" w:ascii="宋体" w:hAnsi="宋体" w:eastAsia="宋体" w:cs="宋体"/>
          <w:color w:val="auto"/>
          <w:sz w:val="24"/>
          <w:szCs w:val="24"/>
          <w:highlight w:val="none"/>
          <w:lang w:eastAsia="zh-CN"/>
        </w:rPr>
        <w:t>农业农村局</w:t>
      </w:r>
    </w:p>
    <w:p w14:paraId="0D58D23D">
      <w:pPr>
        <w:pStyle w:val="8"/>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rPr>
        <w:t>任务面积：</w:t>
      </w:r>
      <w:r>
        <w:rPr>
          <w:rFonts w:hint="eastAsia" w:ascii="宋体" w:hAnsi="宋体" w:eastAsia="宋体" w:cs="宋体"/>
          <w:color w:val="auto"/>
          <w:sz w:val="24"/>
          <w:szCs w:val="24"/>
          <w:highlight w:val="none"/>
          <w:lang w:val="en-US" w:eastAsia="zh-CN" w:bidi="en-US"/>
        </w:rPr>
        <w:t>1623.93亩（安全利用类1046.03亩，其中</w:t>
      </w:r>
      <w:r>
        <w:rPr>
          <w:rFonts w:hint="eastAsia" w:ascii="宋体" w:hAnsi="宋体" w:eastAsia="宋体" w:cs="宋体"/>
          <w:color w:val="auto"/>
          <w:sz w:val="24"/>
          <w:szCs w:val="24"/>
          <w:highlight w:val="none"/>
          <w:lang w:val="en-US" w:eastAsia="zh-CN"/>
        </w:rPr>
        <w:t>水田593.08亩，均为中稻，</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其中320亩在临川生态环境局项目区内，40亩在优先保护区内</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种植结构调整面积438亩，休耕14.95亩；</w:t>
      </w:r>
      <w:r>
        <w:rPr>
          <w:rFonts w:hint="eastAsia" w:ascii="宋体" w:hAnsi="宋体" w:eastAsia="宋体" w:cs="宋体"/>
          <w:color w:val="auto"/>
          <w:sz w:val="24"/>
          <w:szCs w:val="24"/>
          <w:highlight w:val="none"/>
          <w:lang w:val="en-US" w:eastAsia="zh-CN" w:bidi="en-US"/>
        </w:rPr>
        <w:t>严格管控类577.9亩。）</w:t>
      </w:r>
    </w:p>
    <w:p w14:paraId="0CDF5F5F">
      <w:pPr>
        <w:pStyle w:val="8"/>
        <w:spacing w:line="360" w:lineRule="auto"/>
        <w:ind w:firstLine="499"/>
        <w:jc w:val="both"/>
        <w:rPr>
          <w:rFonts w:ascii="Times New Roman" w:hAnsi="Times New Roman" w:cs="Times New Roman"/>
          <w:color w:val="auto"/>
          <w:sz w:val="24"/>
          <w:szCs w:val="24"/>
          <w:highlight w:val="none"/>
          <w:lang w:val="en-US" w:eastAsia="zh-CN"/>
        </w:rPr>
      </w:pPr>
      <w:r>
        <w:rPr>
          <w:rFonts w:hint="eastAsia" w:ascii="宋体" w:hAnsi="宋体" w:eastAsia="宋体" w:cs="宋体"/>
          <w:b/>
          <w:bCs/>
          <w:color w:val="auto"/>
          <w:sz w:val="24"/>
          <w:szCs w:val="24"/>
          <w:highlight w:val="none"/>
          <w:lang w:eastAsia="zh-CN"/>
        </w:rPr>
        <w:t>项目所在地：</w:t>
      </w:r>
      <w:r>
        <w:rPr>
          <w:rFonts w:hint="eastAsia" w:ascii="宋体" w:hAnsi="宋体" w:eastAsia="宋体" w:cs="宋体"/>
          <w:color w:val="auto"/>
          <w:sz w:val="24"/>
          <w:szCs w:val="24"/>
          <w:highlight w:val="none"/>
          <w:lang w:val="en-US" w:eastAsia="zh-CN"/>
        </w:rPr>
        <w:t>临川区</w:t>
      </w:r>
      <w:r>
        <w:rPr>
          <w:rFonts w:hint="eastAsia" w:ascii="宋体" w:hAnsi="宋体" w:eastAsia="宋体" w:cs="宋体"/>
          <w:color w:val="auto"/>
          <w:sz w:val="24"/>
          <w:szCs w:val="24"/>
          <w:highlight w:val="none"/>
          <w:lang w:eastAsia="zh-CN"/>
        </w:rPr>
        <w:t>202</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年受污染耕地安全利用与严格管控实施面积为</w:t>
      </w:r>
      <w:r>
        <w:rPr>
          <w:rFonts w:hint="eastAsia" w:ascii="宋体" w:hAnsi="宋体" w:eastAsia="宋体" w:cs="宋体"/>
          <w:color w:val="auto"/>
          <w:sz w:val="24"/>
          <w:szCs w:val="24"/>
          <w:highlight w:val="none"/>
          <w:lang w:val="en-US" w:eastAsia="zh-CN" w:bidi="en-US"/>
        </w:rPr>
        <w:t>1623.93</w:t>
      </w:r>
      <w:r>
        <w:rPr>
          <w:rFonts w:hint="eastAsia" w:ascii="宋体" w:hAnsi="宋体" w:eastAsia="宋体" w:cs="宋体"/>
          <w:color w:val="auto"/>
          <w:sz w:val="24"/>
          <w:szCs w:val="24"/>
          <w:highlight w:val="none"/>
          <w:lang w:eastAsia="zh-CN"/>
        </w:rPr>
        <w:t>亩，实施区域分布在茅排乡泽泉村；抚北镇金坪村、金坪村裴家组；展坪镇山下村、石港村、茶山村；抚州市高新区</w:t>
      </w:r>
      <w:r>
        <w:rPr>
          <w:rFonts w:hint="eastAsia" w:ascii="宋体" w:hAnsi="宋体" w:eastAsia="宋体" w:cs="宋体"/>
          <w:color w:val="auto"/>
          <w:sz w:val="24"/>
          <w:szCs w:val="24"/>
          <w:highlight w:val="none"/>
          <w:lang w:val="en-US" w:eastAsia="zh-CN"/>
        </w:rPr>
        <w:t>崇岗镇凤岗村祝家组、城西街办东津村</w:t>
      </w:r>
      <w:r>
        <w:rPr>
          <w:rFonts w:hint="eastAsia" w:ascii="宋体" w:hAnsi="宋体" w:eastAsia="宋体" w:cs="宋体"/>
          <w:color w:val="auto"/>
          <w:sz w:val="24"/>
          <w:szCs w:val="24"/>
          <w:highlight w:val="none"/>
          <w:lang w:eastAsia="zh-CN"/>
        </w:rPr>
        <w:t>。根据2025年临川区超标粮溯源结果，抚州市临川生态环境局所实施的安全利用区320亩（抚北镇金坪村），优先保护区40亩（孝桥镇龙湾村）</w:t>
      </w:r>
      <w:r>
        <w:rPr>
          <w:rFonts w:hint="eastAsia" w:ascii="宋体" w:hAnsi="宋体" w:eastAsia="宋体" w:cs="宋体"/>
          <w:color w:val="auto"/>
          <w:sz w:val="24"/>
          <w:szCs w:val="24"/>
          <w:highlight w:val="none"/>
          <w:lang w:val="en-US" w:eastAsia="zh-CN"/>
        </w:rPr>
        <w:t>出现水稻重金属超标情况，均为中稻，超标元素为镉。按照上级文件要求，2026年在超标粮溯源区域内种植镉低积累水稻品种共360亩</w:t>
      </w:r>
      <w:r>
        <w:rPr>
          <w:rFonts w:hint="eastAsia" w:ascii="宋体" w:hAnsi="宋体" w:eastAsia="宋体" w:cs="宋体"/>
          <w:color w:val="auto"/>
          <w:sz w:val="24"/>
          <w:szCs w:val="24"/>
          <w:highlight w:val="none"/>
          <w:lang w:eastAsia="zh-CN"/>
        </w:rPr>
        <w:t>。</w:t>
      </w:r>
    </w:p>
    <w:p w14:paraId="3B98D15E">
      <w:pPr>
        <w:pStyle w:val="7"/>
        <w:keepNext/>
        <w:keepLines/>
        <w:spacing w:after="0" w:line="360" w:lineRule="auto"/>
        <w:jc w:val="left"/>
        <w:rPr>
          <w:rFonts w:ascii="Times New Roman" w:hAnsi="Times New Roman" w:cs="Times New Roman"/>
          <w:color w:val="auto"/>
          <w:sz w:val="24"/>
          <w:szCs w:val="24"/>
          <w:highlight w:val="none"/>
          <w:lang w:eastAsia="zh-CN"/>
        </w:rPr>
      </w:pPr>
      <w:r>
        <w:rPr>
          <w:rFonts w:hint="eastAsia" w:ascii="Times New Roman" w:hAnsi="Times New Roman" w:cs="Times New Roman"/>
          <w:b/>
          <w:bCs/>
          <w:color w:val="auto"/>
          <w:sz w:val="24"/>
          <w:szCs w:val="24"/>
          <w:highlight w:val="none"/>
          <w:lang w:val="en-US" w:eastAsia="zh-CN" w:bidi="en-US"/>
        </w:rPr>
        <w:t>1</w:t>
      </w:r>
      <w:r>
        <w:rPr>
          <w:rFonts w:ascii="Times New Roman" w:hAnsi="Times New Roman" w:cs="Times New Roman"/>
          <w:b/>
          <w:bCs/>
          <w:color w:val="auto"/>
          <w:sz w:val="24"/>
          <w:szCs w:val="24"/>
          <w:highlight w:val="none"/>
          <w:lang w:val="en-US" w:eastAsia="zh-CN" w:bidi="en-US"/>
        </w:rPr>
        <w:t>.</w:t>
      </w:r>
      <w:r>
        <w:rPr>
          <w:rFonts w:hint="eastAsia" w:ascii="Times New Roman" w:hAnsi="Times New Roman" w:cs="Times New Roman"/>
          <w:b/>
          <w:bCs/>
          <w:color w:val="auto"/>
          <w:sz w:val="24"/>
          <w:szCs w:val="24"/>
          <w:highlight w:val="none"/>
          <w:lang w:val="en-US" w:eastAsia="zh-CN"/>
        </w:rPr>
        <w:t>2</w:t>
      </w:r>
      <w:r>
        <w:rPr>
          <w:rFonts w:ascii="Times New Roman" w:hAnsi="Times New Roman" w:cs="Times New Roman"/>
          <w:b/>
          <w:bCs/>
          <w:color w:val="auto"/>
          <w:sz w:val="24"/>
          <w:szCs w:val="24"/>
          <w:highlight w:val="none"/>
          <w:lang w:eastAsia="zh-CN"/>
        </w:rPr>
        <w:t>受污染耕地实施范围</w:t>
      </w:r>
    </w:p>
    <w:p w14:paraId="7E9FCE06">
      <w:pPr>
        <w:pStyle w:val="8"/>
        <w:spacing w:after="140" w:line="360" w:lineRule="auto"/>
        <w:ind w:firstLine="60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2026年临川区农业农村局（含抚州市高新区14.95亩）受污染耕地</w:t>
      </w:r>
      <w:r>
        <w:rPr>
          <w:rFonts w:hint="eastAsia" w:ascii="宋体" w:hAnsi="宋体" w:eastAsia="宋体" w:cs="宋体"/>
          <w:color w:val="auto"/>
          <w:sz w:val="24"/>
          <w:szCs w:val="24"/>
          <w:highlight w:val="none"/>
          <w:lang w:eastAsia="zh-CN"/>
        </w:rPr>
        <w:t>安全利用及严格管控任务面积</w:t>
      </w:r>
      <w:r>
        <w:rPr>
          <w:rFonts w:hint="eastAsia" w:ascii="宋体" w:hAnsi="宋体" w:eastAsia="宋体" w:cs="宋体"/>
          <w:color w:val="auto"/>
          <w:sz w:val="24"/>
          <w:szCs w:val="24"/>
          <w:highlight w:val="none"/>
          <w:lang w:val="en-US" w:eastAsia="zh-CN"/>
        </w:rPr>
        <w:t>1623.93</w:t>
      </w:r>
      <w:r>
        <w:rPr>
          <w:rFonts w:hint="eastAsia" w:ascii="宋体" w:hAnsi="宋体" w:eastAsia="宋体" w:cs="宋体"/>
          <w:color w:val="auto"/>
          <w:sz w:val="24"/>
          <w:szCs w:val="24"/>
          <w:highlight w:val="none"/>
          <w:lang w:eastAsia="zh-CN"/>
        </w:rPr>
        <w:t>亩，安全利用类</w:t>
      </w:r>
      <w:r>
        <w:rPr>
          <w:rFonts w:hint="eastAsia" w:ascii="宋体" w:hAnsi="宋体" w:eastAsia="宋体" w:cs="宋体"/>
          <w:color w:val="auto"/>
          <w:sz w:val="24"/>
          <w:szCs w:val="24"/>
          <w:highlight w:val="none"/>
          <w:lang w:val="en-US" w:eastAsia="zh-CN"/>
        </w:rPr>
        <w:t>1046.03</w:t>
      </w:r>
      <w:r>
        <w:rPr>
          <w:rFonts w:hint="eastAsia" w:ascii="宋体" w:hAnsi="宋体" w:eastAsia="宋体" w:cs="宋体"/>
          <w:color w:val="auto"/>
          <w:sz w:val="24"/>
          <w:szCs w:val="24"/>
          <w:highlight w:val="none"/>
          <w:lang w:eastAsia="zh-CN"/>
        </w:rPr>
        <w:t>亩，其中抚北镇493.08亩，茅排乡538亩，抚州市高新区</w:t>
      </w:r>
      <w:r>
        <w:rPr>
          <w:rFonts w:hint="eastAsia" w:ascii="宋体" w:hAnsi="宋体" w:eastAsia="宋体" w:cs="宋体"/>
          <w:color w:val="auto"/>
          <w:sz w:val="24"/>
          <w:szCs w:val="24"/>
          <w:highlight w:val="none"/>
          <w:lang w:val="en-US" w:eastAsia="zh-CN"/>
        </w:rPr>
        <w:t>14.95亩</w:t>
      </w:r>
      <w:r>
        <w:rPr>
          <w:rFonts w:hint="eastAsia" w:ascii="宋体" w:hAnsi="宋体" w:eastAsia="宋体" w:cs="宋体"/>
          <w:color w:val="auto"/>
          <w:sz w:val="24"/>
          <w:szCs w:val="24"/>
          <w:highlight w:val="none"/>
          <w:lang w:eastAsia="zh-CN"/>
        </w:rPr>
        <w:t>；严格管控类</w:t>
      </w:r>
      <w:r>
        <w:rPr>
          <w:rFonts w:hint="eastAsia" w:ascii="宋体" w:hAnsi="宋体" w:eastAsia="宋体" w:cs="宋体"/>
          <w:color w:val="auto"/>
          <w:sz w:val="24"/>
          <w:szCs w:val="24"/>
          <w:highlight w:val="none"/>
          <w:lang w:val="en-US" w:eastAsia="zh-CN"/>
        </w:rPr>
        <w:t>577.9</w:t>
      </w:r>
      <w:r>
        <w:rPr>
          <w:rFonts w:hint="eastAsia" w:ascii="宋体" w:hAnsi="宋体" w:eastAsia="宋体" w:cs="宋体"/>
          <w:color w:val="auto"/>
          <w:sz w:val="24"/>
          <w:szCs w:val="24"/>
          <w:highlight w:val="none"/>
          <w:lang w:eastAsia="zh-CN"/>
        </w:rPr>
        <w:t>亩，其中展坪镇</w:t>
      </w:r>
      <w:r>
        <w:rPr>
          <w:rFonts w:hint="eastAsia" w:ascii="宋体" w:hAnsi="宋体" w:eastAsia="宋体" w:cs="宋体"/>
          <w:color w:val="auto"/>
          <w:sz w:val="24"/>
          <w:szCs w:val="24"/>
          <w:highlight w:val="none"/>
          <w:lang w:val="en-US" w:eastAsia="zh-CN"/>
        </w:rPr>
        <w:t>304.9</w:t>
      </w:r>
      <w:r>
        <w:rPr>
          <w:rFonts w:hint="eastAsia" w:ascii="宋体" w:hAnsi="宋体" w:eastAsia="宋体" w:cs="宋体"/>
          <w:color w:val="auto"/>
          <w:sz w:val="24"/>
          <w:szCs w:val="24"/>
          <w:highlight w:val="none"/>
          <w:lang w:eastAsia="zh-CN"/>
        </w:rPr>
        <w:t>亩，抚北镇</w:t>
      </w:r>
      <w:r>
        <w:rPr>
          <w:rFonts w:hint="eastAsia" w:ascii="宋体" w:hAnsi="宋体" w:eastAsia="宋体" w:cs="宋体"/>
          <w:color w:val="auto"/>
          <w:sz w:val="24"/>
          <w:szCs w:val="24"/>
          <w:highlight w:val="none"/>
          <w:lang w:val="en-US" w:eastAsia="zh-CN"/>
        </w:rPr>
        <w:t>273</w:t>
      </w:r>
      <w:r>
        <w:rPr>
          <w:rFonts w:hint="eastAsia" w:ascii="宋体" w:hAnsi="宋体" w:eastAsia="宋体" w:cs="宋体"/>
          <w:color w:val="auto"/>
          <w:sz w:val="24"/>
          <w:szCs w:val="24"/>
          <w:highlight w:val="none"/>
          <w:lang w:eastAsia="zh-CN"/>
        </w:rPr>
        <w:t>亩，</w:t>
      </w:r>
      <w:r>
        <w:rPr>
          <w:rFonts w:hint="eastAsia" w:ascii="宋体" w:hAnsi="宋体" w:eastAsia="宋体" w:cs="宋体"/>
          <w:color w:val="auto"/>
          <w:sz w:val="24"/>
          <w:szCs w:val="24"/>
          <w:highlight w:val="none"/>
          <w:lang w:val="en-US" w:eastAsia="zh-CN"/>
        </w:rPr>
        <w:t>超标因子为镉、汞。其中水田593.08亩，均为中稻，种植结构调整面积438亩，休耕14.95亩；根据2025年临川区超标粮溯源结果，抚州市临川生态环境局所实施的安全利用区320亩（抚北镇金坪村），优先保护区40亩（孝桥镇龙湾村）出现水稻重金属超标情况，均为中稻。按照上级文件要求，2026年在超标粮溯源区域内种植镉低积累水稻品种共360亩。详见表1，具体分布图见图1。</w:t>
      </w:r>
    </w:p>
    <w:p w14:paraId="6211CF80">
      <w:pPr>
        <w:pStyle w:val="8"/>
        <w:spacing w:line="360" w:lineRule="auto"/>
        <w:ind w:firstLine="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表</w:t>
      </w:r>
      <w:r>
        <w:rPr>
          <w:rFonts w:hint="eastAsia" w:ascii="宋体" w:hAnsi="宋体" w:eastAsia="宋体" w:cs="宋体"/>
          <w:b/>
          <w:bCs/>
          <w:color w:val="auto"/>
          <w:sz w:val="24"/>
          <w:szCs w:val="24"/>
          <w:highlight w:val="none"/>
          <w:lang w:val="en-US" w:eastAsia="zh-CN"/>
        </w:rPr>
        <w:t>1临川区</w:t>
      </w:r>
      <w:r>
        <w:rPr>
          <w:rFonts w:hint="eastAsia" w:ascii="宋体" w:hAnsi="宋体" w:eastAsia="宋体" w:cs="宋体"/>
          <w:b/>
          <w:bCs/>
          <w:color w:val="auto"/>
          <w:sz w:val="24"/>
          <w:szCs w:val="24"/>
          <w:highlight w:val="none"/>
          <w:lang w:eastAsia="zh-CN"/>
        </w:rPr>
        <w:t>受污染耕地</w:t>
      </w:r>
      <w:r>
        <w:rPr>
          <w:rFonts w:hint="eastAsia" w:ascii="宋体" w:hAnsi="宋体" w:eastAsia="宋体" w:cs="宋体"/>
          <w:b/>
          <w:bCs/>
          <w:color w:val="auto"/>
          <w:sz w:val="24"/>
          <w:szCs w:val="24"/>
          <w:highlight w:val="none"/>
          <w:lang w:val="en-US" w:eastAsia="zh-CN"/>
        </w:rPr>
        <w:t>面积统计表</w:t>
      </w:r>
    </w:p>
    <w:tbl>
      <w:tblPr>
        <w:tblStyle w:val="4"/>
        <w:tblW w:w="5000" w:type="pct"/>
        <w:tblInd w:w="0" w:type="dxa"/>
        <w:tblLayout w:type="fixed"/>
        <w:tblCellMar>
          <w:top w:w="0" w:type="dxa"/>
          <w:left w:w="108" w:type="dxa"/>
          <w:bottom w:w="0" w:type="dxa"/>
          <w:right w:w="108" w:type="dxa"/>
        </w:tblCellMar>
      </w:tblPr>
      <w:tblGrid>
        <w:gridCol w:w="1335"/>
        <w:gridCol w:w="1767"/>
        <w:gridCol w:w="743"/>
        <w:gridCol w:w="988"/>
        <w:gridCol w:w="1062"/>
        <w:gridCol w:w="1034"/>
        <w:gridCol w:w="874"/>
        <w:gridCol w:w="1661"/>
      </w:tblGrid>
      <w:tr w14:paraId="52CCEF7D">
        <w:tblPrEx>
          <w:tblCellMar>
            <w:top w:w="0" w:type="dxa"/>
            <w:left w:w="108" w:type="dxa"/>
            <w:bottom w:w="0" w:type="dxa"/>
            <w:right w:w="108" w:type="dxa"/>
          </w:tblCellMar>
        </w:tblPrEx>
        <w:tc>
          <w:tcPr>
            <w:tcW w:w="704" w:type="pct"/>
            <w:tcBorders>
              <w:top w:val="single" w:color="000000" w:sz="8" w:space="0"/>
              <w:left w:val="single" w:color="000000" w:sz="8" w:space="0"/>
              <w:bottom w:val="single" w:color="000000" w:sz="8" w:space="0"/>
              <w:right w:val="single" w:color="000000" w:sz="8" w:space="0"/>
            </w:tcBorders>
            <w:noWrap/>
            <w:vAlign w:val="center"/>
          </w:tcPr>
          <w:p w14:paraId="2D92130C">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乡镇</w:t>
            </w:r>
          </w:p>
        </w:tc>
        <w:tc>
          <w:tcPr>
            <w:tcW w:w="931" w:type="pct"/>
            <w:tcBorders>
              <w:top w:val="single" w:color="000000" w:sz="8" w:space="0"/>
              <w:left w:val="nil"/>
              <w:bottom w:val="single" w:color="000000" w:sz="8" w:space="0"/>
              <w:right w:val="single" w:color="000000" w:sz="8" w:space="0"/>
            </w:tcBorders>
            <w:noWrap/>
            <w:vAlign w:val="center"/>
          </w:tcPr>
          <w:p w14:paraId="62131137">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行政村</w:t>
            </w:r>
          </w:p>
        </w:tc>
        <w:tc>
          <w:tcPr>
            <w:tcW w:w="392" w:type="pct"/>
            <w:tcBorders>
              <w:top w:val="single" w:color="000000" w:sz="8" w:space="0"/>
              <w:left w:val="nil"/>
              <w:bottom w:val="single" w:color="000000" w:sz="8" w:space="0"/>
              <w:right w:val="single" w:color="000000" w:sz="8" w:space="0"/>
            </w:tcBorders>
            <w:noWrap/>
            <w:vAlign w:val="center"/>
          </w:tcPr>
          <w:p w14:paraId="4629766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类别</w:t>
            </w:r>
          </w:p>
        </w:tc>
        <w:tc>
          <w:tcPr>
            <w:tcW w:w="522" w:type="pct"/>
            <w:tcBorders>
              <w:top w:val="single" w:color="000000" w:sz="8" w:space="0"/>
              <w:left w:val="nil"/>
              <w:bottom w:val="single" w:color="000000" w:sz="8" w:space="0"/>
              <w:right w:val="single" w:color="000000" w:sz="8" w:space="0"/>
            </w:tcBorders>
            <w:noWrap/>
            <w:vAlign w:val="center"/>
          </w:tcPr>
          <w:p w14:paraId="0A61CD6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污染因子</w:t>
            </w:r>
          </w:p>
        </w:tc>
        <w:tc>
          <w:tcPr>
            <w:tcW w:w="561" w:type="pct"/>
            <w:tcBorders>
              <w:top w:val="single" w:color="000000" w:sz="8" w:space="0"/>
              <w:left w:val="nil"/>
              <w:bottom w:val="single" w:color="000000" w:sz="8" w:space="0"/>
              <w:right w:val="single" w:color="000000" w:sz="8" w:space="0"/>
            </w:tcBorders>
            <w:noWrap/>
            <w:vAlign w:val="center"/>
          </w:tcPr>
          <w:p w14:paraId="0ABD938B">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合计/亩</w:t>
            </w:r>
          </w:p>
        </w:tc>
        <w:tc>
          <w:tcPr>
            <w:tcW w:w="546" w:type="pct"/>
            <w:tcBorders>
              <w:top w:val="single" w:color="000000" w:sz="8" w:space="0"/>
              <w:left w:val="nil"/>
              <w:bottom w:val="single" w:color="000000" w:sz="8" w:space="0"/>
              <w:right w:val="single" w:color="000000" w:sz="8" w:space="0"/>
            </w:tcBorders>
            <w:noWrap/>
            <w:vAlign w:val="center"/>
          </w:tcPr>
          <w:p w14:paraId="1B33938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中稻/亩</w:t>
            </w:r>
          </w:p>
        </w:tc>
        <w:tc>
          <w:tcPr>
            <w:tcW w:w="462" w:type="pct"/>
            <w:tcBorders>
              <w:top w:val="single" w:color="000000" w:sz="8" w:space="0"/>
              <w:left w:val="nil"/>
              <w:bottom w:val="single" w:color="000000" w:sz="8" w:space="0"/>
              <w:right w:val="single" w:color="000000" w:sz="8" w:space="0"/>
            </w:tcBorders>
            <w:noWrap/>
            <w:vAlign w:val="center"/>
          </w:tcPr>
          <w:p w14:paraId="78791815">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休耕/亩</w:t>
            </w:r>
          </w:p>
        </w:tc>
        <w:tc>
          <w:tcPr>
            <w:tcW w:w="877" w:type="pct"/>
            <w:tcBorders>
              <w:top w:val="single" w:color="000000" w:sz="8" w:space="0"/>
              <w:left w:val="nil"/>
              <w:bottom w:val="single" w:color="000000" w:sz="8" w:space="0"/>
              <w:right w:val="single" w:color="000000" w:sz="8" w:space="0"/>
            </w:tcBorders>
            <w:noWrap/>
            <w:vAlign w:val="center"/>
          </w:tcPr>
          <w:p w14:paraId="23873BF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种植结构调整/亩</w:t>
            </w:r>
          </w:p>
        </w:tc>
      </w:tr>
      <w:tr w14:paraId="10DFC166">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703AC188">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抚北镇</w:t>
            </w:r>
          </w:p>
        </w:tc>
        <w:tc>
          <w:tcPr>
            <w:tcW w:w="931" w:type="pct"/>
            <w:tcBorders>
              <w:top w:val="nil"/>
              <w:left w:val="nil"/>
              <w:bottom w:val="single" w:color="000000" w:sz="8" w:space="0"/>
              <w:right w:val="single" w:color="000000" w:sz="8" w:space="0"/>
            </w:tcBorders>
            <w:noWrap/>
            <w:vAlign w:val="center"/>
          </w:tcPr>
          <w:p w14:paraId="4FED092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金坪村</w:t>
            </w:r>
          </w:p>
        </w:tc>
        <w:tc>
          <w:tcPr>
            <w:tcW w:w="392" w:type="pct"/>
            <w:tcBorders>
              <w:top w:val="nil"/>
              <w:left w:val="nil"/>
              <w:bottom w:val="single" w:color="000000" w:sz="8" w:space="0"/>
              <w:right w:val="single" w:color="000000" w:sz="8" w:space="0"/>
            </w:tcBorders>
            <w:noWrap/>
            <w:vAlign w:val="center"/>
          </w:tcPr>
          <w:p w14:paraId="3848438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Ⅱ</w:t>
            </w:r>
          </w:p>
        </w:tc>
        <w:tc>
          <w:tcPr>
            <w:tcW w:w="522" w:type="pct"/>
            <w:tcBorders>
              <w:top w:val="nil"/>
              <w:left w:val="nil"/>
              <w:bottom w:val="single" w:color="000000" w:sz="8" w:space="0"/>
              <w:right w:val="single" w:color="000000" w:sz="8" w:space="0"/>
            </w:tcBorders>
            <w:noWrap/>
            <w:vAlign w:val="center"/>
          </w:tcPr>
          <w:p w14:paraId="44FDFEE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Cd、Hg</w:t>
            </w:r>
          </w:p>
        </w:tc>
        <w:tc>
          <w:tcPr>
            <w:tcW w:w="561" w:type="pct"/>
            <w:tcBorders>
              <w:top w:val="nil"/>
              <w:left w:val="nil"/>
              <w:bottom w:val="single" w:color="000000" w:sz="8" w:space="0"/>
              <w:right w:val="single" w:color="000000" w:sz="8" w:space="0"/>
            </w:tcBorders>
            <w:noWrap/>
            <w:vAlign w:val="center"/>
          </w:tcPr>
          <w:p w14:paraId="7E122963">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493.08</w:t>
            </w:r>
          </w:p>
        </w:tc>
        <w:tc>
          <w:tcPr>
            <w:tcW w:w="546" w:type="pct"/>
            <w:tcBorders>
              <w:top w:val="nil"/>
              <w:left w:val="nil"/>
              <w:bottom w:val="single" w:color="000000" w:sz="8" w:space="0"/>
              <w:right w:val="single" w:color="000000" w:sz="8" w:space="0"/>
            </w:tcBorders>
            <w:noWrap/>
            <w:vAlign w:val="center"/>
          </w:tcPr>
          <w:p w14:paraId="6B5B589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493.08</w:t>
            </w:r>
          </w:p>
        </w:tc>
        <w:tc>
          <w:tcPr>
            <w:tcW w:w="462" w:type="pct"/>
            <w:tcBorders>
              <w:top w:val="nil"/>
              <w:left w:val="nil"/>
              <w:bottom w:val="single" w:color="000000" w:sz="8" w:space="0"/>
              <w:right w:val="single" w:color="000000" w:sz="8" w:space="0"/>
            </w:tcBorders>
            <w:noWrap/>
            <w:vAlign w:val="center"/>
          </w:tcPr>
          <w:p w14:paraId="697B1EF0">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0</w:t>
            </w:r>
          </w:p>
        </w:tc>
        <w:tc>
          <w:tcPr>
            <w:tcW w:w="877" w:type="pct"/>
            <w:tcBorders>
              <w:top w:val="nil"/>
              <w:left w:val="nil"/>
              <w:bottom w:val="single" w:color="000000" w:sz="8" w:space="0"/>
              <w:right w:val="single" w:color="000000" w:sz="8" w:space="0"/>
            </w:tcBorders>
            <w:noWrap/>
            <w:vAlign w:val="center"/>
          </w:tcPr>
          <w:p w14:paraId="424EC05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r>
      <w:tr w14:paraId="5E217204">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713E3FB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茅排乡</w:t>
            </w:r>
          </w:p>
        </w:tc>
        <w:tc>
          <w:tcPr>
            <w:tcW w:w="931" w:type="pct"/>
            <w:tcBorders>
              <w:top w:val="nil"/>
              <w:left w:val="nil"/>
              <w:bottom w:val="single" w:color="000000" w:sz="8" w:space="0"/>
              <w:right w:val="single" w:color="000000" w:sz="8" w:space="0"/>
            </w:tcBorders>
            <w:noWrap/>
            <w:vAlign w:val="center"/>
          </w:tcPr>
          <w:p w14:paraId="26D728F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泽泉村</w:t>
            </w:r>
          </w:p>
        </w:tc>
        <w:tc>
          <w:tcPr>
            <w:tcW w:w="392" w:type="pct"/>
            <w:tcBorders>
              <w:top w:val="nil"/>
              <w:left w:val="nil"/>
              <w:bottom w:val="single" w:color="000000" w:sz="8" w:space="0"/>
              <w:right w:val="single" w:color="000000" w:sz="8" w:space="0"/>
            </w:tcBorders>
            <w:noWrap/>
            <w:vAlign w:val="center"/>
          </w:tcPr>
          <w:p w14:paraId="0AFFCD6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Ⅱ</w:t>
            </w:r>
          </w:p>
        </w:tc>
        <w:tc>
          <w:tcPr>
            <w:tcW w:w="522" w:type="pct"/>
            <w:tcBorders>
              <w:top w:val="nil"/>
              <w:left w:val="nil"/>
              <w:bottom w:val="single" w:color="000000" w:sz="8" w:space="0"/>
              <w:right w:val="single" w:color="000000" w:sz="8" w:space="0"/>
            </w:tcBorders>
            <w:noWrap/>
            <w:vAlign w:val="center"/>
          </w:tcPr>
          <w:p w14:paraId="22906113">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Cd、Hg</w:t>
            </w:r>
          </w:p>
        </w:tc>
        <w:tc>
          <w:tcPr>
            <w:tcW w:w="561" w:type="pct"/>
            <w:tcBorders>
              <w:top w:val="nil"/>
              <w:left w:val="nil"/>
              <w:bottom w:val="single" w:color="000000" w:sz="8" w:space="0"/>
              <w:right w:val="single" w:color="000000" w:sz="8" w:space="0"/>
            </w:tcBorders>
            <w:noWrap/>
            <w:vAlign w:val="center"/>
          </w:tcPr>
          <w:p w14:paraId="438A7D3C">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538</w:t>
            </w:r>
          </w:p>
        </w:tc>
        <w:tc>
          <w:tcPr>
            <w:tcW w:w="546" w:type="pct"/>
            <w:tcBorders>
              <w:top w:val="nil"/>
              <w:left w:val="nil"/>
              <w:bottom w:val="single" w:color="000000" w:sz="8" w:space="0"/>
              <w:right w:val="single" w:color="000000" w:sz="8" w:space="0"/>
            </w:tcBorders>
            <w:noWrap/>
            <w:vAlign w:val="center"/>
          </w:tcPr>
          <w:p w14:paraId="25D21708">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100</w:t>
            </w:r>
          </w:p>
        </w:tc>
        <w:tc>
          <w:tcPr>
            <w:tcW w:w="462" w:type="pct"/>
            <w:tcBorders>
              <w:top w:val="nil"/>
              <w:left w:val="nil"/>
              <w:bottom w:val="single" w:color="000000" w:sz="8" w:space="0"/>
              <w:right w:val="single" w:color="000000" w:sz="8" w:space="0"/>
            </w:tcBorders>
            <w:noWrap/>
            <w:vAlign w:val="center"/>
          </w:tcPr>
          <w:p w14:paraId="397AC603">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0</w:t>
            </w:r>
          </w:p>
        </w:tc>
        <w:tc>
          <w:tcPr>
            <w:tcW w:w="877" w:type="pct"/>
            <w:tcBorders>
              <w:top w:val="nil"/>
              <w:left w:val="nil"/>
              <w:bottom w:val="single" w:color="000000" w:sz="8" w:space="0"/>
              <w:right w:val="single" w:color="000000" w:sz="8" w:space="0"/>
            </w:tcBorders>
            <w:noWrap/>
            <w:vAlign w:val="center"/>
          </w:tcPr>
          <w:p w14:paraId="6B05417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438</w:t>
            </w:r>
          </w:p>
        </w:tc>
      </w:tr>
      <w:tr w14:paraId="4A01BC4B">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30D4653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抚州市高新区崇岗镇</w:t>
            </w:r>
          </w:p>
        </w:tc>
        <w:tc>
          <w:tcPr>
            <w:tcW w:w="931" w:type="pct"/>
            <w:tcBorders>
              <w:top w:val="nil"/>
              <w:left w:val="nil"/>
              <w:bottom w:val="single" w:color="000000" w:sz="8" w:space="0"/>
              <w:right w:val="single" w:color="000000" w:sz="8" w:space="0"/>
            </w:tcBorders>
            <w:noWrap/>
            <w:vAlign w:val="center"/>
          </w:tcPr>
          <w:p w14:paraId="210834F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风岗村</w:t>
            </w:r>
          </w:p>
        </w:tc>
        <w:tc>
          <w:tcPr>
            <w:tcW w:w="392" w:type="pct"/>
            <w:tcBorders>
              <w:top w:val="nil"/>
              <w:left w:val="nil"/>
              <w:bottom w:val="single" w:color="000000" w:sz="8" w:space="0"/>
              <w:right w:val="single" w:color="000000" w:sz="8" w:space="0"/>
            </w:tcBorders>
            <w:noWrap/>
            <w:vAlign w:val="center"/>
          </w:tcPr>
          <w:p w14:paraId="248109E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Ⅱ</w:t>
            </w:r>
          </w:p>
        </w:tc>
        <w:tc>
          <w:tcPr>
            <w:tcW w:w="522" w:type="pct"/>
            <w:tcBorders>
              <w:top w:val="nil"/>
              <w:left w:val="nil"/>
              <w:bottom w:val="single" w:color="000000" w:sz="8" w:space="0"/>
              <w:right w:val="single" w:color="000000" w:sz="8" w:space="0"/>
            </w:tcBorders>
            <w:noWrap/>
            <w:vAlign w:val="center"/>
          </w:tcPr>
          <w:p w14:paraId="6B11571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Cd、Hg</w:t>
            </w:r>
          </w:p>
        </w:tc>
        <w:tc>
          <w:tcPr>
            <w:tcW w:w="561" w:type="pct"/>
            <w:tcBorders>
              <w:top w:val="nil"/>
              <w:left w:val="nil"/>
              <w:bottom w:val="single" w:color="000000" w:sz="8" w:space="0"/>
              <w:right w:val="single" w:color="000000" w:sz="8" w:space="0"/>
            </w:tcBorders>
            <w:noWrap/>
            <w:vAlign w:val="center"/>
          </w:tcPr>
          <w:p w14:paraId="44BC60A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1.95</w:t>
            </w:r>
          </w:p>
        </w:tc>
        <w:tc>
          <w:tcPr>
            <w:tcW w:w="546" w:type="pct"/>
            <w:tcBorders>
              <w:top w:val="nil"/>
              <w:left w:val="nil"/>
              <w:bottom w:val="single" w:color="000000" w:sz="8" w:space="0"/>
              <w:right w:val="single" w:color="000000" w:sz="8" w:space="0"/>
            </w:tcBorders>
            <w:noWrap/>
            <w:vAlign w:val="center"/>
          </w:tcPr>
          <w:p w14:paraId="1DA33728">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19E77369">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877" w:type="pct"/>
            <w:tcBorders>
              <w:top w:val="nil"/>
              <w:left w:val="nil"/>
              <w:bottom w:val="single" w:color="000000" w:sz="8" w:space="0"/>
              <w:right w:val="single" w:color="000000" w:sz="8" w:space="0"/>
            </w:tcBorders>
            <w:noWrap/>
            <w:vAlign w:val="center"/>
          </w:tcPr>
          <w:p w14:paraId="2DD9A76B">
            <w:pPr>
              <w:widowControl/>
              <w:jc w:val="center"/>
              <w:textAlignment w:val="bottom"/>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休耕</w:t>
            </w:r>
          </w:p>
        </w:tc>
      </w:tr>
      <w:tr w14:paraId="2E518902">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6C338434">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抚州市高新区城西街办</w:t>
            </w:r>
          </w:p>
        </w:tc>
        <w:tc>
          <w:tcPr>
            <w:tcW w:w="931" w:type="pct"/>
            <w:tcBorders>
              <w:top w:val="nil"/>
              <w:left w:val="nil"/>
              <w:bottom w:val="single" w:color="000000" w:sz="8" w:space="0"/>
              <w:right w:val="single" w:color="000000" w:sz="8" w:space="0"/>
            </w:tcBorders>
            <w:noWrap/>
            <w:vAlign w:val="center"/>
          </w:tcPr>
          <w:p w14:paraId="39BBFE9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东津村</w:t>
            </w:r>
          </w:p>
        </w:tc>
        <w:tc>
          <w:tcPr>
            <w:tcW w:w="392" w:type="pct"/>
            <w:tcBorders>
              <w:top w:val="nil"/>
              <w:left w:val="nil"/>
              <w:bottom w:val="single" w:color="000000" w:sz="8" w:space="0"/>
              <w:right w:val="single" w:color="000000" w:sz="8" w:space="0"/>
            </w:tcBorders>
            <w:noWrap/>
            <w:vAlign w:val="center"/>
          </w:tcPr>
          <w:p w14:paraId="4A0C0F6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Ⅱ</w:t>
            </w:r>
          </w:p>
        </w:tc>
        <w:tc>
          <w:tcPr>
            <w:tcW w:w="522" w:type="pct"/>
            <w:tcBorders>
              <w:top w:val="nil"/>
              <w:left w:val="nil"/>
              <w:bottom w:val="single" w:color="000000" w:sz="8" w:space="0"/>
              <w:right w:val="single" w:color="000000" w:sz="8" w:space="0"/>
            </w:tcBorders>
            <w:noWrap/>
            <w:vAlign w:val="center"/>
          </w:tcPr>
          <w:p w14:paraId="076E6F73">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Cd、Hg</w:t>
            </w:r>
          </w:p>
        </w:tc>
        <w:tc>
          <w:tcPr>
            <w:tcW w:w="561" w:type="pct"/>
            <w:tcBorders>
              <w:top w:val="nil"/>
              <w:left w:val="nil"/>
              <w:bottom w:val="single" w:color="000000" w:sz="8" w:space="0"/>
              <w:right w:val="single" w:color="000000" w:sz="8" w:space="0"/>
            </w:tcBorders>
            <w:noWrap/>
            <w:vAlign w:val="center"/>
          </w:tcPr>
          <w:p w14:paraId="31E10A86">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13</w:t>
            </w:r>
          </w:p>
        </w:tc>
        <w:tc>
          <w:tcPr>
            <w:tcW w:w="546" w:type="pct"/>
            <w:tcBorders>
              <w:top w:val="nil"/>
              <w:left w:val="nil"/>
              <w:bottom w:val="single" w:color="000000" w:sz="8" w:space="0"/>
              <w:right w:val="single" w:color="000000" w:sz="8" w:space="0"/>
            </w:tcBorders>
            <w:noWrap/>
            <w:vAlign w:val="center"/>
          </w:tcPr>
          <w:p w14:paraId="316C3AE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1AF34BC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877" w:type="pct"/>
            <w:tcBorders>
              <w:top w:val="nil"/>
              <w:left w:val="nil"/>
              <w:bottom w:val="single" w:color="000000" w:sz="8" w:space="0"/>
              <w:right w:val="single" w:color="000000" w:sz="8" w:space="0"/>
            </w:tcBorders>
            <w:noWrap/>
            <w:vAlign w:val="center"/>
          </w:tcPr>
          <w:p w14:paraId="336A9437">
            <w:pPr>
              <w:widowControl/>
              <w:jc w:val="center"/>
              <w:textAlignment w:val="bottom"/>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休耕</w:t>
            </w:r>
          </w:p>
        </w:tc>
      </w:tr>
      <w:tr w14:paraId="3C39A4EE">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05C77E15">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展坪镇</w:t>
            </w:r>
          </w:p>
        </w:tc>
        <w:tc>
          <w:tcPr>
            <w:tcW w:w="931" w:type="pct"/>
            <w:tcBorders>
              <w:top w:val="nil"/>
              <w:left w:val="nil"/>
              <w:bottom w:val="single" w:color="000000" w:sz="8" w:space="0"/>
              <w:right w:val="single" w:color="000000" w:sz="8" w:space="0"/>
            </w:tcBorders>
            <w:noWrap/>
            <w:vAlign w:val="center"/>
          </w:tcPr>
          <w:p w14:paraId="48F7F5C1">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山下村</w:t>
            </w:r>
          </w:p>
        </w:tc>
        <w:tc>
          <w:tcPr>
            <w:tcW w:w="392" w:type="pct"/>
            <w:tcBorders>
              <w:top w:val="nil"/>
              <w:left w:val="nil"/>
              <w:bottom w:val="single" w:color="000000" w:sz="8" w:space="0"/>
              <w:right w:val="single" w:color="000000" w:sz="8" w:space="0"/>
            </w:tcBorders>
            <w:noWrap/>
            <w:vAlign w:val="center"/>
          </w:tcPr>
          <w:p w14:paraId="15D3D953">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Ⅲ</w:t>
            </w:r>
          </w:p>
        </w:tc>
        <w:tc>
          <w:tcPr>
            <w:tcW w:w="522" w:type="pct"/>
            <w:tcBorders>
              <w:top w:val="nil"/>
              <w:left w:val="nil"/>
              <w:bottom w:val="single" w:color="000000" w:sz="8" w:space="0"/>
              <w:right w:val="single" w:color="000000" w:sz="8" w:space="0"/>
            </w:tcBorders>
            <w:noWrap/>
            <w:vAlign w:val="center"/>
          </w:tcPr>
          <w:p w14:paraId="4B15664E">
            <w:pPr>
              <w:jc w:val="center"/>
              <w:rPr>
                <w:rFonts w:hint="eastAsia" w:ascii="宋体" w:hAnsi="宋体" w:eastAsia="宋体" w:cs="宋体"/>
                <w:color w:val="auto"/>
                <w:sz w:val="24"/>
                <w:szCs w:val="24"/>
                <w:highlight w:val="none"/>
              </w:rPr>
            </w:pPr>
          </w:p>
        </w:tc>
        <w:tc>
          <w:tcPr>
            <w:tcW w:w="561" w:type="pct"/>
            <w:tcBorders>
              <w:top w:val="nil"/>
              <w:left w:val="nil"/>
              <w:bottom w:val="single" w:color="000000" w:sz="8" w:space="0"/>
              <w:right w:val="single" w:color="000000" w:sz="8" w:space="0"/>
            </w:tcBorders>
            <w:noWrap/>
            <w:vAlign w:val="center"/>
          </w:tcPr>
          <w:p w14:paraId="23308191">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215</w:t>
            </w:r>
          </w:p>
        </w:tc>
        <w:tc>
          <w:tcPr>
            <w:tcW w:w="546" w:type="pct"/>
            <w:tcBorders>
              <w:top w:val="nil"/>
              <w:left w:val="nil"/>
              <w:bottom w:val="single" w:color="000000" w:sz="8" w:space="0"/>
              <w:right w:val="single" w:color="000000" w:sz="8" w:space="0"/>
            </w:tcBorders>
            <w:noWrap/>
            <w:vAlign w:val="center"/>
          </w:tcPr>
          <w:p w14:paraId="4ED7716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129210E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215</w:t>
            </w:r>
          </w:p>
        </w:tc>
        <w:tc>
          <w:tcPr>
            <w:tcW w:w="877" w:type="pct"/>
            <w:tcBorders>
              <w:top w:val="nil"/>
              <w:left w:val="nil"/>
              <w:bottom w:val="single" w:color="000000" w:sz="8" w:space="0"/>
              <w:right w:val="single" w:color="000000" w:sz="8" w:space="0"/>
            </w:tcBorders>
            <w:noWrap/>
            <w:vAlign w:val="center"/>
          </w:tcPr>
          <w:p w14:paraId="2A7B13A9">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r>
      <w:tr w14:paraId="200CE4FB">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3EA1D21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展坪镇</w:t>
            </w:r>
          </w:p>
        </w:tc>
        <w:tc>
          <w:tcPr>
            <w:tcW w:w="931" w:type="pct"/>
            <w:tcBorders>
              <w:top w:val="nil"/>
              <w:left w:val="nil"/>
              <w:bottom w:val="single" w:color="000000" w:sz="8" w:space="0"/>
              <w:right w:val="single" w:color="000000" w:sz="8" w:space="0"/>
            </w:tcBorders>
            <w:noWrap/>
            <w:vAlign w:val="center"/>
          </w:tcPr>
          <w:p w14:paraId="77E95688">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石港村</w:t>
            </w:r>
          </w:p>
        </w:tc>
        <w:tc>
          <w:tcPr>
            <w:tcW w:w="392" w:type="pct"/>
            <w:tcBorders>
              <w:top w:val="nil"/>
              <w:left w:val="nil"/>
              <w:bottom w:val="single" w:color="000000" w:sz="8" w:space="0"/>
              <w:right w:val="single" w:color="000000" w:sz="8" w:space="0"/>
            </w:tcBorders>
            <w:noWrap/>
            <w:vAlign w:val="center"/>
          </w:tcPr>
          <w:p w14:paraId="2444E362">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Ⅲ</w:t>
            </w:r>
          </w:p>
        </w:tc>
        <w:tc>
          <w:tcPr>
            <w:tcW w:w="522" w:type="pct"/>
            <w:tcBorders>
              <w:top w:val="nil"/>
              <w:left w:val="nil"/>
              <w:bottom w:val="single" w:color="000000" w:sz="8" w:space="0"/>
              <w:right w:val="single" w:color="000000" w:sz="8" w:space="0"/>
            </w:tcBorders>
            <w:noWrap/>
            <w:vAlign w:val="center"/>
          </w:tcPr>
          <w:p w14:paraId="3FDE735A">
            <w:pPr>
              <w:jc w:val="center"/>
              <w:rPr>
                <w:rFonts w:hint="eastAsia" w:ascii="宋体" w:hAnsi="宋体" w:eastAsia="宋体" w:cs="宋体"/>
                <w:color w:val="auto"/>
                <w:sz w:val="24"/>
                <w:szCs w:val="24"/>
                <w:highlight w:val="none"/>
              </w:rPr>
            </w:pPr>
          </w:p>
        </w:tc>
        <w:tc>
          <w:tcPr>
            <w:tcW w:w="561" w:type="pct"/>
            <w:tcBorders>
              <w:top w:val="nil"/>
              <w:left w:val="nil"/>
              <w:bottom w:val="single" w:color="000000" w:sz="8" w:space="0"/>
              <w:right w:val="single" w:color="000000" w:sz="8" w:space="0"/>
            </w:tcBorders>
            <w:noWrap/>
            <w:vAlign w:val="center"/>
          </w:tcPr>
          <w:p w14:paraId="67D9AFA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65</w:t>
            </w:r>
          </w:p>
        </w:tc>
        <w:tc>
          <w:tcPr>
            <w:tcW w:w="546" w:type="pct"/>
            <w:tcBorders>
              <w:top w:val="nil"/>
              <w:left w:val="nil"/>
              <w:bottom w:val="single" w:color="000000" w:sz="8" w:space="0"/>
              <w:right w:val="single" w:color="000000" w:sz="8" w:space="0"/>
            </w:tcBorders>
            <w:noWrap/>
            <w:vAlign w:val="center"/>
          </w:tcPr>
          <w:p w14:paraId="09EB5A0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387C3D19">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65</w:t>
            </w:r>
          </w:p>
        </w:tc>
        <w:tc>
          <w:tcPr>
            <w:tcW w:w="877" w:type="pct"/>
            <w:tcBorders>
              <w:top w:val="nil"/>
              <w:left w:val="nil"/>
              <w:bottom w:val="single" w:color="000000" w:sz="8" w:space="0"/>
              <w:right w:val="single" w:color="000000" w:sz="8" w:space="0"/>
            </w:tcBorders>
            <w:noWrap/>
            <w:vAlign w:val="center"/>
          </w:tcPr>
          <w:p w14:paraId="6DF3539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r>
      <w:tr w14:paraId="4969C0DA">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3683B1BC">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展坪镇</w:t>
            </w:r>
          </w:p>
        </w:tc>
        <w:tc>
          <w:tcPr>
            <w:tcW w:w="931" w:type="pct"/>
            <w:tcBorders>
              <w:top w:val="nil"/>
              <w:left w:val="nil"/>
              <w:bottom w:val="single" w:color="000000" w:sz="8" w:space="0"/>
              <w:right w:val="single" w:color="000000" w:sz="8" w:space="0"/>
            </w:tcBorders>
            <w:noWrap/>
            <w:vAlign w:val="center"/>
          </w:tcPr>
          <w:p w14:paraId="4A8A3F19">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茶山村</w:t>
            </w:r>
          </w:p>
        </w:tc>
        <w:tc>
          <w:tcPr>
            <w:tcW w:w="392" w:type="pct"/>
            <w:tcBorders>
              <w:top w:val="nil"/>
              <w:left w:val="nil"/>
              <w:bottom w:val="single" w:color="000000" w:sz="8" w:space="0"/>
              <w:right w:val="single" w:color="000000" w:sz="8" w:space="0"/>
            </w:tcBorders>
            <w:noWrap/>
            <w:vAlign w:val="center"/>
          </w:tcPr>
          <w:p w14:paraId="22FDD0C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Ⅲ</w:t>
            </w:r>
          </w:p>
        </w:tc>
        <w:tc>
          <w:tcPr>
            <w:tcW w:w="522" w:type="pct"/>
            <w:tcBorders>
              <w:top w:val="nil"/>
              <w:left w:val="nil"/>
              <w:bottom w:val="single" w:color="000000" w:sz="8" w:space="0"/>
              <w:right w:val="single" w:color="000000" w:sz="8" w:space="0"/>
            </w:tcBorders>
            <w:noWrap/>
            <w:vAlign w:val="center"/>
          </w:tcPr>
          <w:p w14:paraId="74805785">
            <w:pPr>
              <w:jc w:val="center"/>
              <w:rPr>
                <w:rFonts w:hint="eastAsia" w:ascii="宋体" w:hAnsi="宋体" w:eastAsia="宋体" w:cs="宋体"/>
                <w:color w:val="auto"/>
                <w:sz w:val="24"/>
                <w:szCs w:val="24"/>
                <w:highlight w:val="none"/>
              </w:rPr>
            </w:pPr>
          </w:p>
        </w:tc>
        <w:tc>
          <w:tcPr>
            <w:tcW w:w="561" w:type="pct"/>
            <w:tcBorders>
              <w:top w:val="nil"/>
              <w:left w:val="nil"/>
              <w:bottom w:val="single" w:color="000000" w:sz="8" w:space="0"/>
              <w:right w:val="single" w:color="000000" w:sz="8" w:space="0"/>
            </w:tcBorders>
            <w:noWrap/>
            <w:vAlign w:val="center"/>
          </w:tcPr>
          <w:p w14:paraId="1F17F9D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24.9</w:t>
            </w:r>
          </w:p>
        </w:tc>
        <w:tc>
          <w:tcPr>
            <w:tcW w:w="546" w:type="pct"/>
            <w:tcBorders>
              <w:top w:val="nil"/>
              <w:left w:val="nil"/>
              <w:bottom w:val="single" w:color="000000" w:sz="8" w:space="0"/>
              <w:right w:val="single" w:color="000000" w:sz="8" w:space="0"/>
            </w:tcBorders>
            <w:noWrap/>
            <w:vAlign w:val="center"/>
          </w:tcPr>
          <w:p w14:paraId="64156E87">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04841CBE">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24.9</w:t>
            </w:r>
          </w:p>
        </w:tc>
        <w:tc>
          <w:tcPr>
            <w:tcW w:w="877" w:type="pct"/>
            <w:tcBorders>
              <w:top w:val="nil"/>
              <w:left w:val="nil"/>
              <w:bottom w:val="single" w:color="000000" w:sz="8" w:space="0"/>
              <w:right w:val="single" w:color="000000" w:sz="8" w:space="0"/>
            </w:tcBorders>
            <w:noWrap/>
            <w:vAlign w:val="center"/>
          </w:tcPr>
          <w:p w14:paraId="6B6B1EEC">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r>
      <w:tr w14:paraId="71D791EE">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0F8985E9">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抚北镇</w:t>
            </w:r>
          </w:p>
        </w:tc>
        <w:tc>
          <w:tcPr>
            <w:tcW w:w="931" w:type="pct"/>
            <w:tcBorders>
              <w:top w:val="nil"/>
              <w:left w:val="nil"/>
              <w:bottom w:val="single" w:color="000000" w:sz="8" w:space="0"/>
              <w:right w:val="single" w:color="000000" w:sz="8" w:space="0"/>
            </w:tcBorders>
            <w:noWrap/>
            <w:vAlign w:val="center"/>
          </w:tcPr>
          <w:p w14:paraId="675C3F1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金坪村裴家组</w:t>
            </w:r>
          </w:p>
        </w:tc>
        <w:tc>
          <w:tcPr>
            <w:tcW w:w="392" w:type="pct"/>
            <w:tcBorders>
              <w:top w:val="nil"/>
              <w:left w:val="nil"/>
              <w:bottom w:val="single" w:color="000000" w:sz="8" w:space="0"/>
              <w:right w:val="single" w:color="000000" w:sz="8" w:space="0"/>
            </w:tcBorders>
            <w:noWrap/>
            <w:vAlign w:val="center"/>
          </w:tcPr>
          <w:p w14:paraId="4153F3B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Ⅲ</w:t>
            </w:r>
          </w:p>
        </w:tc>
        <w:tc>
          <w:tcPr>
            <w:tcW w:w="522" w:type="pct"/>
            <w:tcBorders>
              <w:top w:val="nil"/>
              <w:left w:val="nil"/>
              <w:bottom w:val="single" w:color="000000" w:sz="8" w:space="0"/>
              <w:right w:val="single" w:color="000000" w:sz="8" w:space="0"/>
            </w:tcBorders>
            <w:noWrap/>
            <w:vAlign w:val="center"/>
          </w:tcPr>
          <w:p w14:paraId="4CB1D6FD">
            <w:pPr>
              <w:jc w:val="center"/>
              <w:rPr>
                <w:rFonts w:hint="eastAsia" w:ascii="宋体" w:hAnsi="宋体" w:eastAsia="宋体" w:cs="宋体"/>
                <w:color w:val="auto"/>
                <w:sz w:val="24"/>
                <w:szCs w:val="24"/>
                <w:highlight w:val="none"/>
              </w:rPr>
            </w:pPr>
          </w:p>
        </w:tc>
        <w:tc>
          <w:tcPr>
            <w:tcW w:w="561" w:type="pct"/>
            <w:tcBorders>
              <w:top w:val="nil"/>
              <w:left w:val="nil"/>
              <w:bottom w:val="single" w:color="000000" w:sz="8" w:space="0"/>
              <w:right w:val="single" w:color="000000" w:sz="8" w:space="0"/>
            </w:tcBorders>
            <w:noWrap/>
            <w:vAlign w:val="center"/>
          </w:tcPr>
          <w:p w14:paraId="11B0D690">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273</w:t>
            </w:r>
          </w:p>
        </w:tc>
        <w:tc>
          <w:tcPr>
            <w:tcW w:w="546" w:type="pct"/>
            <w:tcBorders>
              <w:top w:val="nil"/>
              <w:left w:val="nil"/>
              <w:bottom w:val="single" w:color="000000" w:sz="8" w:space="0"/>
              <w:right w:val="single" w:color="000000" w:sz="8" w:space="0"/>
            </w:tcBorders>
            <w:noWrap/>
            <w:vAlign w:val="center"/>
          </w:tcPr>
          <w:p w14:paraId="27453486">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c>
          <w:tcPr>
            <w:tcW w:w="462" w:type="pct"/>
            <w:tcBorders>
              <w:top w:val="nil"/>
              <w:left w:val="nil"/>
              <w:bottom w:val="single" w:color="000000" w:sz="8" w:space="0"/>
              <w:right w:val="single" w:color="000000" w:sz="8" w:space="0"/>
            </w:tcBorders>
            <w:noWrap/>
            <w:vAlign w:val="center"/>
          </w:tcPr>
          <w:p w14:paraId="3614252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273</w:t>
            </w:r>
          </w:p>
        </w:tc>
        <w:tc>
          <w:tcPr>
            <w:tcW w:w="877" w:type="pct"/>
            <w:tcBorders>
              <w:top w:val="nil"/>
              <w:left w:val="nil"/>
              <w:bottom w:val="single" w:color="000000" w:sz="8" w:space="0"/>
              <w:right w:val="single" w:color="000000" w:sz="8" w:space="0"/>
            </w:tcBorders>
            <w:noWrap/>
            <w:vAlign w:val="center"/>
          </w:tcPr>
          <w:p w14:paraId="267E5BC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w:t>
            </w:r>
          </w:p>
        </w:tc>
      </w:tr>
      <w:tr w14:paraId="6B579475">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0E883CBC">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抚北镇</w:t>
            </w:r>
          </w:p>
        </w:tc>
        <w:tc>
          <w:tcPr>
            <w:tcW w:w="931" w:type="pct"/>
            <w:tcBorders>
              <w:top w:val="nil"/>
              <w:left w:val="nil"/>
              <w:bottom w:val="single" w:color="000000" w:sz="8" w:space="0"/>
              <w:right w:val="single" w:color="000000" w:sz="8" w:space="0"/>
            </w:tcBorders>
            <w:noWrap/>
            <w:vAlign w:val="center"/>
          </w:tcPr>
          <w:p w14:paraId="5E11D3B6">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金坪村（临川生态环境局区域）</w:t>
            </w:r>
          </w:p>
        </w:tc>
        <w:tc>
          <w:tcPr>
            <w:tcW w:w="392" w:type="pct"/>
            <w:tcBorders>
              <w:top w:val="nil"/>
              <w:left w:val="nil"/>
              <w:bottom w:val="single" w:color="000000" w:sz="8" w:space="0"/>
              <w:right w:val="single" w:color="000000" w:sz="8" w:space="0"/>
            </w:tcBorders>
            <w:noWrap/>
            <w:vAlign w:val="center"/>
          </w:tcPr>
          <w:p w14:paraId="33B61940">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Ⅱ</w:t>
            </w:r>
          </w:p>
        </w:tc>
        <w:tc>
          <w:tcPr>
            <w:tcW w:w="522" w:type="pct"/>
            <w:tcBorders>
              <w:top w:val="nil"/>
              <w:left w:val="nil"/>
              <w:bottom w:val="single" w:color="000000" w:sz="8" w:space="0"/>
              <w:right w:val="single" w:color="000000" w:sz="8" w:space="0"/>
            </w:tcBorders>
            <w:noWrap/>
            <w:vAlign w:val="center"/>
          </w:tcPr>
          <w:p w14:paraId="1A17CA3F">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Cd、Hg</w:t>
            </w:r>
          </w:p>
        </w:tc>
        <w:tc>
          <w:tcPr>
            <w:tcW w:w="561" w:type="pct"/>
            <w:tcBorders>
              <w:top w:val="nil"/>
              <w:left w:val="nil"/>
              <w:bottom w:val="single" w:color="000000" w:sz="8" w:space="0"/>
              <w:right w:val="single" w:color="000000" w:sz="8" w:space="0"/>
            </w:tcBorders>
            <w:noWrap/>
            <w:vAlign w:val="center"/>
          </w:tcPr>
          <w:p w14:paraId="7F9F24F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360</w:t>
            </w:r>
          </w:p>
        </w:tc>
        <w:tc>
          <w:tcPr>
            <w:tcW w:w="546" w:type="pct"/>
            <w:tcBorders>
              <w:top w:val="nil"/>
              <w:left w:val="nil"/>
              <w:bottom w:val="single" w:color="000000" w:sz="8" w:space="0"/>
              <w:right w:val="single" w:color="000000" w:sz="8" w:space="0"/>
            </w:tcBorders>
            <w:noWrap/>
            <w:vAlign w:val="center"/>
          </w:tcPr>
          <w:p w14:paraId="2AA84379">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360</w:t>
            </w:r>
          </w:p>
        </w:tc>
        <w:tc>
          <w:tcPr>
            <w:tcW w:w="462" w:type="pct"/>
            <w:tcBorders>
              <w:top w:val="nil"/>
              <w:left w:val="nil"/>
              <w:bottom w:val="single" w:color="000000" w:sz="8" w:space="0"/>
              <w:right w:val="single" w:color="000000" w:sz="8" w:space="0"/>
            </w:tcBorders>
            <w:noWrap/>
            <w:vAlign w:val="center"/>
          </w:tcPr>
          <w:p w14:paraId="18B24FFB">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w:t>
            </w:r>
          </w:p>
        </w:tc>
        <w:tc>
          <w:tcPr>
            <w:tcW w:w="877" w:type="pct"/>
            <w:tcBorders>
              <w:top w:val="nil"/>
              <w:left w:val="nil"/>
              <w:bottom w:val="single" w:color="000000" w:sz="8" w:space="0"/>
              <w:right w:val="single" w:color="000000" w:sz="8" w:space="0"/>
            </w:tcBorders>
            <w:noWrap/>
            <w:vAlign w:val="center"/>
          </w:tcPr>
          <w:p w14:paraId="09F9717C">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30D68E82">
        <w:tblPrEx>
          <w:tblCellMar>
            <w:top w:w="0" w:type="dxa"/>
            <w:left w:w="108" w:type="dxa"/>
            <w:bottom w:w="0" w:type="dxa"/>
            <w:right w:w="108" w:type="dxa"/>
          </w:tblCellMar>
        </w:tblPrEx>
        <w:tc>
          <w:tcPr>
            <w:tcW w:w="704" w:type="pct"/>
            <w:tcBorders>
              <w:top w:val="nil"/>
              <w:left w:val="single" w:color="000000" w:sz="8" w:space="0"/>
              <w:bottom w:val="single" w:color="000000" w:sz="8" w:space="0"/>
              <w:right w:val="single" w:color="000000" w:sz="8" w:space="0"/>
            </w:tcBorders>
            <w:noWrap/>
            <w:vAlign w:val="center"/>
          </w:tcPr>
          <w:p w14:paraId="484977AD">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孝桥镇</w:t>
            </w:r>
          </w:p>
        </w:tc>
        <w:tc>
          <w:tcPr>
            <w:tcW w:w="931" w:type="pct"/>
            <w:tcBorders>
              <w:top w:val="nil"/>
              <w:left w:val="nil"/>
              <w:bottom w:val="single" w:color="000000" w:sz="8" w:space="0"/>
              <w:right w:val="single" w:color="000000" w:sz="8" w:space="0"/>
            </w:tcBorders>
            <w:noWrap/>
            <w:vAlign w:val="center"/>
          </w:tcPr>
          <w:p w14:paraId="31F9C57A">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龙湾村（优先保护区）</w:t>
            </w:r>
          </w:p>
        </w:tc>
        <w:tc>
          <w:tcPr>
            <w:tcW w:w="392" w:type="pct"/>
            <w:tcBorders>
              <w:top w:val="nil"/>
              <w:left w:val="nil"/>
              <w:bottom w:val="single" w:color="000000" w:sz="8" w:space="0"/>
              <w:right w:val="single" w:color="000000" w:sz="8" w:space="0"/>
            </w:tcBorders>
            <w:noWrap/>
            <w:vAlign w:val="center"/>
          </w:tcPr>
          <w:p w14:paraId="1CD7E0ED">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Ⅰ</w:t>
            </w:r>
          </w:p>
        </w:tc>
        <w:tc>
          <w:tcPr>
            <w:tcW w:w="522" w:type="pct"/>
            <w:tcBorders>
              <w:top w:val="nil"/>
              <w:left w:val="nil"/>
              <w:bottom w:val="single" w:color="000000" w:sz="8" w:space="0"/>
              <w:right w:val="single" w:color="000000" w:sz="8" w:space="0"/>
            </w:tcBorders>
            <w:noWrap/>
            <w:vAlign w:val="center"/>
          </w:tcPr>
          <w:p w14:paraId="390251B5">
            <w:pPr>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Cd</w:t>
            </w:r>
          </w:p>
        </w:tc>
        <w:tc>
          <w:tcPr>
            <w:tcW w:w="561" w:type="pct"/>
            <w:tcBorders>
              <w:top w:val="nil"/>
              <w:left w:val="nil"/>
              <w:bottom w:val="single" w:color="000000" w:sz="8" w:space="0"/>
              <w:right w:val="single" w:color="000000" w:sz="8" w:space="0"/>
            </w:tcBorders>
            <w:noWrap/>
            <w:vAlign w:val="center"/>
          </w:tcPr>
          <w:p w14:paraId="1EA6443C">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40</w:t>
            </w:r>
          </w:p>
        </w:tc>
        <w:tc>
          <w:tcPr>
            <w:tcW w:w="546" w:type="pct"/>
            <w:tcBorders>
              <w:top w:val="nil"/>
              <w:left w:val="nil"/>
              <w:bottom w:val="single" w:color="000000" w:sz="8" w:space="0"/>
              <w:right w:val="single" w:color="000000" w:sz="8" w:space="0"/>
            </w:tcBorders>
            <w:noWrap/>
            <w:vAlign w:val="center"/>
          </w:tcPr>
          <w:p w14:paraId="6ACFD235">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40</w:t>
            </w:r>
          </w:p>
        </w:tc>
        <w:tc>
          <w:tcPr>
            <w:tcW w:w="462" w:type="pct"/>
            <w:tcBorders>
              <w:top w:val="nil"/>
              <w:left w:val="nil"/>
              <w:bottom w:val="single" w:color="000000" w:sz="8" w:space="0"/>
              <w:right w:val="single" w:color="000000" w:sz="8" w:space="0"/>
            </w:tcBorders>
            <w:noWrap/>
            <w:vAlign w:val="center"/>
          </w:tcPr>
          <w:p w14:paraId="7C6DE866">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w:t>
            </w:r>
          </w:p>
        </w:tc>
        <w:tc>
          <w:tcPr>
            <w:tcW w:w="877" w:type="pct"/>
            <w:tcBorders>
              <w:top w:val="nil"/>
              <w:left w:val="nil"/>
              <w:bottom w:val="single" w:color="000000" w:sz="8" w:space="0"/>
              <w:right w:val="single" w:color="000000" w:sz="8" w:space="0"/>
            </w:tcBorders>
            <w:noWrap/>
            <w:vAlign w:val="center"/>
          </w:tcPr>
          <w:p w14:paraId="2A108ADC">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26AC04CC">
        <w:tblPrEx>
          <w:tblCellMar>
            <w:top w:w="0" w:type="dxa"/>
            <w:left w:w="108" w:type="dxa"/>
            <w:bottom w:w="0" w:type="dxa"/>
            <w:right w:w="108" w:type="dxa"/>
          </w:tblCellMar>
        </w:tblPrEx>
        <w:tc>
          <w:tcPr>
            <w:tcW w:w="1636" w:type="pct"/>
            <w:gridSpan w:val="2"/>
            <w:tcBorders>
              <w:top w:val="nil"/>
              <w:left w:val="single" w:color="000000" w:sz="8" w:space="0"/>
              <w:bottom w:val="single" w:color="000000" w:sz="8" w:space="0"/>
              <w:right w:val="single" w:color="000000" w:sz="8" w:space="0"/>
            </w:tcBorders>
            <w:noWrap/>
            <w:vAlign w:val="center"/>
          </w:tcPr>
          <w:p w14:paraId="75680ED3">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合计</w:t>
            </w:r>
          </w:p>
        </w:tc>
        <w:tc>
          <w:tcPr>
            <w:tcW w:w="392" w:type="pct"/>
            <w:tcBorders>
              <w:top w:val="nil"/>
              <w:left w:val="nil"/>
              <w:bottom w:val="single" w:color="000000" w:sz="8" w:space="0"/>
              <w:right w:val="single" w:color="000000" w:sz="8" w:space="0"/>
            </w:tcBorders>
            <w:noWrap/>
            <w:vAlign w:val="center"/>
          </w:tcPr>
          <w:p w14:paraId="46E9111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w:t>
            </w:r>
          </w:p>
        </w:tc>
        <w:tc>
          <w:tcPr>
            <w:tcW w:w="522" w:type="pct"/>
            <w:tcBorders>
              <w:top w:val="nil"/>
              <w:left w:val="nil"/>
              <w:bottom w:val="single" w:color="000000" w:sz="8" w:space="0"/>
              <w:right w:val="single" w:color="000000" w:sz="8" w:space="0"/>
            </w:tcBorders>
            <w:noWrap/>
            <w:vAlign w:val="center"/>
          </w:tcPr>
          <w:p w14:paraId="7BBCE2C2">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w:t>
            </w:r>
          </w:p>
        </w:tc>
        <w:tc>
          <w:tcPr>
            <w:tcW w:w="561" w:type="pct"/>
            <w:tcBorders>
              <w:top w:val="nil"/>
              <w:left w:val="nil"/>
              <w:bottom w:val="single" w:color="000000" w:sz="8" w:space="0"/>
              <w:right w:val="single" w:color="000000" w:sz="8" w:space="0"/>
            </w:tcBorders>
            <w:noWrap/>
            <w:vAlign w:val="center"/>
          </w:tcPr>
          <w:p w14:paraId="199945B3">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2023.93</w:t>
            </w:r>
          </w:p>
        </w:tc>
        <w:tc>
          <w:tcPr>
            <w:tcW w:w="546" w:type="pct"/>
            <w:tcBorders>
              <w:top w:val="nil"/>
              <w:left w:val="nil"/>
              <w:bottom w:val="single" w:color="000000" w:sz="8" w:space="0"/>
              <w:right w:val="single" w:color="000000" w:sz="8" w:space="0"/>
            </w:tcBorders>
            <w:noWrap/>
            <w:vAlign w:val="center"/>
          </w:tcPr>
          <w:p w14:paraId="16B8D00D">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993.08</w:t>
            </w:r>
          </w:p>
        </w:tc>
        <w:tc>
          <w:tcPr>
            <w:tcW w:w="462" w:type="pct"/>
            <w:tcBorders>
              <w:top w:val="nil"/>
              <w:left w:val="nil"/>
              <w:bottom w:val="single" w:color="000000" w:sz="8" w:space="0"/>
              <w:right w:val="single" w:color="000000" w:sz="8" w:space="0"/>
            </w:tcBorders>
            <w:noWrap/>
            <w:vAlign w:val="center"/>
          </w:tcPr>
          <w:p w14:paraId="1D68EF96">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577.9</w:t>
            </w:r>
          </w:p>
        </w:tc>
        <w:tc>
          <w:tcPr>
            <w:tcW w:w="877" w:type="pct"/>
            <w:tcBorders>
              <w:top w:val="nil"/>
              <w:left w:val="nil"/>
              <w:bottom w:val="single" w:color="000000" w:sz="8" w:space="0"/>
              <w:right w:val="single" w:color="000000" w:sz="8" w:space="0"/>
            </w:tcBorders>
            <w:noWrap/>
            <w:vAlign w:val="center"/>
          </w:tcPr>
          <w:p w14:paraId="390DD698">
            <w:pPr>
              <w:widowControl/>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bidi="ar"/>
              </w:rPr>
              <w:t>452.95</w:t>
            </w:r>
          </w:p>
        </w:tc>
      </w:tr>
    </w:tbl>
    <w:p w14:paraId="692C383A">
      <w:pPr>
        <w:pStyle w:val="8"/>
        <w:spacing w:after="140" w:line="360" w:lineRule="auto"/>
        <w:ind w:firstLine="600"/>
        <w:jc w:val="both"/>
        <w:rPr>
          <w:rFonts w:ascii="Times New Roman" w:hAnsi="Times New Roman" w:cs="Times New Roman"/>
          <w:color w:val="auto"/>
          <w:highlight w:val="none"/>
          <w:lang w:val="en-US" w:eastAsia="zh-CN"/>
        </w:rPr>
      </w:pPr>
    </w:p>
    <w:p w14:paraId="581304B3">
      <w:pPr>
        <w:rPr>
          <w:rFonts w:eastAsia="宋体"/>
          <w:color w:val="auto"/>
          <w:position w:val="-64"/>
          <w:highlight w:val="none"/>
        </w:rPr>
      </w:pPr>
      <w:r>
        <w:rPr>
          <w:rFonts w:eastAsia="宋体"/>
          <w:color w:val="auto"/>
          <w:position w:val="-64"/>
          <w:highlight w:val="none"/>
          <w:lang w:eastAsia="zh-CN" w:bidi="ar-SA"/>
        </w:rPr>
        <w:drawing>
          <wp:anchor distT="0" distB="0" distL="0" distR="0" simplePos="0" relativeHeight="251659264" behindDoc="0" locked="0" layoutInCell="1" allowOverlap="1">
            <wp:simplePos x="0" y="0"/>
            <wp:positionH relativeFrom="column">
              <wp:posOffset>3086100</wp:posOffset>
            </wp:positionH>
            <wp:positionV relativeFrom="paragraph">
              <wp:posOffset>3810</wp:posOffset>
            </wp:positionV>
            <wp:extent cx="2636520" cy="2251710"/>
            <wp:effectExtent l="0" t="0" r="5080" b="8890"/>
            <wp:wrapSquare wrapText="bothSides"/>
            <wp:docPr id="5" name="IM 4"/>
            <wp:cNvGraphicFramePr/>
            <a:graphic xmlns:a="http://schemas.openxmlformats.org/drawingml/2006/main">
              <a:graphicData uri="http://schemas.openxmlformats.org/drawingml/2006/picture">
                <pic:pic xmlns:pic="http://schemas.openxmlformats.org/drawingml/2006/picture">
                  <pic:nvPicPr>
                    <pic:cNvPr id="5" name="IM 4"/>
                    <pic:cNvPicPr/>
                  </pic:nvPicPr>
                  <pic:blipFill>
                    <a:blip r:embed="rId4"/>
                    <a:stretch>
                      <a:fillRect/>
                    </a:stretch>
                  </pic:blipFill>
                  <pic:spPr>
                    <a:xfrm>
                      <a:off x="0" y="0"/>
                      <a:ext cx="2636520" cy="2251710"/>
                    </a:xfrm>
                    <a:prstGeom prst="rect">
                      <a:avLst/>
                    </a:prstGeom>
                    <a:noFill/>
                    <a:ln>
                      <a:noFill/>
                    </a:ln>
                  </pic:spPr>
                </pic:pic>
              </a:graphicData>
            </a:graphic>
          </wp:anchor>
        </w:drawing>
      </w:r>
      <w:r>
        <w:rPr>
          <w:rFonts w:eastAsia="宋体"/>
          <w:color w:val="auto"/>
          <w:position w:val="-64"/>
          <w:highlight w:val="none"/>
          <w:lang w:eastAsia="zh-CN" w:bidi="ar-SA"/>
        </w:rPr>
        <w:drawing>
          <wp:inline distT="0" distB="0" distL="114300" distR="114300">
            <wp:extent cx="2870200" cy="2249805"/>
            <wp:effectExtent l="0" t="0" r="0" b="10795"/>
            <wp:docPr id="7" name="图片 1"/>
            <wp:cNvGraphicFramePr/>
            <a:graphic xmlns:a="http://schemas.openxmlformats.org/drawingml/2006/main">
              <a:graphicData uri="http://schemas.openxmlformats.org/drawingml/2006/picture">
                <pic:pic xmlns:pic="http://schemas.openxmlformats.org/drawingml/2006/picture">
                  <pic:nvPicPr>
                    <pic:cNvPr id="7" name="图片 1"/>
                    <pic:cNvPicPr/>
                  </pic:nvPicPr>
                  <pic:blipFill>
                    <a:blip r:embed="rId5"/>
                    <a:stretch>
                      <a:fillRect/>
                    </a:stretch>
                  </pic:blipFill>
                  <pic:spPr>
                    <a:xfrm>
                      <a:off x="0" y="0"/>
                      <a:ext cx="2870200" cy="2249805"/>
                    </a:xfrm>
                    <a:prstGeom prst="rect">
                      <a:avLst/>
                    </a:prstGeom>
                    <a:noFill/>
                    <a:ln>
                      <a:noFill/>
                    </a:ln>
                  </pic:spPr>
                </pic:pic>
              </a:graphicData>
            </a:graphic>
          </wp:inline>
        </w:drawing>
      </w:r>
      <w:r>
        <w:rPr>
          <w:rFonts w:eastAsia="宋体"/>
          <w:color w:val="auto"/>
          <w:position w:val="-64"/>
          <w:highlight w:val="none"/>
          <w:lang w:eastAsia="zh-CN"/>
        </w:rPr>
        <w:t xml:space="preserve">  </w:t>
      </w:r>
    </w:p>
    <w:p w14:paraId="3B2D5035">
      <w:pPr>
        <w:keepNext w:val="0"/>
        <w:keepLines w:val="0"/>
        <w:pageBreakBefore w:val="0"/>
        <w:widowControl w:val="0"/>
        <w:kinsoku/>
        <w:wordWrap/>
        <w:overflowPunct/>
        <w:topLinePunct w:val="0"/>
        <w:autoSpaceDE/>
        <w:autoSpaceDN/>
        <w:bidi w:val="0"/>
        <w:adjustRightInd/>
        <w:snapToGrid/>
        <w:spacing w:line="15" w:lineRule="auto"/>
        <w:textAlignment w:val="auto"/>
        <w:rPr>
          <w:lang w:eastAsia="zh-CN"/>
        </w:rPr>
      </w:pPr>
    </w:p>
    <w:p w14:paraId="0B0CB721">
      <w:pPr>
        <w:ind w:left="0" w:leftChars="0" w:firstLine="1441" w:firstLineChars="600"/>
        <w:rPr>
          <w:b/>
          <w:bCs/>
          <w:color w:val="auto"/>
          <w:position w:val="-64"/>
          <w:sz w:val="24"/>
          <w:szCs w:val="24"/>
          <w:highlight w:val="none"/>
          <w:lang w:eastAsia="zh-CN"/>
        </w:rPr>
      </w:pPr>
      <w:r>
        <w:rPr>
          <w:b/>
          <w:bCs/>
          <w:color w:val="auto"/>
          <w:position w:val="-64"/>
          <w:sz w:val="24"/>
          <w:szCs w:val="24"/>
          <w:highlight w:val="none"/>
          <w:lang w:eastAsia="zh-CN"/>
        </w:rPr>
        <w:t xml:space="preserve">茅排乡（538亩）   </w:t>
      </w:r>
      <w:r>
        <w:rPr>
          <w:rFonts w:hint="eastAsia"/>
          <w:b/>
          <w:bCs/>
          <w:color w:val="auto"/>
          <w:position w:val="-64"/>
          <w:sz w:val="24"/>
          <w:szCs w:val="24"/>
          <w:highlight w:val="none"/>
          <w:lang w:val="en-US" w:eastAsia="zh-CN"/>
        </w:rPr>
        <w:t xml:space="preserve">    </w:t>
      </w:r>
      <w:r>
        <w:rPr>
          <w:b/>
          <w:bCs/>
          <w:color w:val="auto"/>
          <w:position w:val="-64"/>
          <w:sz w:val="24"/>
          <w:szCs w:val="24"/>
          <w:highlight w:val="none"/>
          <w:lang w:eastAsia="zh-CN"/>
        </w:rPr>
        <w:t xml:space="preserve">  抚北镇（493.08亩）</w:t>
      </w:r>
    </w:p>
    <w:p w14:paraId="0B20F96D">
      <w:pPr>
        <w:spacing w:line="240" w:lineRule="auto"/>
        <w:ind w:firstLine="1201" w:firstLineChars="500"/>
        <w:rPr>
          <w:b/>
          <w:bCs/>
          <w:color w:val="auto"/>
          <w:position w:val="-64"/>
          <w:sz w:val="24"/>
          <w:szCs w:val="24"/>
          <w:highlight w:val="none"/>
          <w:lang w:eastAsia="zh-CN"/>
        </w:rPr>
      </w:pPr>
      <w:r>
        <w:rPr>
          <w:b/>
          <w:bCs/>
          <w:color w:val="auto"/>
          <w:position w:val="-64"/>
          <w:sz w:val="24"/>
          <w:szCs w:val="24"/>
          <w:highlight w:val="none"/>
          <w:lang w:eastAsia="zh-CN"/>
        </w:rPr>
        <w:t xml:space="preserve">           </w:t>
      </w:r>
    </w:p>
    <w:p w14:paraId="28C3C955">
      <w:pPr>
        <w:spacing w:line="360" w:lineRule="auto"/>
        <w:ind w:firstLine="1201" w:firstLineChars="500"/>
        <w:rPr>
          <w:b/>
          <w:bCs/>
          <w:color w:val="auto"/>
          <w:sz w:val="24"/>
          <w:szCs w:val="24"/>
          <w:highlight w:val="none"/>
          <w:lang w:eastAsia="zh-CN"/>
        </w:rPr>
      </w:pPr>
      <w:r>
        <w:rPr>
          <w:b/>
          <w:bCs/>
          <w:color w:val="auto"/>
          <w:sz w:val="24"/>
          <w:szCs w:val="24"/>
          <w:highlight w:val="none"/>
          <w:lang w:eastAsia="zh-CN"/>
        </w:rPr>
        <w:t>图</w:t>
      </w:r>
      <w:r>
        <w:rPr>
          <w:rFonts w:hint="eastAsia"/>
          <w:b/>
          <w:bCs/>
          <w:color w:val="auto"/>
          <w:sz w:val="24"/>
          <w:szCs w:val="24"/>
          <w:highlight w:val="none"/>
          <w:lang w:val="en-US" w:eastAsia="zh-CN"/>
        </w:rPr>
        <w:t xml:space="preserve">1 </w:t>
      </w:r>
      <w:r>
        <w:rPr>
          <w:b/>
          <w:bCs/>
          <w:color w:val="auto"/>
          <w:sz w:val="24"/>
          <w:szCs w:val="24"/>
          <w:highlight w:val="none"/>
          <w:lang w:eastAsia="zh-CN"/>
        </w:rPr>
        <w:t>临川区受污染耕地安全利用实施范围分布图</w:t>
      </w:r>
    </w:p>
    <w:p w14:paraId="4345DDB8">
      <w:pPr>
        <w:pStyle w:val="7"/>
        <w:keepNext/>
        <w:keepLines/>
        <w:spacing w:after="0" w:line="480" w:lineRule="auto"/>
        <w:jc w:val="left"/>
        <w:rPr>
          <w:rFonts w:ascii="Times New Roman" w:hAnsi="Times New Roman" w:cs="Times New Roman"/>
          <w:b/>
          <w:bCs/>
          <w:color w:val="auto"/>
          <w:sz w:val="24"/>
          <w:szCs w:val="24"/>
          <w:highlight w:val="none"/>
          <w:lang w:val="en-US" w:eastAsia="zh-CN" w:bidi="en-US"/>
        </w:rPr>
      </w:pPr>
      <w:r>
        <w:rPr>
          <w:rFonts w:ascii="Times New Roman" w:hAnsi="Times New Roman" w:cs="Times New Roman"/>
          <w:b/>
          <w:bCs/>
          <w:color w:val="auto"/>
          <w:sz w:val="24"/>
          <w:szCs w:val="24"/>
          <w:highlight w:val="none"/>
          <w:lang w:val="en-US" w:eastAsia="zh-CN" w:bidi="en-US"/>
        </w:rPr>
        <w:t>1.</w:t>
      </w:r>
      <w:r>
        <w:rPr>
          <w:rFonts w:hint="eastAsia" w:ascii="Times New Roman" w:hAnsi="Times New Roman" w:cs="Times New Roman"/>
          <w:b/>
          <w:bCs/>
          <w:color w:val="auto"/>
          <w:sz w:val="24"/>
          <w:szCs w:val="24"/>
          <w:highlight w:val="none"/>
          <w:lang w:val="en-US" w:eastAsia="zh-CN" w:bidi="en-US"/>
        </w:rPr>
        <w:t>3</w:t>
      </w:r>
      <w:r>
        <w:rPr>
          <w:rFonts w:ascii="Times New Roman" w:hAnsi="Times New Roman" w:cs="Times New Roman"/>
          <w:b/>
          <w:bCs/>
          <w:color w:val="auto"/>
          <w:sz w:val="24"/>
          <w:szCs w:val="24"/>
          <w:highlight w:val="none"/>
          <w:lang w:val="en-US" w:eastAsia="zh-CN" w:bidi="en-US"/>
        </w:rPr>
        <w:t>项目任务</w:t>
      </w:r>
    </w:p>
    <w:p w14:paraId="1BBA1EEB">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zh-TW" w:eastAsia="zh-CN"/>
        </w:rPr>
        <w:t>202</w:t>
      </w:r>
      <w:r>
        <w:rPr>
          <w:rFonts w:hint="eastAsia" w:ascii="宋体" w:hAnsi="宋体" w:eastAsia="宋体" w:cs="宋体"/>
          <w:color w:val="auto"/>
          <w:sz w:val="24"/>
          <w:szCs w:val="24"/>
          <w:highlight w:val="none"/>
          <w:lang w:eastAsia="zh-CN"/>
        </w:rPr>
        <w:t>6</w:t>
      </w:r>
      <w:r>
        <w:rPr>
          <w:rFonts w:hint="eastAsia" w:ascii="宋体" w:hAnsi="宋体" w:eastAsia="宋体" w:cs="宋体"/>
          <w:color w:val="auto"/>
          <w:sz w:val="24"/>
          <w:szCs w:val="24"/>
          <w:highlight w:val="none"/>
          <w:lang w:val="zh-TW" w:eastAsia="zh-CN"/>
        </w:rPr>
        <w:t>年</w:t>
      </w:r>
      <w:r>
        <w:rPr>
          <w:rFonts w:hint="eastAsia" w:ascii="宋体" w:hAnsi="宋体" w:eastAsia="宋体" w:cs="宋体"/>
          <w:color w:val="auto"/>
          <w:sz w:val="24"/>
          <w:szCs w:val="24"/>
          <w:highlight w:val="none"/>
          <w:lang w:eastAsia="zh-CN"/>
        </w:rPr>
        <w:t>临川区农业农村局动态调整后任务面积1623.93亩，安全利用类1046.03亩，</w:t>
      </w:r>
      <w:r>
        <w:rPr>
          <w:rFonts w:hint="eastAsia" w:ascii="宋体" w:hAnsi="宋体" w:eastAsia="宋体" w:cs="宋体"/>
          <w:color w:val="auto"/>
          <w:sz w:val="24"/>
          <w:szCs w:val="24"/>
          <w:highlight w:val="none"/>
          <w:lang w:val="zh-TW" w:eastAsia="zh-CN"/>
        </w:rPr>
        <w:t>分布在</w:t>
      </w:r>
      <w:r>
        <w:rPr>
          <w:rFonts w:hint="eastAsia"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val="zh-TW" w:eastAsia="zh-CN"/>
        </w:rPr>
        <w:t>个乡镇及抚州市高新区：</w:t>
      </w:r>
      <w:r>
        <w:rPr>
          <w:rFonts w:hint="eastAsia" w:ascii="宋体" w:hAnsi="宋体" w:eastAsia="宋体" w:cs="宋体"/>
          <w:color w:val="auto"/>
          <w:sz w:val="24"/>
          <w:szCs w:val="24"/>
          <w:highlight w:val="none"/>
          <w:lang w:eastAsia="zh-CN"/>
        </w:rPr>
        <w:t>茅排镇（538亩）、抚北镇（493.08亩）、抚州市高新区14.95亩</w:t>
      </w:r>
      <w:r>
        <w:rPr>
          <w:rFonts w:hint="eastAsia" w:ascii="宋体" w:hAnsi="宋体" w:eastAsia="宋体" w:cs="宋体"/>
          <w:color w:val="auto"/>
          <w:sz w:val="24"/>
          <w:szCs w:val="24"/>
          <w:highlight w:val="none"/>
          <w:lang w:val="zh-TW" w:eastAsia="zh-CN"/>
        </w:rPr>
        <w:t>；严格管控区</w:t>
      </w:r>
      <w:r>
        <w:rPr>
          <w:rFonts w:hint="eastAsia" w:ascii="宋体" w:hAnsi="宋体" w:eastAsia="宋体" w:cs="宋体"/>
          <w:color w:val="auto"/>
          <w:sz w:val="24"/>
          <w:szCs w:val="24"/>
          <w:highlight w:val="none"/>
          <w:lang w:eastAsia="zh-CN"/>
        </w:rPr>
        <w:t>577.9</w:t>
      </w:r>
      <w:r>
        <w:rPr>
          <w:rFonts w:hint="eastAsia" w:ascii="宋体" w:hAnsi="宋体" w:eastAsia="宋体" w:cs="宋体"/>
          <w:color w:val="auto"/>
          <w:sz w:val="24"/>
          <w:szCs w:val="24"/>
          <w:highlight w:val="none"/>
          <w:lang w:val="zh-TW" w:eastAsia="zh-CN"/>
        </w:rPr>
        <w:t>亩，分布在</w:t>
      </w:r>
      <w:r>
        <w:rPr>
          <w:rFonts w:hint="eastAsia"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val="zh-TW" w:eastAsia="zh-CN"/>
        </w:rPr>
        <w:t>个乡镇，</w:t>
      </w:r>
      <w:r>
        <w:rPr>
          <w:rFonts w:hint="eastAsia" w:ascii="宋体" w:hAnsi="宋体" w:eastAsia="宋体" w:cs="宋体"/>
          <w:color w:val="auto"/>
          <w:sz w:val="24"/>
          <w:szCs w:val="24"/>
          <w:highlight w:val="none"/>
          <w:lang w:eastAsia="zh-CN"/>
        </w:rPr>
        <w:t>展坪镇（304.9亩）、抚北镇（273亩）</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eastAsia="zh-CN"/>
        </w:rPr>
        <w:t>其中水稻种植区593.08亩（均为中稻），种植结构调整438亩（表</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p>
    <w:p w14:paraId="49C23778">
      <w:pPr>
        <w:pStyle w:val="8"/>
        <w:spacing w:line="360" w:lineRule="auto"/>
        <w:ind w:firstLine="0"/>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表</w:t>
      </w:r>
      <w:r>
        <w:rPr>
          <w:rFonts w:hint="eastAsia" w:ascii="宋体" w:hAnsi="宋体" w:eastAsia="宋体" w:cs="宋体"/>
          <w:b/>
          <w:bCs/>
          <w:color w:val="auto"/>
          <w:sz w:val="24"/>
          <w:szCs w:val="24"/>
          <w:highlight w:val="none"/>
          <w:lang w:val="en-US" w:eastAsia="zh-CN"/>
        </w:rPr>
        <w:t xml:space="preserve">2 </w:t>
      </w:r>
      <w:r>
        <w:rPr>
          <w:rFonts w:hint="eastAsia" w:ascii="宋体" w:hAnsi="宋体" w:eastAsia="宋体" w:cs="宋体"/>
          <w:b/>
          <w:bCs/>
          <w:color w:val="auto"/>
          <w:sz w:val="24"/>
          <w:szCs w:val="24"/>
          <w:highlight w:val="none"/>
          <w:lang w:eastAsia="zh-CN"/>
        </w:rPr>
        <w:t xml:space="preserve"> 202</w:t>
      </w: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lang w:eastAsia="zh-CN"/>
        </w:rPr>
        <w:t>年</w:t>
      </w:r>
      <w:r>
        <w:rPr>
          <w:rFonts w:hint="eastAsia" w:ascii="宋体" w:hAnsi="宋体" w:eastAsia="宋体" w:cs="宋体"/>
          <w:b/>
          <w:bCs/>
          <w:color w:val="auto"/>
          <w:sz w:val="24"/>
          <w:szCs w:val="24"/>
          <w:highlight w:val="none"/>
          <w:lang w:val="en-US" w:eastAsia="zh-CN"/>
        </w:rPr>
        <w:t>临川区</w:t>
      </w:r>
      <w:r>
        <w:rPr>
          <w:rFonts w:hint="eastAsia" w:ascii="宋体" w:hAnsi="宋体" w:eastAsia="宋体" w:cs="宋体"/>
          <w:b/>
          <w:bCs/>
          <w:color w:val="auto"/>
          <w:sz w:val="24"/>
          <w:szCs w:val="24"/>
          <w:highlight w:val="none"/>
          <w:lang w:eastAsia="zh-CN"/>
        </w:rPr>
        <w:t>受污染耕地水稻和种植结构调整面积统计表</w:t>
      </w: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3"/>
        <w:gridCol w:w="1199"/>
        <w:gridCol w:w="1251"/>
        <w:gridCol w:w="1473"/>
        <w:gridCol w:w="1126"/>
        <w:gridCol w:w="1494"/>
        <w:gridCol w:w="1222"/>
      </w:tblGrid>
      <w:tr w14:paraId="603D2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jc w:val="center"/>
        </w:trPr>
        <w:tc>
          <w:tcPr>
            <w:tcW w:w="1303" w:type="dxa"/>
            <w:vMerge w:val="restart"/>
            <w:noWrap w:val="0"/>
            <w:vAlign w:val="center"/>
          </w:tcPr>
          <w:p w14:paraId="2976A8C5">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乡镇</w:t>
            </w:r>
          </w:p>
        </w:tc>
        <w:tc>
          <w:tcPr>
            <w:tcW w:w="1199" w:type="dxa"/>
            <w:vMerge w:val="restart"/>
            <w:noWrap w:val="0"/>
            <w:vAlign w:val="center"/>
          </w:tcPr>
          <w:p w14:paraId="2180D8D1">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行政村</w:t>
            </w:r>
          </w:p>
        </w:tc>
        <w:tc>
          <w:tcPr>
            <w:tcW w:w="1251" w:type="dxa"/>
            <w:vMerge w:val="restart"/>
            <w:noWrap w:val="0"/>
            <w:vAlign w:val="center"/>
          </w:tcPr>
          <w:p w14:paraId="38B43E0B">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目标污染物</w:t>
            </w:r>
          </w:p>
        </w:tc>
        <w:tc>
          <w:tcPr>
            <w:tcW w:w="1473" w:type="dxa"/>
            <w:vMerge w:val="restart"/>
            <w:noWrap w:val="0"/>
            <w:vAlign w:val="center"/>
          </w:tcPr>
          <w:p w14:paraId="22CE878D">
            <w:pPr>
              <w:widowControl/>
              <w:jc w:val="both"/>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受污染耕地面积（亩）</w:t>
            </w:r>
          </w:p>
        </w:tc>
        <w:tc>
          <w:tcPr>
            <w:tcW w:w="1126" w:type="dxa"/>
            <w:vMerge w:val="restart"/>
            <w:noWrap w:val="0"/>
            <w:vAlign w:val="center"/>
          </w:tcPr>
          <w:p w14:paraId="74DB50A3">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严格管控面积（亩）</w:t>
            </w:r>
          </w:p>
        </w:tc>
        <w:tc>
          <w:tcPr>
            <w:tcW w:w="1494" w:type="dxa"/>
            <w:noWrap w:val="0"/>
            <w:vAlign w:val="center"/>
          </w:tcPr>
          <w:p w14:paraId="1AFA4D65">
            <w:pPr>
              <w:pStyle w:val="8"/>
              <w:spacing w:after="200" w:line="240" w:lineRule="auto"/>
              <w:ind w:firstLine="0"/>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bidi="ar"/>
              </w:rPr>
              <w:t>水稻种植面积（亩）</w:t>
            </w:r>
          </w:p>
        </w:tc>
        <w:tc>
          <w:tcPr>
            <w:tcW w:w="1222" w:type="dxa"/>
            <w:vMerge w:val="restart"/>
            <w:noWrap w:val="0"/>
            <w:vAlign w:val="center"/>
          </w:tcPr>
          <w:p w14:paraId="3D12B2BB">
            <w:pPr>
              <w:pStyle w:val="8"/>
              <w:spacing w:after="200" w:line="240" w:lineRule="auto"/>
              <w:ind w:firstLine="0"/>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bidi="ar"/>
              </w:rPr>
              <w:t>种植结构调整面积（亩）</w:t>
            </w:r>
          </w:p>
        </w:tc>
      </w:tr>
      <w:tr w14:paraId="47CB5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303" w:type="dxa"/>
            <w:vMerge w:val="continue"/>
            <w:noWrap w:val="0"/>
            <w:vAlign w:val="center"/>
          </w:tcPr>
          <w:p w14:paraId="212AC8D5">
            <w:pPr>
              <w:widowControl/>
              <w:jc w:val="center"/>
              <w:textAlignment w:val="center"/>
              <w:rPr>
                <w:rFonts w:hint="eastAsia" w:ascii="宋体" w:hAnsi="宋体" w:eastAsia="宋体" w:cs="宋体"/>
                <w:color w:val="auto"/>
                <w:sz w:val="24"/>
                <w:szCs w:val="24"/>
                <w:highlight w:val="none"/>
                <w:lang w:eastAsia="zh-CN"/>
              </w:rPr>
            </w:pPr>
          </w:p>
        </w:tc>
        <w:tc>
          <w:tcPr>
            <w:tcW w:w="1199" w:type="dxa"/>
            <w:vMerge w:val="continue"/>
            <w:noWrap w:val="0"/>
            <w:vAlign w:val="center"/>
          </w:tcPr>
          <w:p w14:paraId="1E867833">
            <w:pPr>
              <w:widowControl/>
              <w:jc w:val="center"/>
              <w:textAlignment w:val="center"/>
              <w:rPr>
                <w:rFonts w:hint="eastAsia" w:ascii="宋体" w:hAnsi="宋体" w:eastAsia="宋体" w:cs="宋体"/>
                <w:color w:val="auto"/>
                <w:sz w:val="24"/>
                <w:szCs w:val="24"/>
                <w:highlight w:val="none"/>
                <w:lang w:eastAsia="zh-CN"/>
              </w:rPr>
            </w:pPr>
          </w:p>
        </w:tc>
        <w:tc>
          <w:tcPr>
            <w:tcW w:w="1251" w:type="dxa"/>
            <w:vMerge w:val="continue"/>
            <w:noWrap w:val="0"/>
            <w:vAlign w:val="center"/>
          </w:tcPr>
          <w:p w14:paraId="29743FBD">
            <w:pPr>
              <w:widowControl/>
              <w:jc w:val="center"/>
              <w:textAlignment w:val="center"/>
              <w:rPr>
                <w:rFonts w:hint="eastAsia" w:ascii="宋体" w:hAnsi="宋体" w:eastAsia="宋体" w:cs="宋体"/>
                <w:color w:val="auto"/>
                <w:sz w:val="24"/>
                <w:szCs w:val="24"/>
                <w:highlight w:val="none"/>
                <w:lang w:eastAsia="zh-CN"/>
              </w:rPr>
            </w:pPr>
          </w:p>
        </w:tc>
        <w:tc>
          <w:tcPr>
            <w:tcW w:w="1473" w:type="dxa"/>
            <w:vMerge w:val="continue"/>
            <w:noWrap w:val="0"/>
            <w:vAlign w:val="center"/>
          </w:tcPr>
          <w:p w14:paraId="63F27BB0">
            <w:pPr>
              <w:widowControl/>
              <w:jc w:val="center"/>
              <w:textAlignment w:val="center"/>
              <w:rPr>
                <w:rFonts w:hint="eastAsia" w:ascii="宋体" w:hAnsi="宋体" w:eastAsia="宋体" w:cs="宋体"/>
                <w:color w:val="auto"/>
                <w:sz w:val="24"/>
                <w:szCs w:val="24"/>
                <w:highlight w:val="none"/>
                <w:lang w:eastAsia="zh-CN"/>
              </w:rPr>
            </w:pPr>
          </w:p>
        </w:tc>
        <w:tc>
          <w:tcPr>
            <w:tcW w:w="1126" w:type="dxa"/>
            <w:vMerge w:val="continue"/>
            <w:noWrap w:val="0"/>
            <w:vAlign w:val="center"/>
          </w:tcPr>
          <w:p w14:paraId="1A6E9055">
            <w:pPr>
              <w:widowControl/>
              <w:jc w:val="center"/>
              <w:textAlignment w:val="center"/>
              <w:rPr>
                <w:rFonts w:hint="eastAsia" w:ascii="宋体" w:hAnsi="宋体" w:eastAsia="宋体" w:cs="宋体"/>
                <w:color w:val="auto"/>
                <w:sz w:val="24"/>
                <w:szCs w:val="24"/>
                <w:highlight w:val="none"/>
                <w:lang w:eastAsia="zh-CN"/>
              </w:rPr>
            </w:pPr>
          </w:p>
        </w:tc>
        <w:tc>
          <w:tcPr>
            <w:tcW w:w="1494" w:type="dxa"/>
            <w:noWrap w:val="0"/>
            <w:vAlign w:val="center"/>
          </w:tcPr>
          <w:p w14:paraId="69581363">
            <w:pPr>
              <w:widowControl/>
              <w:jc w:val="center"/>
              <w:textAlignment w:val="center"/>
              <w:rPr>
                <w:rFonts w:hint="eastAsia" w:ascii="宋体" w:hAnsi="宋体" w:eastAsia="宋体" w:cs="宋体"/>
                <w:b/>
                <w:bCs/>
                <w:color w:val="auto"/>
                <w:sz w:val="24"/>
                <w:szCs w:val="24"/>
                <w:highlight w:val="none"/>
                <w:lang w:eastAsia="zh-CN" w:bidi="ar"/>
              </w:rPr>
            </w:pPr>
            <w:r>
              <w:rPr>
                <w:rFonts w:hint="eastAsia" w:ascii="宋体" w:hAnsi="宋体" w:eastAsia="宋体" w:cs="宋体"/>
                <w:b/>
                <w:bCs/>
                <w:color w:val="auto"/>
                <w:sz w:val="24"/>
                <w:szCs w:val="24"/>
                <w:highlight w:val="none"/>
                <w:lang w:eastAsia="zh-CN" w:bidi="ar"/>
              </w:rPr>
              <w:t>中稻</w:t>
            </w:r>
          </w:p>
        </w:tc>
        <w:tc>
          <w:tcPr>
            <w:tcW w:w="1222" w:type="dxa"/>
            <w:vMerge w:val="continue"/>
            <w:noWrap w:val="0"/>
            <w:vAlign w:val="center"/>
          </w:tcPr>
          <w:p w14:paraId="38EB95FD">
            <w:pPr>
              <w:widowControl/>
              <w:jc w:val="center"/>
              <w:textAlignment w:val="center"/>
              <w:rPr>
                <w:rFonts w:hint="eastAsia" w:ascii="宋体" w:hAnsi="宋体" w:eastAsia="宋体" w:cs="宋体"/>
                <w:b/>
                <w:bCs/>
                <w:color w:val="auto"/>
                <w:sz w:val="24"/>
                <w:szCs w:val="24"/>
                <w:highlight w:val="none"/>
                <w:lang w:eastAsia="zh-CN" w:bidi="ar"/>
              </w:rPr>
            </w:pPr>
          </w:p>
        </w:tc>
      </w:tr>
      <w:tr w14:paraId="2DD26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0BDC59BF">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抚北镇</w:t>
            </w:r>
          </w:p>
        </w:tc>
        <w:tc>
          <w:tcPr>
            <w:tcW w:w="1199" w:type="dxa"/>
            <w:noWrap w:val="0"/>
            <w:vAlign w:val="center"/>
          </w:tcPr>
          <w:p w14:paraId="4345C19D">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金坪村</w:t>
            </w:r>
          </w:p>
        </w:tc>
        <w:tc>
          <w:tcPr>
            <w:tcW w:w="1251" w:type="dxa"/>
            <w:noWrap w:val="0"/>
            <w:vAlign w:val="center"/>
          </w:tcPr>
          <w:p w14:paraId="41F61773">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镉、汞</w:t>
            </w:r>
          </w:p>
        </w:tc>
        <w:tc>
          <w:tcPr>
            <w:tcW w:w="1473" w:type="dxa"/>
            <w:noWrap w:val="0"/>
            <w:vAlign w:val="center"/>
          </w:tcPr>
          <w:p w14:paraId="0BCA155C">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493.08</w:t>
            </w:r>
          </w:p>
        </w:tc>
        <w:tc>
          <w:tcPr>
            <w:tcW w:w="1126" w:type="dxa"/>
            <w:noWrap w:val="0"/>
            <w:vAlign w:val="center"/>
          </w:tcPr>
          <w:p w14:paraId="2594E5F4">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494" w:type="dxa"/>
            <w:noWrap w:val="0"/>
            <w:vAlign w:val="center"/>
          </w:tcPr>
          <w:p w14:paraId="09A7D791">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493.08</w:t>
            </w:r>
          </w:p>
        </w:tc>
        <w:tc>
          <w:tcPr>
            <w:tcW w:w="1222" w:type="dxa"/>
            <w:noWrap w:val="0"/>
            <w:vAlign w:val="center"/>
          </w:tcPr>
          <w:p w14:paraId="38E409B5">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07344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0D0A996F">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茅排镇</w:t>
            </w:r>
          </w:p>
        </w:tc>
        <w:tc>
          <w:tcPr>
            <w:tcW w:w="1199" w:type="dxa"/>
            <w:noWrap w:val="0"/>
            <w:vAlign w:val="center"/>
          </w:tcPr>
          <w:p w14:paraId="0717C414">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泽泉村</w:t>
            </w:r>
          </w:p>
        </w:tc>
        <w:tc>
          <w:tcPr>
            <w:tcW w:w="1251" w:type="dxa"/>
            <w:noWrap w:val="0"/>
            <w:vAlign w:val="center"/>
          </w:tcPr>
          <w:p w14:paraId="6BA1DB8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镉、汞</w:t>
            </w:r>
          </w:p>
        </w:tc>
        <w:tc>
          <w:tcPr>
            <w:tcW w:w="1473" w:type="dxa"/>
            <w:noWrap w:val="0"/>
            <w:vAlign w:val="center"/>
          </w:tcPr>
          <w:p w14:paraId="7D2301B0">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538</w:t>
            </w:r>
          </w:p>
        </w:tc>
        <w:tc>
          <w:tcPr>
            <w:tcW w:w="1126" w:type="dxa"/>
            <w:noWrap w:val="0"/>
            <w:vAlign w:val="center"/>
          </w:tcPr>
          <w:p w14:paraId="63648812">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494" w:type="dxa"/>
            <w:noWrap w:val="0"/>
            <w:vAlign w:val="center"/>
          </w:tcPr>
          <w:p w14:paraId="3CF29BA4">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100</w:t>
            </w:r>
          </w:p>
        </w:tc>
        <w:tc>
          <w:tcPr>
            <w:tcW w:w="1222" w:type="dxa"/>
            <w:noWrap w:val="0"/>
            <w:vAlign w:val="center"/>
          </w:tcPr>
          <w:p w14:paraId="67DE0787">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438</w:t>
            </w:r>
          </w:p>
        </w:tc>
      </w:tr>
      <w:tr w14:paraId="1BFFA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32F2C80A">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展坪镇</w:t>
            </w:r>
          </w:p>
        </w:tc>
        <w:tc>
          <w:tcPr>
            <w:tcW w:w="1199" w:type="dxa"/>
            <w:noWrap w:val="0"/>
            <w:vAlign w:val="center"/>
          </w:tcPr>
          <w:p w14:paraId="24884F13">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山下村</w:t>
            </w:r>
          </w:p>
        </w:tc>
        <w:tc>
          <w:tcPr>
            <w:tcW w:w="1251" w:type="dxa"/>
            <w:noWrap w:val="0"/>
            <w:vAlign w:val="center"/>
          </w:tcPr>
          <w:p w14:paraId="72F299BD">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w:t>
            </w:r>
          </w:p>
        </w:tc>
        <w:tc>
          <w:tcPr>
            <w:tcW w:w="1473" w:type="dxa"/>
            <w:noWrap w:val="0"/>
            <w:vAlign w:val="center"/>
          </w:tcPr>
          <w:p w14:paraId="69DFCCF9">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126" w:type="dxa"/>
            <w:noWrap w:val="0"/>
            <w:vAlign w:val="center"/>
          </w:tcPr>
          <w:p w14:paraId="13D96DAA">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215</w:t>
            </w:r>
          </w:p>
        </w:tc>
        <w:tc>
          <w:tcPr>
            <w:tcW w:w="1494" w:type="dxa"/>
            <w:noWrap w:val="0"/>
            <w:vAlign w:val="center"/>
          </w:tcPr>
          <w:p w14:paraId="4365033D">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222" w:type="dxa"/>
            <w:noWrap w:val="0"/>
            <w:vAlign w:val="center"/>
          </w:tcPr>
          <w:p w14:paraId="3CD04619">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4DC26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27153BDD">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展坪镇</w:t>
            </w:r>
          </w:p>
        </w:tc>
        <w:tc>
          <w:tcPr>
            <w:tcW w:w="1199" w:type="dxa"/>
            <w:noWrap w:val="0"/>
            <w:vAlign w:val="center"/>
          </w:tcPr>
          <w:p w14:paraId="7428FD73">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石港村</w:t>
            </w:r>
          </w:p>
        </w:tc>
        <w:tc>
          <w:tcPr>
            <w:tcW w:w="1251" w:type="dxa"/>
            <w:noWrap w:val="0"/>
            <w:vAlign w:val="center"/>
          </w:tcPr>
          <w:p w14:paraId="4316D156">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w:t>
            </w:r>
          </w:p>
        </w:tc>
        <w:tc>
          <w:tcPr>
            <w:tcW w:w="1473" w:type="dxa"/>
            <w:noWrap w:val="0"/>
            <w:vAlign w:val="center"/>
          </w:tcPr>
          <w:p w14:paraId="3F607754">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126" w:type="dxa"/>
            <w:noWrap w:val="0"/>
            <w:vAlign w:val="center"/>
          </w:tcPr>
          <w:p w14:paraId="2971921F">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65</w:t>
            </w:r>
          </w:p>
        </w:tc>
        <w:tc>
          <w:tcPr>
            <w:tcW w:w="1494" w:type="dxa"/>
            <w:noWrap w:val="0"/>
            <w:vAlign w:val="center"/>
          </w:tcPr>
          <w:p w14:paraId="0F268F82">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222" w:type="dxa"/>
            <w:noWrap w:val="0"/>
            <w:vAlign w:val="center"/>
          </w:tcPr>
          <w:p w14:paraId="4619398E">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3B846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45DD7BF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展坪镇</w:t>
            </w:r>
          </w:p>
        </w:tc>
        <w:tc>
          <w:tcPr>
            <w:tcW w:w="1199" w:type="dxa"/>
            <w:noWrap w:val="0"/>
            <w:vAlign w:val="center"/>
          </w:tcPr>
          <w:p w14:paraId="332E2E9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茶山村</w:t>
            </w:r>
          </w:p>
        </w:tc>
        <w:tc>
          <w:tcPr>
            <w:tcW w:w="1251" w:type="dxa"/>
            <w:noWrap w:val="0"/>
            <w:vAlign w:val="center"/>
          </w:tcPr>
          <w:p w14:paraId="01179369">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w:t>
            </w:r>
          </w:p>
        </w:tc>
        <w:tc>
          <w:tcPr>
            <w:tcW w:w="1473" w:type="dxa"/>
            <w:noWrap w:val="0"/>
            <w:vAlign w:val="center"/>
          </w:tcPr>
          <w:p w14:paraId="0E679796">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126" w:type="dxa"/>
            <w:noWrap w:val="0"/>
            <w:vAlign w:val="center"/>
          </w:tcPr>
          <w:p w14:paraId="69030ED4">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24.9</w:t>
            </w:r>
          </w:p>
        </w:tc>
        <w:tc>
          <w:tcPr>
            <w:tcW w:w="1494" w:type="dxa"/>
            <w:noWrap w:val="0"/>
            <w:vAlign w:val="center"/>
          </w:tcPr>
          <w:p w14:paraId="0596E6D5">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222" w:type="dxa"/>
            <w:noWrap w:val="0"/>
            <w:vAlign w:val="center"/>
          </w:tcPr>
          <w:p w14:paraId="77342FD6">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1A747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2FD504F9">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抚北镇</w:t>
            </w:r>
          </w:p>
        </w:tc>
        <w:tc>
          <w:tcPr>
            <w:tcW w:w="1199" w:type="dxa"/>
            <w:noWrap w:val="0"/>
            <w:vAlign w:val="center"/>
          </w:tcPr>
          <w:p w14:paraId="792AC966">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金坪村裴家组</w:t>
            </w:r>
          </w:p>
        </w:tc>
        <w:tc>
          <w:tcPr>
            <w:tcW w:w="1251" w:type="dxa"/>
            <w:noWrap w:val="0"/>
            <w:vAlign w:val="center"/>
          </w:tcPr>
          <w:p w14:paraId="08D180B3">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w:t>
            </w:r>
          </w:p>
        </w:tc>
        <w:tc>
          <w:tcPr>
            <w:tcW w:w="1473" w:type="dxa"/>
            <w:noWrap w:val="0"/>
            <w:vAlign w:val="center"/>
          </w:tcPr>
          <w:p w14:paraId="5CF455D3">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126" w:type="dxa"/>
            <w:noWrap w:val="0"/>
            <w:vAlign w:val="center"/>
          </w:tcPr>
          <w:p w14:paraId="3CA696FB">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273</w:t>
            </w:r>
          </w:p>
        </w:tc>
        <w:tc>
          <w:tcPr>
            <w:tcW w:w="1494" w:type="dxa"/>
            <w:noWrap w:val="0"/>
            <w:vAlign w:val="center"/>
          </w:tcPr>
          <w:p w14:paraId="03E483C9">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222" w:type="dxa"/>
            <w:noWrap w:val="0"/>
            <w:vAlign w:val="center"/>
          </w:tcPr>
          <w:p w14:paraId="41DE309F">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5618D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6BD727F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抚州市高新区崇岗镇和城西街办</w:t>
            </w:r>
          </w:p>
        </w:tc>
        <w:tc>
          <w:tcPr>
            <w:tcW w:w="1199" w:type="dxa"/>
            <w:noWrap w:val="0"/>
            <w:vAlign w:val="center"/>
          </w:tcPr>
          <w:p w14:paraId="5B5A28F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凤岗村和东津村</w:t>
            </w:r>
          </w:p>
        </w:tc>
        <w:tc>
          <w:tcPr>
            <w:tcW w:w="1251" w:type="dxa"/>
            <w:noWrap w:val="0"/>
            <w:vAlign w:val="center"/>
          </w:tcPr>
          <w:p w14:paraId="0C30AE8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镉、汞</w:t>
            </w:r>
          </w:p>
        </w:tc>
        <w:tc>
          <w:tcPr>
            <w:tcW w:w="1473" w:type="dxa"/>
            <w:noWrap w:val="0"/>
            <w:vAlign w:val="center"/>
          </w:tcPr>
          <w:p w14:paraId="516D5DCA">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14.95</w:t>
            </w:r>
          </w:p>
        </w:tc>
        <w:tc>
          <w:tcPr>
            <w:tcW w:w="1126" w:type="dxa"/>
            <w:noWrap w:val="0"/>
            <w:vAlign w:val="center"/>
          </w:tcPr>
          <w:p w14:paraId="475CEFD8">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494" w:type="dxa"/>
            <w:noWrap w:val="0"/>
            <w:vAlign w:val="center"/>
          </w:tcPr>
          <w:p w14:paraId="35260149">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222" w:type="dxa"/>
            <w:noWrap w:val="0"/>
            <w:vAlign w:val="center"/>
          </w:tcPr>
          <w:p w14:paraId="70FEAEA9">
            <w:pPr>
              <w:widowControl/>
              <w:jc w:val="center"/>
              <w:textAlignment w:val="bottom"/>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14.95休耕</w:t>
            </w:r>
          </w:p>
        </w:tc>
      </w:tr>
      <w:tr w14:paraId="7EBC7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29E96310">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抚北镇</w:t>
            </w:r>
          </w:p>
        </w:tc>
        <w:tc>
          <w:tcPr>
            <w:tcW w:w="1199" w:type="dxa"/>
            <w:noWrap w:val="0"/>
            <w:vAlign w:val="center"/>
          </w:tcPr>
          <w:p w14:paraId="20A633BC">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金坪村（临川生态环境局区域）</w:t>
            </w:r>
          </w:p>
        </w:tc>
        <w:tc>
          <w:tcPr>
            <w:tcW w:w="1251" w:type="dxa"/>
            <w:noWrap w:val="0"/>
            <w:vAlign w:val="center"/>
          </w:tcPr>
          <w:p w14:paraId="23361CB2">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镉、汞</w:t>
            </w:r>
          </w:p>
        </w:tc>
        <w:tc>
          <w:tcPr>
            <w:tcW w:w="1473" w:type="dxa"/>
            <w:noWrap w:val="0"/>
            <w:vAlign w:val="center"/>
          </w:tcPr>
          <w:p w14:paraId="059F2CD1">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360</w:t>
            </w:r>
          </w:p>
        </w:tc>
        <w:tc>
          <w:tcPr>
            <w:tcW w:w="1126" w:type="dxa"/>
            <w:noWrap w:val="0"/>
            <w:vAlign w:val="center"/>
          </w:tcPr>
          <w:p w14:paraId="49C3BE96">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494" w:type="dxa"/>
            <w:noWrap w:val="0"/>
            <w:vAlign w:val="center"/>
          </w:tcPr>
          <w:p w14:paraId="7D9E906A">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360</w:t>
            </w:r>
          </w:p>
        </w:tc>
        <w:tc>
          <w:tcPr>
            <w:tcW w:w="1222" w:type="dxa"/>
            <w:noWrap w:val="0"/>
            <w:vAlign w:val="center"/>
          </w:tcPr>
          <w:p w14:paraId="7EB83A72">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297AC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303" w:type="dxa"/>
            <w:noWrap w:val="0"/>
            <w:vAlign w:val="center"/>
          </w:tcPr>
          <w:p w14:paraId="18901992">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孝桥镇</w:t>
            </w:r>
          </w:p>
        </w:tc>
        <w:tc>
          <w:tcPr>
            <w:tcW w:w="1199" w:type="dxa"/>
            <w:noWrap w:val="0"/>
            <w:vAlign w:val="center"/>
          </w:tcPr>
          <w:p w14:paraId="59C332DA">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龙湾村（优先保护区）</w:t>
            </w:r>
          </w:p>
        </w:tc>
        <w:tc>
          <w:tcPr>
            <w:tcW w:w="1251" w:type="dxa"/>
            <w:noWrap w:val="0"/>
            <w:vAlign w:val="center"/>
          </w:tcPr>
          <w:p w14:paraId="5FE7372A">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rPr>
              <w:t>镉</w:t>
            </w:r>
          </w:p>
        </w:tc>
        <w:tc>
          <w:tcPr>
            <w:tcW w:w="1473" w:type="dxa"/>
            <w:noWrap w:val="0"/>
            <w:vAlign w:val="center"/>
          </w:tcPr>
          <w:p w14:paraId="2FA92650">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40</w:t>
            </w:r>
          </w:p>
        </w:tc>
        <w:tc>
          <w:tcPr>
            <w:tcW w:w="1126" w:type="dxa"/>
            <w:noWrap w:val="0"/>
            <w:vAlign w:val="center"/>
          </w:tcPr>
          <w:p w14:paraId="370F8A66">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c>
          <w:tcPr>
            <w:tcW w:w="1494" w:type="dxa"/>
            <w:noWrap w:val="0"/>
            <w:vAlign w:val="center"/>
          </w:tcPr>
          <w:p w14:paraId="3B329998">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40</w:t>
            </w:r>
          </w:p>
        </w:tc>
        <w:tc>
          <w:tcPr>
            <w:tcW w:w="1222" w:type="dxa"/>
            <w:noWrap w:val="0"/>
            <w:vAlign w:val="center"/>
          </w:tcPr>
          <w:p w14:paraId="621943F8">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w:t>
            </w:r>
          </w:p>
        </w:tc>
      </w:tr>
      <w:tr w14:paraId="41B22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02" w:type="dxa"/>
            <w:gridSpan w:val="2"/>
            <w:noWrap w:val="0"/>
            <w:vAlign w:val="center"/>
          </w:tcPr>
          <w:p w14:paraId="1634F2E0">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合计</w:t>
            </w:r>
          </w:p>
        </w:tc>
        <w:tc>
          <w:tcPr>
            <w:tcW w:w="1251" w:type="dxa"/>
            <w:noWrap w:val="0"/>
            <w:vAlign w:val="center"/>
          </w:tcPr>
          <w:p w14:paraId="3CFC2DC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bidi="ar"/>
              </w:rPr>
              <w:t>/</w:t>
            </w:r>
          </w:p>
        </w:tc>
        <w:tc>
          <w:tcPr>
            <w:tcW w:w="1473" w:type="dxa"/>
            <w:noWrap w:val="0"/>
            <w:vAlign w:val="center"/>
          </w:tcPr>
          <w:p w14:paraId="2ADFCAB2">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2023.93</w:t>
            </w:r>
          </w:p>
        </w:tc>
        <w:tc>
          <w:tcPr>
            <w:tcW w:w="1126" w:type="dxa"/>
            <w:noWrap w:val="0"/>
            <w:vAlign w:val="center"/>
          </w:tcPr>
          <w:p w14:paraId="6984DC93">
            <w:pPr>
              <w:widowControl/>
              <w:jc w:val="center"/>
              <w:textAlignment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bidi="ar"/>
              </w:rPr>
              <w:t>577.9</w:t>
            </w:r>
          </w:p>
        </w:tc>
        <w:tc>
          <w:tcPr>
            <w:tcW w:w="1494" w:type="dxa"/>
            <w:noWrap w:val="0"/>
            <w:vAlign w:val="center"/>
          </w:tcPr>
          <w:p w14:paraId="23FC298E">
            <w:pPr>
              <w:widowControl/>
              <w:jc w:val="center"/>
              <w:textAlignment w:val="center"/>
              <w:rPr>
                <w:rFonts w:hint="eastAsia" w:ascii="宋体" w:hAnsi="宋体" w:eastAsia="宋体" w:cs="宋体"/>
                <w:b/>
                <w:bCs/>
                <w:color w:val="auto"/>
                <w:sz w:val="24"/>
                <w:szCs w:val="24"/>
                <w:highlight w:val="none"/>
                <w:lang w:eastAsia="zh-CN" w:bidi="ar"/>
              </w:rPr>
            </w:pPr>
            <w:r>
              <w:rPr>
                <w:rFonts w:hint="eastAsia" w:ascii="宋体" w:hAnsi="宋体" w:eastAsia="宋体" w:cs="宋体"/>
                <w:b/>
                <w:bCs/>
                <w:color w:val="auto"/>
                <w:sz w:val="24"/>
                <w:szCs w:val="24"/>
                <w:highlight w:val="none"/>
                <w:lang w:eastAsia="zh-CN" w:bidi="ar"/>
              </w:rPr>
              <w:t>993.08</w:t>
            </w:r>
          </w:p>
        </w:tc>
        <w:tc>
          <w:tcPr>
            <w:tcW w:w="1222" w:type="dxa"/>
            <w:noWrap w:val="0"/>
            <w:vAlign w:val="center"/>
          </w:tcPr>
          <w:p w14:paraId="354E5C66">
            <w:pPr>
              <w:widowControl/>
              <w:jc w:val="center"/>
              <w:textAlignment w:val="center"/>
              <w:rPr>
                <w:rFonts w:hint="eastAsia" w:ascii="宋体" w:hAnsi="宋体" w:eastAsia="宋体" w:cs="宋体"/>
                <w:b/>
                <w:bCs/>
                <w:color w:val="auto"/>
                <w:sz w:val="24"/>
                <w:szCs w:val="24"/>
                <w:highlight w:val="none"/>
                <w:lang w:eastAsia="zh-CN" w:bidi="ar"/>
              </w:rPr>
            </w:pPr>
            <w:r>
              <w:rPr>
                <w:rFonts w:hint="eastAsia" w:ascii="宋体" w:hAnsi="宋体" w:eastAsia="宋体" w:cs="宋体"/>
                <w:b/>
                <w:bCs/>
                <w:color w:val="auto"/>
                <w:sz w:val="24"/>
                <w:szCs w:val="24"/>
                <w:highlight w:val="none"/>
                <w:lang w:eastAsia="zh-CN" w:bidi="ar"/>
              </w:rPr>
              <w:t>452.95</w:t>
            </w:r>
          </w:p>
        </w:tc>
      </w:tr>
    </w:tbl>
    <w:p w14:paraId="07E3BE3F">
      <w:pPr>
        <w:pStyle w:val="7"/>
        <w:keepNext/>
        <w:keepLines/>
        <w:spacing w:after="0" w:line="360" w:lineRule="auto"/>
        <w:jc w:val="left"/>
        <w:rPr>
          <w:rFonts w:ascii="Times New Roman" w:hAnsi="Times New Roman" w:cs="Times New Roman"/>
          <w:b/>
          <w:bCs/>
          <w:color w:val="auto"/>
          <w:sz w:val="24"/>
          <w:szCs w:val="24"/>
          <w:highlight w:val="none"/>
          <w:lang w:val="en-US" w:eastAsia="zh-CN" w:bidi="en-US"/>
        </w:rPr>
      </w:pPr>
    </w:p>
    <w:p w14:paraId="6AFB13D4">
      <w:pPr>
        <w:pStyle w:val="7"/>
        <w:keepNext/>
        <w:keepLines/>
        <w:spacing w:after="0" w:line="360" w:lineRule="auto"/>
        <w:jc w:val="left"/>
        <w:rPr>
          <w:rFonts w:ascii="Times New Roman" w:hAnsi="Times New Roman" w:cs="Times New Roman"/>
          <w:b/>
          <w:bCs/>
          <w:color w:val="auto"/>
          <w:sz w:val="24"/>
          <w:szCs w:val="24"/>
          <w:highlight w:val="none"/>
          <w:lang w:eastAsia="zh-CN" w:bidi="en-US"/>
        </w:rPr>
      </w:pPr>
      <w:r>
        <w:rPr>
          <w:rFonts w:ascii="Times New Roman" w:hAnsi="Times New Roman" w:cs="Times New Roman"/>
          <w:b/>
          <w:bCs/>
          <w:color w:val="auto"/>
          <w:sz w:val="24"/>
          <w:szCs w:val="24"/>
          <w:highlight w:val="none"/>
          <w:lang w:val="en-US" w:eastAsia="zh-CN" w:bidi="en-US"/>
        </w:rPr>
        <w:t>1.</w:t>
      </w:r>
      <w:r>
        <w:rPr>
          <w:rFonts w:hint="eastAsia" w:ascii="Times New Roman" w:hAnsi="Times New Roman" w:cs="Times New Roman"/>
          <w:b/>
          <w:bCs/>
          <w:color w:val="auto"/>
          <w:sz w:val="24"/>
          <w:szCs w:val="24"/>
          <w:highlight w:val="none"/>
          <w:lang w:val="en-US" w:eastAsia="zh-CN" w:bidi="en-US"/>
        </w:rPr>
        <w:t>4</w:t>
      </w:r>
      <w:r>
        <w:rPr>
          <w:rFonts w:ascii="Times New Roman" w:hAnsi="Times New Roman" w:cs="Times New Roman"/>
          <w:b/>
          <w:bCs/>
          <w:color w:val="auto"/>
          <w:sz w:val="24"/>
          <w:szCs w:val="24"/>
          <w:highlight w:val="none"/>
          <w:lang w:eastAsia="zh-CN" w:bidi="en-US"/>
        </w:rPr>
        <w:t>项目实施目标</w:t>
      </w:r>
    </w:p>
    <w:p w14:paraId="41FD015F">
      <w:pPr>
        <w:pStyle w:val="8"/>
        <w:numPr>
          <w:ilvl w:val="0"/>
          <w:numId w:val="1"/>
        </w:numPr>
        <w:spacing w:line="360" w:lineRule="auto"/>
        <w:ind w:firstLine="4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安全利用区</w:t>
      </w:r>
      <w:r>
        <w:rPr>
          <w:rFonts w:hint="eastAsia" w:ascii="宋体" w:hAnsi="宋体" w:eastAsia="宋体" w:cs="宋体"/>
          <w:color w:val="auto"/>
          <w:sz w:val="24"/>
          <w:szCs w:val="24"/>
          <w:highlight w:val="none"/>
          <w:lang w:eastAsia="zh-CN"/>
        </w:rPr>
        <w:t>水稻糙米镉</w:t>
      </w:r>
      <w:r>
        <w:rPr>
          <w:rFonts w:hint="eastAsia" w:ascii="宋体" w:hAnsi="宋体" w:eastAsia="宋体" w:cs="宋体"/>
          <w:color w:val="auto"/>
          <w:sz w:val="24"/>
          <w:szCs w:val="24"/>
          <w:highlight w:val="none"/>
          <w:lang w:val="en-US" w:eastAsia="zh-CN"/>
        </w:rPr>
        <w:t>汞综合</w:t>
      </w:r>
      <w:r>
        <w:rPr>
          <w:rFonts w:hint="eastAsia" w:ascii="宋体" w:hAnsi="宋体" w:eastAsia="宋体" w:cs="宋体"/>
          <w:color w:val="auto"/>
          <w:sz w:val="24"/>
          <w:szCs w:val="24"/>
          <w:highlight w:val="none"/>
          <w:lang w:eastAsia="zh-CN"/>
        </w:rPr>
        <w:t>达标率达到90%以上；</w:t>
      </w:r>
    </w:p>
    <w:p w14:paraId="7B7820A9">
      <w:pPr>
        <w:pStyle w:val="8"/>
        <w:spacing w:line="360" w:lineRule="auto"/>
        <w:ind w:firstLine="4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）安全利用区受污染耕地安全利用率达到93%以上；</w:t>
      </w:r>
    </w:p>
    <w:p w14:paraId="4391C61D">
      <w:pPr>
        <w:pStyle w:val="8"/>
        <w:spacing w:line="360" w:lineRule="auto"/>
        <w:ind w:firstLine="4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）实施区域水稻亩产量减产≤10%（含）；</w:t>
      </w:r>
    </w:p>
    <w:p w14:paraId="7E8D176A">
      <w:pPr>
        <w:pStyle w:val="8"/>
        <w:spacing w:line="360" w:lineRule="auto"/>
        <w:ind w:firstLine="4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）投入品铅镉铬砷汞五项重金属含量低于GB 15618-2018规定的筛选值；</w:t>
      </w:r>
    </w:p>
    <w:p w14:paraId="08526CB6">
      <w:pPr>
        <w:pStyle w:val="8"/>
        <w:spacing w:line="360" w:lineRule="auto"/>
        <w:ind w:firstLine="49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）严格管控区</w:t>
      </w:r>
      <w:r>
        <w:rPr>
          <w:rFonts w:hint="eastAsia" w:ascii="宋体" w:hAnsi="宋体" w:eastAsia="宋体" w:cs="宋体"/>
          <w:color w:val="auto"/>
          <w:sz w:val="24"/>
          <w:szCs w:val="24"/>
          <w:highlight w:val="none"/>
          <w:lang w:val="en-US" w:eastAsia="zh-CN"/>
        </w:rPr>
        <w:t>禁止</w:t>
      </w:r>
      <w:r>
        <w:rPr>
          <w:rFonts w:hint="eastAsia" w:ascii="宋体" w:hAnsi="宋体" w:eastAsia="宋体" w:cs="宋体"/>
          <w:color w:val="auto"/>
          <w:sz w:val="24"/>
          <w:szCs w:val="24"/>
          <w:highlight w:val="none"/>
          <w:lang w:eastAsia="zh-CN"/>
        </w:rPr>
        <w:t>种植可食用农作物。</w:t>
      </w:r>
    </w:p>
    <w:p w14:paraId="42FF8267">
      <w:pPr>
        <w:pStyle w:val="7"/>
        <w:keepNext/>
        <w:keepLines/>
        <w:spacing w:after="0" w:line="360" w:lineRule="auto"/>
        <w:jc w:val="left"/>
        <w:rPr>
          <w:rFonts w:hint="default" w:ascii="Times New Roman" w:hAnsi="Times New Roman" w:cs="Times New Roman"/>
          <w:b/>
          <w:bCs/>
          <w:color w:val="auto"/>
          <w:sz w:val="24"/>
          <w:szCs w:val="24"/>
          <w:highlight w:val="none"/>
          <w:lang w:val="en-US" w:eastAsia="zh-CN" w:bidi="en-US"/>
        </w:rPr>
      </w:pPr>
      <w:r>
        <w:rPr>
          <w:rFonts w:hint="eastAsia" w:ascii="Times New Roman" w:hAnsi="Times New Roman" w:cs="Times New Roman"/>
          <w:b/>
          <w:bCs/>
          <w:color w:val="auto"/>
          <w:sz w:val="24"/>
          <w:szCs w:val="24"/>
          <w:highlight w:val="none"/>
          <w:lang w:val="en-US" w:eastAsia="zh-CN" w:bidi="en-US"/>
        </w:rPr>
        <w:t>1.5安全利用措施：</w:t>
      </w:r>
    </w:p>
    <w:p w14:paraId="72DBC26C">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2026年在安全利用区域采取如下措施进行安全利用：</w:t>
      </w:r>
    </w:p>
    <w:p w14:paraId="75A3E069">
      <w:pPr>
        <w:tabs>
          <w:tab w:val="left" w:pos="1202"/>
        </w:tabs>
        <w:spacing w:line="360" w:lineRule="auto"/>
        <w:ind w:right="357"/>
        <w:jc w:val="both"/>
        <w:rPr>
          <w:b/>
          <w:bCs/>
          <w:color w:val="auto"/>
          <w:kern w:val="2"/>
          <w:sz w:val="24"/>
          <w:szCs w:val="24"/>
          <w:highlight w:val="none"/>
          <w:lang w:eastAsia="zh-CN" w:bidi="ar-SA"/>
        </w:rPr>
      </w:pPr>
      <w:r>
        <w:rPr>
          <w:b/>
          <w:bCs/>
          <w:color w:val="auto"/>
          <w:kern w:val="2"/>
          <w:sz w:val="24"/>
          <w:szCs w:val="24"/>
          <w:highlight w:val="none"/>
          <w:lang w:val="zh-TW" w:eastAsia="zh-CN" w:bidi="ar-SA"/>
        </w:rPr>
        <w:t>（</w:t>
      </w:r>
      <w:r>
        <w:rPr>
          <w:b/>
          <w:bCs/>
          <w:color w:val="auto"/>
          <w:kern w:val="2"/>
          <w:sz w:val="24"/>
          <w:szCs w:val="24"/>
          <w:highlight w:val="none"/>
          <w:lang w:eastAsia="zh-CN" w:bidi="ar-SA"/>
        </w:rPr>
        <w:t>1</w:t>
      </w:r>
      <w:r>
        <w:rPr>
          <w:b/>
          <w:bCs/>
          <w:color w:val="auto"/>
          <w:kern w:val="2"/>
          <w:sz w:val="24"/>
          <w:szCs w:val="24"/>
          <w:highlight w:val="none"/>
          <w:lang w:val="zh-TW" w:eastAsia="zh-CN" w:bidi="ar-SA"/>
        </w:rPr>
        <w:t>）</w:t>
      </w:r>
      <w:r>
        <w:rPr>
          <w:b/>
          <w:bCs/>
          <w:color w:val="auto"/>
          <w:kern w:val="2"/>
          <w:sz w:val="24"/>
          <w:szCs w:val="24"/>
          <w:highlight w:val="none"/>
          <w:lang w:eastAsia="zh-CN" w:bidi="ar-SA"/>
        </w:rPr>
        <w:t>低积累水稻品种种植区</w:t>
      </w:r>
    </w:p>
    <w:p w14:paraId="6C952687">
      <w:pPr>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zh-TW" w:eastAsia="zh-CN"/>
        </w:rPr>
        <w:t>根据江西省农业农村厅相关文件及精神，为了推广低积累水稻品种的种植，（抚北镇金坪村230亩，茅排乡泽泉村100亩；</w:t>
      </w:r>
      <w:r>
        <w:rPr>
          <w:rFonts w:hint="eastAsia" w:ascii="宋体" w:hAnsi="宋体" w:eastAsia="宋体" w:cs="宋体"/>
          <w:color w:val="auto"/>
          <w:sz w:val="24"/>
          <w:szCs w:val="24"/>
          <w:highlight w:val="none"/>
          <w:lang w:eastAsia="zh-CN"/>
        </w:rPr>
        <w:t>临川</w:t>
      </w:r>
      <w:r>
        <w:rPr>
          <w:rFonts w:hint="eastAsia" w:ascii="宋体" w:hAnsi="宋体" w:eastAsia="宋体" w:cs="宋体"/>
          <w:color w:val="auto"/>
          <w:sz w:val="24"/>
          <w:szCs w:val="24"/>
          <w:highlight w:val="none"/>
          <w:lang w:val="zh-TW" w:eastAsia="zh-CN"/>
        </w:rPr>
        <w:t>生态环境局项目区内抚北镇金坪村320亩，优先保护区孝桥镇龙湾村40亩），低积累水稻品种</w:t>
      </w:r>
      <w:r>
        <w:rPr>
          <w:rFonts w:hint="eastAsia" w:ascii="宋体" w:hAnsi="宋体" w:eastAsia="宋体" w:cs="宋体"/>
          <w:color w:val="auto"/>
          <w:sz w:val="24"/>
          <w:szCs w:val="24"/>
          <w:highlight w:val="none"/>
          <w:lang w:eastAsia="zh-CN"/>
        </w:rPr>
        <w:t>采用中稻品种“臻两优8612”</w:t>
      </w:r>
      <w:r>
        <w:rPr>
          <w:rFonts w:hint="eastAsia" w:ascii="宋体" w:hAnsi="宋体" w:eastAsia="宋体" w:cs="宋体"/>
          <w:color w:val="auto"/>
          <w:sz w:val="24"/>
          <w:szCs w:val="24"/>
          <w:highlight w:val="none"/>
          <w:lang w:val="zh-TW" w:eastAsia="zh-CN"/>
        </w:rPr>
        <w:t>。详见下表</w:t>
      </w:r>
      <w:r>
        <w:rPr>
          <w:rFonts w:hint="eastAsia" w:ascii="宋体" w:hAnsi="宋体" w:eastAsia="宋体" w:cs="宋体"/>
          <w:color w:val="auto"/>
          <w:sz w:val="24"/>
          <w:szCs w:val="24"/>
          <w:highlight w:val="none"/>
          <w:lang w:eastAsia="zh-CN"/>
        </w:rPr>
        <w:t>。</w:t>
      </w:r>
    </w:p>
    <w:p w14:paraId="0EC94744">
      <w:pPr>
        <w:tabs>
          <w:tab w:val="left" w:pos="1202"/>
        </w:tabs>
        <w:spacing w:line="360" w:lineRule="auto"/>
        <w:ind w:right="357"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val="en-US" w:eastAsia="zh-CN" w:bidi="ar-SA"/>
        </w:rPr>
        <w:t>①</w:t>
      </w:r>
      <w:r>
        <w:rPr>
          <w:rFonts w:hint="eastAsia" w:ascii="宋体" w:hAnsi="宋体" w:eastAsia="宋体" w:cs="宋体"/>
          <w:b/>
          <w:bCs/>
          <w:color w:val="auto"/>
          <w:kern w:val="2"/>
          <w:sz w:val="24"/>
          <w:szCs w:val="24"/>
          <w:highlight w:val="none"/>
          <w:lang w:eastAsia="zh-CN" w:bidi="ar-SA"/>
        </w:rPr>
        <w:t xml:space="preserve"> 土壤镉汞复合污染低风险区域</w:t>
      </w:r>
    </w:p>
    <w:p w14:paraId="7BB01937">
      <w:pPr>
        <w:tabs>
          <w:tab w:val="left" w:pos="210"/>
        </w:tabs>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涉及区域：茅排乡泽泉村。</w:t>
      </w:r>
    </w:p>
    <w:p w14:paraId="752217B3">
      <w:pPr>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安全利用措施如下：</w:t>
      </w:r>
    </w:p>
    <w:p w14:paraId="270E1DF5">
      <w:pPr>
        <w:tabs>
          <w:tab w:val="left" w:pos="210"/>
        </w:tabs>
        <w:spacing w:after="120"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中稻100亩：采用种植低积累水稻品种的技术措施（臻两优8612）；</w:t>
      </w:r>
    </w:p>
    <w:p w14:paraId="17096AAC">
      <w:pPr>
        <w:tabs>
          <w:tab w:val="left" w:pos="1202"/>
        </w:tabs>
        <w:spacing w:line="360" w:lineRule="auto"/>
        <w:ind w:right="357"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val="en-US" w:eastAsia="zh-CN" w:bidi="ar-SA"/>
        </w:rPr>
        <w:t>②</w:t>
      </w:r>
      <w:r>
        <w:rPr>
          <w:rFonts w:hint="eastAsia" w:ascii="宋体" w:hAnsi="宋体" w:eastAsia="宋体" w:cs="宋体"/>
          <w:b/>
          <w:bCs/>
          <w:color w:val="auto"/>
          <w:kern w:val="2"/>
          <w:sz w:val="24"/>
          <w:szCs w:val="24"/>
          <w:highlight w:val="none"/>
          <w:lang w:eastAsia="zh-CN" w:bidi="ar-SA"/>
        </w:rPr>
        <w:t xml:space="preserve"> 土壤镉汞复合污染中风险区域</w:t>
      </w:r>
    </w:p>
    <w:p w14:paraId="3411E794">
      <w:pPr>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涉及区域：抚北镇金坪村。</w:t>
      </w:r>
    </w:p>
    <w:p w14:paraId="69AE0804">
      <w:pPr>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安全利用措施如下：</w:t>
      </w:r>
    </w:p>
    <w:p w14:paraId="148589E2">
      <w:pPr>
        <w:spacing w:line="360" w:lineRule="auto"/>
        <w:ind w:firstLine="480" w:firstLineChars="200"/>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中稻230亩：采用种植低积累水稻品种的技术措施（臻两优8612）。</w:t>
      </w:r>
    </w:p>
    <w:p w14:paraId="7860F29B">
      <w:pPr>
        <w:tabs>
          <w:tab w:val="left" w:pos="1202"/>
        </w:tabs>
        <w:spacing w:line="360" w:lineRule="auto"/>
        <w:ind w:right="356"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③2025年临川区超标粮溯源区域</w:t>
      </w:r>
    </w:p>
    <w:p w14:paraId="3EBD4539">
      <w:pPr>
        <w:tabs>
          <w:tab w:val="left" w:pos="1202"/>
        </w:tabs>
        <w:spacing w:line="360" w:lineRule="auto"/>
        <w:ind w:right="356"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中稻320亩（</w:t>
      </w:r>
      <w:r>
        <w:rPr>
          <w:rFonts w:hint="eastAsia" w:ascii="宋体" w:hAnsi="宋体" w:eastAsia="宋体" w:cs="宋体"/>
          <w:color w:val="auto"/>
          <w:sz w:val="24"/>
          <w:szCs w:val="24"/>
          <w:highlight w:val="none"/>
          <w:lang w:val="zh-TW" w:eastAsia="zh-CN"/>
        </w:rPr>
        <w:t>临川生态环境局主管负责</w:t>
      </w:r>
      <w:r>
        <w:rPr>
          <w:rFonts w:hint="eastAsia" w:ascii="宋体" w:hAnsi="宋体" w:eastAsia="宋体" w:cs="宋体"/>
          <w:color w:val="auto"/>
          <w:sz w:val="24"/>
          <w:szCs w:val="24"/>
          <w:highlight w:val="none"/>
          <w:lang w:eastAsia="zh-CN"/>
        </w:rPr>
        <w:t>的项目区域</w:t>
      </w:r>
      <w:r>
        <w:rPr>
          <w:rFonts w:hint="eastAsia" w:ascii="宋体" w:hAnsi="宋体" w:eastAsia="宋体" w:cs="宋体"/>
          <w:color w:val="auto"/>
          <w:kern w:val="2"/>
          <w:sz w:val="24"/>
          <w:szCs w:val="24"/>
          <w:highlight w:val="none"/>
          <w:lang w:eastAsia="zh-CN" w:bidi="ar-SA"/>
        </w:rPr>
        <w:t>）：采用种植低积累品种的技术措施（臻两优8612）；</w:t>
      </w:r>
    </w:p>
    <w:p w14:paraId="559C47F0">
      <w:pPr>
        <w:spacing w:line="360" w:lineRule="auto"/>
        <w:ind w:firstLine="480" w:firstLineChars="200"/>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中稻40亩（</w:t>
      </w:r>
      <w:r>
        <w:rPr>
          <w:rFonts w:hint="eastAsia" w:ascii="宋体" w:hAnsi="宋体" w:eastAsia="宋体" w:cs="宋体"/>
          <w:color w:val="auto"/>
          <w:sz w:val="24"/>
          <w:szCs w:val="24"/>
          <w:highlight w:val="none"/>
          <w:lang w:eastAsia="zh-CN"/>
        </w:rPr>
        <w:t>优先保护区</w:t>
      </w:r>
      <w:r>
        <w:rPr>
          <w:rFonts w:hint="eastAsia" w:ascii="宋体" w:hAnsi="宋体" w:eastAsia="宋体" w:cs="宋体"/>
          <w:color w:val="auto"/>
          <w:sz w:val="24"/>
          <w:szCs w:val="24"/>
          <w:highlight w:val="none"/>
          <w:lang w:val="zh-TW" w:eastAsia="zh-CN"/>
        </w:rPr>
        <w:t>孝桥镇龙湾村</w:t>
      </w:r>
      <w:r>
        <w:rPr>
          <w:rFonts w:hint="eastAsia" w:ascii="宋体" w:hAnsi="宋体" w:eastAsia="宋体" w:cs="宋体"/>
          <w:color w:val="auto"/>
          <w:kern w:val="2"/>
          <w:sz w:val="24"/>
          <w:szCs w:val="24"/>
          <w:highlight w:val="none"/>
          <w:lang w:eastAsia="zh-CN" w:bidi="ar-SA"/>
        </w:rPr>
        <w:t>）：采用种植低积累品种的技术措施（臻两优8612）。</w:t>
      </w:r>
    </w:p>
    <w:p w14:paraId="3A3D6964">
      <w:pPr>
        <w:pStyle w:val="8"/>
        <w:spacing w:line="360" w:lineRule="auto"/>
        <w:ind w:firstLine="0"/>
        <w:jc w:val="center"/>
        <w:rPr>
          <w:rFonts w:ascii="Times New Roman" w:hAnsi="Times New Roman" w:cs="Times New Roman"/>
          <w:b/>
          <w:bCs/>
          <w:color w:val="auto"/>
          <w:sz w:val="24"/>
          <w:szCs w:val="24"/>
          <w:highlight w:val="none"/>
          <w:lang w:eastAsia="zh-CN"/>
        </w:rPr>
      </w:pPr>
    </w:p>
    <w:p w14:paraId="391453E7">
      <w:pPr>
        <w:tabs>
          <w:tab w:val="left" w:pos="1202"/>
        </w:tabs>
        <w:spacing w:line="360" w:lineRule="auto"/>
        <w:ind w:right="357"/>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（2）非低积累水稻品种种植区</w:t>
      </w:r>
    </w:p>
    <w:p w14:paraId="4804A6A1">
      <w:pPr>
        <w:tabs>
          <w:tab w:val="left" w:pos="1202"/>
        </w:tabs>
        <w:spacing w:line="360" w:lineRule="auto"/>
        <w:ind w:right="357"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土壤镉汞复合污染中风险区域</w:t>
      </w:r>
    </w:p>
    <w:p w14:paraId="6D38B750">
      <w:pPr>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涉及区域：抚北镇金坪村。</w:t>
      </w:r>
    </w:p>
    <w:p w14:paraId="68E25C1E">
      <w:pPr>
        <w:spacing w:line="360" w:lineRule="auto"/>
        <w:ind w:firstLine="480"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color w:val="auto"/>
          <w:kern w:val="2"/>
          <w:sz w:val="24"/>
          <w:szCs w:val="24"/>
          <w:highlight w:val="none"/>
          <w:lang w:eastAsia="zh-CN" w:bidi="ar-SA"/>
        </w:rPr>
        <w:t>安全利用措施如下：</w:t>
      </w:r>
    </w:p>
    <w:p w14:paraId="59E0654F">
      <w:pPr>
        <w:tabs>
          <w:tab w:val="left" w:pos="1202"/>
        </w:tabs>
        <w:spacing w:line="360" w:lineRule="auto"/>
        <w:ind w:right="356" w:firstLine="480" w:firstLineChars="200"/>
        <w:jc w:val="both"/>
        <w:rPr>
          <w:rFonts w:hint="eastAsia"/>
          <w:sz w:val="24"/>
          <w:szCs w:val="24"/>
          <w:lang w:eastAsia="zh-CN"/>
        </w:rPr>
      </w:pPr>
      <w:r>
        <w:rPr>
          <w:rFonts w:hint="eastAsia" w:ascii="宋体" w:hAnsi="宋体" w:eastAsia="宋体" w:cs="宋体"/>
          <w:color w:val="auto"/>
          <w:kern w:val="2"/>
          <w:sz w:val="24"/>
          <w:szCs w:val="24"/>
          <w:highlight w:val="none"/>
          <w:lang w:eastAsia="zh-CN" w:bidi="ar-SA"/>
        </w:rPr>
        <w:t>中稻263.08亩：其中262.08亩采用微生物菌剂（150 kg/亩）+</w:t>
      </w:r>
      <w:r>
        <w:rPr>
          <w:rFonts w:hint="eastAsia" w:ascii="宋体" w:hAnsi="宋体" w:eastAsia="宋体" w:cs="宋体"/>
          <w:color w:val="auto"/>
          <w:sz w:val="24"/>
          <w:szCs w:val="24"/>
          <w:highlight w:val="none"/>
          <w:lang w:eastAsia="zh-CN"/>
        </w:rPr>
        <w:t>叶面阻控（250mL/亩，2次）</w:t>
      </w:r>
      <w:r>
        <w:rPr>
          <w:rFonts w:hint="eastAsia" w:ascii="宋体" w:hAnsi="宋体" w:eastAsia="宋体" w:cs="宋体"/>
          <w:color w:val="auto"/>
          <w:kern w:val="2"/>
          <w:sz w:val="24"/>
          <w:szCs w:val="24"/>
          <w:highlight w:val="none"/>
          <w:lang w:eastAsia="zh-CN" w:bidi="ar-SA"/>
        </w:rPr>
        <w:t>的技术措施；1亩用于建立低积累水稻品种筛选试验田，详见试验方案。</w:t>
      </w:r>
      <w:r>
        <w:rPr>
          <w:rFonts w:hint="eastAsia"/>
          <w:sz w:val="24"/>
          <w:szCs w:val="24"/>
          <w:lang w:eastAsia="zh-CN"/>
        </w:rPr>
        <w:br w:type="page"/>
      </w:r>
    </w:p>
    <w:p w14:paraId="7BDFFD50">
      <w:pPr>
        <w:pStyle w:val="2"/>
        <w:rPr>
          <w:rFonts w:hint="eastAsia"/>
          <w:sz w:val="24"/>
          <w:szCs w:val="24"/>
          <w:lang w:eastAsia="zh-CN"/>
        </w:rPr>
        <w:sectPr>
          <w:pgSz w:w="11900" w:h="16840"/>
          <w:pgMar w:top="1329" w:right="1236" w:bottom="1327" w:left="1416" w:header="850" w:footer="1134" w:gutter="0"/>
          <w:pgNumType w:fmt="decimal"/>
          <w:cols w:space="720" w:num="1"/>
          <w:titlePg/>
          <w:docGrid w:linePitch="360" w:charSpace="0"/>
        </w:sectPr>
      </w:pPr>
    </w:p>
    <w:p w14:paraId="19255DDA">
      <w:pPr>
        <w:pStyle w:val="8"/>
        <w:spacing w:line="360" w:lineRule="auto"/>
        <w:ind w:firstLine="0"/>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表</w:t>
      </w: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lang w:eastAsia="zh-CN"/>
        </w:rPr>
        <w:t xml:space="preserve"> </w:t>
      </w:r>
      <w:r>
        <w:rPr>
          <w:rFonts w:hint="eastAsia" w:ascii="宋体" w:hAnsi="宋体" w:eastAsia="宋体" w:cs="宋体"/>
          <w:b/>
          <w:bCs/>
          <w:color w:val="auto"/>
          <w:sz w:val="24"/>
          <w:szCs w:val="24"/>
          <w:highlight w:val="none"/>
          <w:lang w:val="en-US" w:eastAsia="zh-CN"/>
        </w:rPr>
        <w:t xml:space="preserve"> 2026年</w:t>
      </w:r>
      <w:r>
        <w:rPr>
          <w:rFonts w:hint="eastAsia" w:ascii="宋体" w:hAnsi="宋体" w:eastAsia="宋体" w:cs="宋体"/>
          <w:b/>
          <w:bCs/>
          <w:color w:val="auto"/>
          <w:sz w:val="24"/>
          <w:szCs w:val="24"/>
          <w:highlight w:val="none"/>
          <w:lang w:eastAsia="zh-CN"/>
        </w:rPr>
        <w:t>水稻种植区域技术实施表</w:t>
      </w:r>
    </w:p>
    <w:tbl>
      <w:tblPr>
        <w:tblStyle w:val="4"/>
        <w:tblW w:w="1489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1875"/>
        <w:gridCol w:w="1132"/>
        <w:gridCol w:w="1143"/>
        <w:gridCol w:w="990"/>
        <w:gridCol w:w="1092"/>
        <w:gridCol w:w="1073"/>
        <w:gridCol w:w="1905"/>
        <w:gridCol w:w="1461"/>
        <w:gridCol w:w="4228"/>
      </w:tblGrid>
      <w:tr w14:paraId="1BA1EE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739" w:hRule="atLeast"/>
          <w:jc w:val="center"/>
        </w:trPr>
        <w:tc>
          <w:tcPr>
            <w:tcW w:w="1875" w:type="dxa"/>
            <w:tcBorders>
              <w:tl2br w:val="nil"/>
              <w:tr2bl w:val="nil"/>
            </w:tcBorders>
            <w:noWrap w:val="0"/>
            <w:vAlign w:val="center"/>
          </w:tcPr>
          <w:p w14:paraId="6D8BA73A">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乡镇</w:t>
            </w:r>
          </w:p>
        </w:tc>
        <w:tc>
          <w:tcPr>
            <w:tcW w:w="1132" w:type="dxa"/>
            <w:tcBorders>
              <w:tl2br w:val="nil"/>
              <w:tr2bl w:val="nil"/>
            </w:tcBorders>
            <w:noWrap w:val="0"/>
            <w:vAlign w:val="center"/>
          </w:tcPr>
          <w:p w14:paraId="1F8B387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行政村</w:t>
            </w:r>
          </w:p>
        </w:tc>
        <w:tc>
          <w:tcPr>
            <w:tcW w:w="1143" w:type="dxa"/>
            <w:tcBorders>
              <w:tl2br w:val="nil"/>
              <w:tr2bl w:val="nil"/>
            </w:tcBorders>
            <w:noWrap w:val="0"/>
            <w:vAlign w:val="center"/>
          </w:tcPr>
          <w:p w14:paraId="6711E6F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土壤pH</w:t>
            </w:r>
          </w:p>
        </w:tc>
        <w:tc>
          <w:tcPr>
            <w:tcW w:w="990" w:type="dxa"/>
            <w:tcBorders>
              <w:tl2br w:val="nil"/>
              <w:tr2bl w:val="nil"/>
            </w:tcBorders>
            <w:noWrap w:val="0"/>
            <w:vAlign w:val="center"/>
          </w:tcPr>
          <w:p w14:paraId="72AA8435">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风险等级</w:t>
            </w:r>
          </w:p>
        </w:tc>
        <w:tc>
          <w:tcPr>
            <w:tcW w:w="1092" w:type="dxa"/>
            <w:tcBorders>
              <w:tl2br w:val="nil"/>
              <w:tr2bl w:val="nil"/>
            </w:tcBorders>
            <w:noWrap w:val="0"/>
            <w:vAlign w:val="center"/>
          </w:tcPr>
          <w:p w14:paraId="74EF35F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目标污染物</w:t>
            </w:r>
          </w:p>
        </w:tc>
        <w:tc>
          <w:tcPr>
            <w:tcW w:w="1073" w:type="dxa"/>
            <w:tcBorders>
              <w:tl2br w:val="nil"/>
              <w:tr2bl w:val="nil"/>
            </w:tcBorders>
            <w:noWrap w:val="0"/>
            <w:vAlign w:val="center"/>
          </w:tcPr>
          <w:p w14:paraId="718400B0">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总面积</w:t>
            </w:r>
          </w:p>
        </w:tc>
        <w:tc>
          <w:tcPr>
            <w:tcW w:w="1905" w:type="dxa"/>
            <w:tcBorders>
              <w:tl2br w:val="nil"/>
              <w:tr2bl w:val="nil"/>
            </w:tcBorders>
            <w:noWrap w:val="0"/>
            <w:vAlign w:val="center"/>
          </w:tcPr>
          <w:p w14:paraId="13D2171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水稻种植类型</w:t>
            </w:r>
          </w:p>
        </w:tc>
        <w:tc>
          <w:tcPr>
            <w:tcW w:w="1461" w:type="dxa"/>
            <w:tcBorders>
              <w:tl2br w:val="nil"/>
              <w:tr2bl w:val="nil"/>
            </w:tcBorders>
            <w:noWrap w:val="0"/>
            <w:vAlign w:val="center"/>
          </w:tcPr>
          <w:p w14:paraId="26517424">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面积（亩）</w:t>
            </w:r>
          </w:p>
        </w:tc>
        <w:tc>
          <w:tcPr>
            <w:tcW w:w="4228" w:type="dxa"/>
            <w:tcBorders>
              <w:tl2br w:val="nil"/>
              <w:tr2bl w:val="nil"/>
            </w:tcBorders>
            <w:noWrap w:val="0"/>
            <w:vAlign w:val="center"/>
          </w:tcPr>
          <w:p w14:paraId="6ECB890D">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bidi="ar"/>
              </w:rPr>
              <w:t>技术措施要点</w:t>
            </w:r>
          </w:p>
        </w:tc>
      </w:tr>
      <w:tr w14:paraId="0158BA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739" w:hRule="atLeast"/>
          <w:jc w:val="center"/>
        </w:trPr>
        <w:tc>
          <w:tcPr>
            <w:tcW w:w="1875" w:type="dxa"/>
            <w:vMerge w:val="restart"/>
            <w:tcBorders>
              <w:tl2br w:val="nil"/>
              <w:tr2bl w:val="nil"/>
            </w:tcBorders>
            <w:noWrap w:val="0"/>
            <w:vAlign w:val="center"/>
          </w:tcPr>
          <w:p w14:paraId="6087E309">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抚北镇</w:t>
            </w:r>
          </w:p>
        </w:tc>
        <w:tc>
          <w:tcPr>
            <w:tcW w:w="1132" w:type="dxa"/>
            <w:vMerge w:val="restart"/>
            <w:tcBorders>
              <w:tl2br w:val="nil"/>
              <w:tr2bl w:val="nil"/>
            </w:tcBorders>
            <w:noWrap w:val="0"/>
            <w:vAlign w:val="center"/>
          </w:tcPr>
          <w:p w14:paraId="24034E98">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金坪村</w:t>
            </w:r>
          </w:p>
        </w:tc>
        <w:tc>
          <w:tcPr>
            <w:tcW w:w="1143" w:type="dxa"/>
            <w:vMerge w:val="restart"/>
            <w:tcBorders>
              <w:tl2br w:val="nil"/>
              <w:tr2bl w:val="nil"/>
            </w:tcBorders>
            <w:noWrap w:val="0"/>
            <w:vAlign w:val="center"/>
          </w:tcPr>
          <w:p w14:paraId="182E25A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6.29</w:t>
            </w:r>
          </w:p>
        </w:tc>
        <w:tc>
          <w:tcPr>
            <w:tcW w:w="990" w:type="dxa"/>
            <w:vMerge w:val="restart"/>
            <w:tcBorders>
              <w:tl2br w:val="nil"/>
              <w:tr2bl w:val="nil"/>
            </w:tcBorders>
            <w:noWrap w:val="0"/>
            <w:vAlign w:val="center"/>
          </w:tcPr>
          <w:p w14:paraId="64EABB27">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w:t>
            </w:r>
          </w:p>
        </w:tc>
        <w:tc>
          <w:tcPr>
            <w:tcW w:w="1092" w:type="dxa"/>
            <w:vMerge w:val="restart"/>
            <w:tcBorders>
              <w:tl2br w:val="nil"/>
              <w:tr2bl w:val="nil"/>
            </w:tcBorders>
            <w:noWrap w:val="0"/>
            <w:vAlign w:val="center"/>
          </w:tcPr>
          <w:p w14:paraId="01B9F13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镉、汞</w:t>
            </w:r>
          </w:p>
        </w:tc>
        <w:tc>
          <w:tcPr>
            <w:tcW w:w="1073" w:type="dxa"/>
            <w:tcBorders>
              <w:tl2br w:val="nil"/>
              <w:tr2bl w:val="nil"/>
            </w:tcBorders>
            <w:noWrap w:val="0"/>
            <w:vAlign w:val="center"/>
          </w:tcPr>
          <w:p w14:paraId="66C5505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320</w:t>
            </w:r>
          </w:p>
        </w:tc>
        <w:tc>
          <w:tcPr>
            <w:tcW w:w="1905" w:type="dxa"/>
            <w:tcBorders>
              <w:tl2br w:val="nil"/>
              <w:tr2bl w:val="nil"/>
            </w:tcBorders>
            <w:noWrap w:val="0"/>
            <w:vAlign w:val="center"/>
          </w:tcPr>
          <w:p w14:paraId="4A7150CA">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中稻</w:t>
            </w:r>
          </w:p>
        </w:tc>
        <w:tc>
          <w:tcPr>
            <w:tcW w:w="1461" w:type="dxa"/>
            <w:tcBorders>
              <w:tl2br w:val="nil"/>
              <w:tr2bl w:val="nil"/>
            </w:tcBorders>
            <w:noWrap w:val="0"/>
            <w:vAlign w:val="center"/>
          </w:tcPr>
          <w:p w14:paraId="75676F6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320</w:t>
            </w:r>
          </w:p>
        </w:tc>
        <w:tc>
          <w:tcPr>
            <w:tcW w:w="4228" w:type="dxa"/>
            <w:tcBorders>
              <w:tl2br w:val="nil"/>
              <w:tr2bl w:val="nil"/>
            </w:tcBorders>
            <w:noWrap w:val="0"/>
            <w:vAlign w:val="center"/>
          </w:tcPr>
          <w:p w14:paraId="780110E8">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临川生态环境局负责区域种植低积累水稻品种（臻两优8612）</w:t>
            </w:r>
          </w:p>
        </w:tc>
      </w:tr>
      <w:tr w14:paraId="4E0EF7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739" w:hRule="atLeast"/>
          <w:jc w:val="center"/>
        </w:trPr>
        <w:tc>
          <w:tcPr>
            <w:tcW w:w="1875" w:type="dxa"/>
            <w:vMerge w:val="continue"/>
            <w:tcBorders>
              <w:tl2br w:val="nil"/>
              <w:tr2bl w:val="nil"/>
            </w:tcBorders>
            <w:noWrap w:val="0"/>
            <w:vAlign w:val="center"/>
          </w:tcPr>
          <w:p w14:paraId="79C1C4D4">
            <w:pPr>
              <w:widowControl/>
              <w:jc w:val="center"/>
              <w:textAlignment w:val="center"/>
              <w:rPr>
                <w:rFonts w:hint="eastAsia" w:ascii="宋体" w:hAnsi="宋体" w:eastAsia="宋体" w:cs="宋体"/>
                <w:color w:val="auto"/>
                <w:sz w:val="24"/>
                <w:szCs w:val="24"/>
                <w:highlight w:val="none"/>
                <w:lang w:eastAsia="zh-CN"/>
              </w:rPr>
            </w:pPr>
          </w:p>
        </w:tc>
        <w:tc>
          <w:tcPr>
            <w:tcW w:w="1132" w:type="dxa"/>
            <w:vMerge w:val="continue"/>
            <w:tcBorders>
              <w:tl2br w:val="nil"/>
              <w:tr2bl w:val="nil"/>
            </w:tcBorders>
            <w:noWrap w:val="0"/>
            <w:vAlign w:val="center"/>
          </w:tcPr>
          <w:p w14:paraId="5CEAAFA5">
            <w:pPr>
              <w:widowControl/>
              <w:jc w:val="center"/>
              <w:textAlignment w:val="center"/>
              <w:rPr>
                <w:rFonts w:hint="eastAsia" w:ascii="宋体" w:hAnsi="宋体" w:eastAsia="宋体" w:cs="宋体"/>
                <w:color w:val="auto"/>
                <w:sz w:val="24"/>
                <w:szCs w:val="24"/>
                <w:highlight w:val="none"/>
                <w:lang w:eastAsia="zh-CN"/>
              </w:rPr>
            </w:pPr>
          </w:p>
        </w:tc>
        <w:tc>
          <w:tcPr>
            <w:tcW w:w="1143" w:type="dxa"/>
            <w:vMerge w:val="continue"/>
            <w:tcBorders>
              <w:tl2br w:val="nil"/>
              <w:tr2bl w:val="nil"/>
            </w:tcBorders>
            <w:noWrap w:val="0"/>
            <w:vAlign w:val="center"/>
          </w:tcPr>
          <w:p w14:paraId="114362D9">
            <w:pPr>
              <w:widowControl/>
              <w:jc w:val="center"/>
              <w:textAlignment w:val="center"/>
              <w:rPr>
                <w:rFonts w:hint="eastAsia" w:ascii="宋体" w:hAnsi="宋体" w:eastAsia="宋体" w:cs="宋体"/>
                <w:color w:val="auto"/>
                <w:sz w:val="24"/>
                <w:szCs w:val="24"/>
                <w:highlight w:val="none"/>
                <w:lang w:eastAsia="zh-CN"/>
              </w:rPr>
            </w:pPr>
          </w:p>
        </w:tc>
        <w:tc>
          <w:tcPr>
            <w:tcW w:w="990" w:type="dxa"/>
            <w:vMerge w:val="continue"/>
            <w:tcBorders>
              <w:tl2br w:val="nil"/>
              <w:tr2bl w:val="nil"/>
            </w:tcBorders>
            <w:noWrap w:val="0"/>
            <w:vAlign w:val="center"/>
          </w:tcPr>
          <w:p w14:paraId="2C81ECCD">
            <w:pPr>
              <w:widowControl/>
              <w:jc w:val="center"/>
              <w:textAlignment w:val="center"/>
              <w:rPr>
                <w:rFonts w:hint="eastAsia" w:ascii="宋体" w:hAnsi="宋体" w:eastAsia="宋体" w:cs="宋体"/>
                <w:color w:val="auto"/>
                <w:sz w:val="24"/>
                <w:szCs w:val="24"/>
                <w:highlight w:val="none"/>
                <w:lang w:eastAsia="zh-CN"/>
              </w:rPr>
            </w:pPr>
          </w:p>
        </w:tc>
        <w:tc>
          <w:tcPr>
            <w:tcW w:w="1092" w:type="dxa"/>
            <w:vMerge w:val="continue"/>
            <w:tcBorders>
              <w:tl2br w:val="nil"/>
              <w:tr2bl w:val="nil"/>
            </w:tcBorders>
            <w:noWrap w:val="0"/>
            <w:vAlign w:val="center"/>
          </w:tcPr>
          <w:p w14:paraId="6B113AE6">
            <w:pPr>
              <w:widowControl/>
              <w:jc w:val="center"/>
              <w:textAlignment w:val="center"/>
              <w:rPr>
                <w:rFonts w:hint="eastAsia" w:ascii="宋体" w:hAnsi="宋体" w:eastAsia="宋体" w:cs="宋体"/>
                <w:color w:val="auto"/>
                <w:sz w:val="24"/>
                <w:szCs w:val="24"/>
                <w:highlight w:val="none"/>
                <w:lang w:eastAsia="zh-CN"/>
              </w:rPr>
            </w:pPr>
          </w:p>
        </w:tc>
        <w:tc>
          <w:tcPr>
            <w:tcW w:w="1073" w:type="dxa"/>
            <w:vMerge w:val="restart"/>
            <w:tcBorders>
              <w:tl2br w:val="nil"/>
              <w:tr2bl w:val="nil"/>
            </w:tcBorders>
            <w:noWrap w:val="0"/>
            <w:vAlign w:val="center"/>
          </w:tcPr>
          <w:p w14:paraId="0FDF3C47">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493.08</w:t>
            </w:r>
          </w:p>
        </w:tc>
        <w:tc>
          <w:tcPr>
            <w:tcW w:w="1905" w:type="dxa"/>
            <w:vMerge w:val="restart"/>
            <w:tcBorders>
              <w:tl2br w:val="nil"/>
              <w:tr2bl w:val="nil"/>
            </w:tcBorders>
            <w:noWrap w:val="0"/>
            <w:vAlign w:val="center"/>
          </w:tcPr>
          <w:p w14:paraId="67CC733F">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中稻</w:t>
            </w:r>
          </w:p>
        </w:tc>
        <w:tc>
          <w:tcPr>
            <w:tcW w:w="1461" w:type="dxa"/>
            <w:tcBorders>
              <w:tl2br w:val="nil"/>
              <w:tr2bl w:val="nil"/>
            </w:tcBorders>
            <w:noWrap w:val="0"/>
            <w:vAlign w:val="center"/>
          </w:tcPr>
          <w:p w14:paraId="0E810B27">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230</w:t>
            </w:r>
          </w:p>
        </w:tc>
        <w:tc>
          <w:tcPr>
            <w:tcW w:w="4228" w:type="dxa"/>
            <w:tcBorders>
              <w:tl2br w:val="nil"/>
              <w:tr2bl w:val="nil"/>
            </w:tcBorders>
            <w:noWrap w:val="0"/>
            <w:vAlign w:val="center"/>
          </w:tcPr>
          <w:p w14:paraId="12CF72DC">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bidi="ar"/>
              </w:rPr>
              <w:t>230亩低积累水稻品种（臻两优8612）。</w:t>
            </w:r>
          </w:p>
        </w:tc>
      </w:tr>
      <w:tr w14:paraId="0E9F59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739" w:hRule="atLeast"/>
          <w:jc w:val="center"/>
        </w:trPr>
        <w:tc>
          <w:tcPr>
            <w:tcW w:w="1875" w:type="dxa"/>
            <w:vMerge w:val="continue"/>
            <w:tcBorders>
              <w:tl2br w:val="nil"/>
              <w:tr2bl w:val="nil"/>
            </w:tcBorders>
            <w:noWrap w:val="0"/>
            <w:vAlign w:val="center"/>
          </w:tcPr>
          <w:p w14:paraId="772158A4">
            <w:pPr>
              <w:widowControl/>
              <w:jc w:val="center"/>
              <w:textAlignment w:val="center"/>
              <w:rPr>
                <w:rFonts w:hint="eastAsia" w:ascii="宋体" w:hAnsi="宋体" w:eastAsia="宋体" w:cs="宋体"/>
                <w:color w:val="auto"/>
                <w:sz w:val="24"/>
                <w:szCs w:val="24"/>
                <w:highlight w:val="none"/>
                <w:lang w:eastAsia="zh-CN"/>
              </w:rPr>
            </w:pPr>
          </w:p>
        </w:tc>
        <w:tc>
          <w:tcPr>
            <w:tcW w:w="1132" w:type="dxa"/>
            <w:vMerge w:val="continue"/>
            <w:tcBorders>
              <w:tl2br w:val="nil"/>
              <w:tr2bl w:val="nil"/>
            </w:tcBorders>
            <w:noWrap w:val="0"/>
            <w:vAlign w:val="center"/>
          </w:tcPr>
          <w:p w14:paraId="2D53EABA">
            <w:pPr>
              <w:widowControl/>
              <w:jc w:val="center"/>
              <w:textAlignment w:val="center"/>
              <w:rPr>
                <w:rFonts w:hint="eastAsia" w:ascii="宋体" w:hAnsi="宋体" w:eastAsia="宋体" w:cs="宋体"/>
                <w:color w:val="auto"/>
                <w:sz w:val="24"/>
                <w:szCs w:val="24"/>
                <w:highlight w:val="none"/>
                <w:lang w:eastAsia="zh-CN"/>
              </w:rPr>
            </w:pPr>
          </w:p>
        </w:tc>
        <w:tc>
          <w:tcPr>
            <w:tcW w:w="1143" w:type="dxa"/>
            <w:vMerge w:val="continue"/>
            <w:tcBorders>
              <w:tl2br w:val="nil"/>
              <w:tr2bl w:val="nil"/>
            </w:tcBorders>
            <w:noWrap w:val="0"/>
            <w:vAlign w:val="center"/>
          </w:tcPr>
          <w:p w14:paraId="5867D725">
            <w:pPr>
              <w:widowControl/>
              <w:jc w:val="center"/>
              <w:textAlignment w:val="center"/>
              <w:rPr>
                <w:rFonts w:hint="eastAsia" w:ascii="宋体" w:hAnsi="宋体" w:eastAsia="宋体" w:cs="宋体"/>
                <w:color w:val="auto"/>
                <w:sz w:val="24"/>
                <w:szCs w:val="24"/>
                <w:highlight w:val="none"/>
                <w:lang w:eastAsia="zh-CN"/>
              </w:rPr>
            </w:pPr>
          </w:p>
        </w:tc>
        <w:tc>
          <w:tcPr>
            <w:tcW w:w="990" w:type="dxa"/>
            <w:vMerge w:val="continue"/>
            <w:tcBorders>
              <w:tl2br w:val="nil"/>
              <w:tr2bl w:val="nil"/>
            </w:tcBorders>
            <w:noWrap w:val="0"/>
            <w:vAlign w:val="center"/>
          </w:tcPr>
          <w:p w14:paraId="6BC9FBBA">
            <w:pPr>
              <w:widowControl/>
              <w:jc w:val="center"/>
              <w:textAlignment w:val="center"/>
              <w:rPr>
                <w:rFonts w:hint="eastAsia" w:ascii="宋体" w:hAnsi="宋体" w:eastAsia="宋体" w:cs="宋体"/>
                <w:color w:val="auto"/>
                <w:sz w:val="24"/>
                <w:szCs w:val="24"/>
                <w:highlight w:val="none"/>
                <w:lang w:eastAsia="zh-CN"/>
              </w:rPr>
            </w:pPr>
          </w:p>
        </w:tc>
        <w:tc>
          <w:tcPr>
            <w:tcW w:w="1092" w:type="dxa"/>
            <w:vMerge w:val="continue"/>
            <w:tcBorders>
              <w:tl2br w:val="nil"/>
              <w:tr2bl w:val="nil"/>
            </w:tcBorders>
            <w:noWrap w:val="0"/>
            <w:vAlign w:val="center"/>
          </w:tcPr>
          <w:p w14:paraId="52DF5E6C">
            <w:pPr>
              <w:widowControl/>
              <w:jc w:val="center"/>
              <w:textAlignment w:val="center"/>
              <w:rPr>
                <w:rFonts w:hint="eastAsia" w:ascii="宋体" w:hAnsi="宋体" w:eastAsia="宋体" w:cs="宋体"/>
                <w:color w:val="auto"/>
                <w:sz w:val="24"/>
                <w:szCs w:val="24"/>
                <w:highlight w:val="none"/>
                <w:lang w:eastAsia="zh-CN"/>
              </w:rPr>
            </w:pPr>
          </w:p>
        </w:tc>
        <w:tc>
          <w:tcPr>
            <w:tcW w:w="1073" w:type="dxa"/>
            <w:vMerge w:val="continue"/>
            <w:tcBorders>
              <w:tl2br w:val="nil"/>
              <w:tr2bl w:val="nil"/>
            </w:tcBorders>
            <w:noWrap w:val="0"/>
            <w:vAlign w:val="center"/>
          </w:tcPr>
          <w:p w14:paraId="35FA09B5">
            <w:pPr>
              <w:widowControl/>
              <w:jc w:val="center"/>
              <w:textAlignment w:val="center"/>
              <w:rPr>
                <w:rFonts w:hint="eastAsia" w:ascii="宋体" w:hAnsi="宋体" w:eastAsia="宋体" w:cs="宋体"/>
                <w:color w:val="auto"/>
                <w:sz w:val="24"/>
                <w:szCs w:val="24"/>
                <w:highlight w:val="none"/>
                <w:lang w:eastAsia="zh-CN"/>
              </w:rPr>
            </w:pPr>
          </w:p>
        </w:tc>
        <w:tc>
          <w:tcPr>
            <w:tcW w:w="1905" w:type="dxa"/>
            <w:vMerge w:val="continue"/>
            <w:tcBorders>
              <w:tl2br w:val="nil"/>
              <w:tr2bl w:val="nil"/>
            </w:tcBorders>
            <w:noWrap w:val="0"/>
            <w:vAlign w:val="center"/>
          </w:tcPr>
          <w:p w14:paraId="6C7989BD">
            <w:pPr>
              <w:widowControl/>
              <w:jc w:val="center"/>
              <w:textAlignment w:val="center"/>
              <w:rPr>
                <w:rFonts w:hint="eastAsia" w:ascii="宋体" w:hAnsi="宋体" w:eastAsia="宋体" w:cs="宋体"/>
                <w:color w:val="auto"/>
                <w:sz w:val="24"/>
                <w:szCs w:val="24"/>
                <w:highlight w:val="none"/>
                <w:lang w:eastAsia="zh-CN"/>
              </w:rPr>
            </w:pPr>
          </w:p>
        </w:tc>
        <w:tc>
          <w:tcPr>
            <w:tcW w:w="1461" w:type="dxa"/>
            <w:tcBorders>
              <w:tl2br w:val="nil"/>
              <w:tr2bl w:val="nil"/>
            </w:tcBorders>
            <w:noWrap w:val="0"/>
            <w:vAlign w:val="center"/>
          </w:tcPr>
          <w:p w14:paraId="1946735A">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263.08</w:t>
            </w:r>
          </w:p>
        </w:tc>
        <w:tc>
          <w:tcPr>
            <w:tcW w:w="4228" w:type="dxa"/>
            <w:tcBorders>
              <w:tl2br w:val="nil"/>
              <w:tr2bl w:val="nil"/>
            </w:tcBorders>
            <w:noWrap w:val="0"/>
            <w:vAlign w:val="center"/>
          </w:tcPr>
          <w:p w14:paraId="045A0026">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262.08亩：微生物菌剂（150 kg/亩）+叶面阻控（250mL/亩，2次）；1亩：低积累水稻品种筛选试验</w:t>
            </w:r>
          </w:p>
        </w:tc>
      </w:tr>
      <w:tr w14:paraId="458D9C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128" w:hRule="atLeast"/>
          <w:jc w:val="center"/>
        </w:trPr>
        <w:tc>
          <w:tcPr>
            <w:tcW w:w="1875" w:type="dxa"/>
            <w:tcBorders>
              <w:tl2br w:val="nil"/>
              <w:tr2bl w:val="nil"/>
            </w:tcBorders>
            <w:noWrap w:val="0"/>
            <w:vAlign w:val="center"/>
          </w:tcPr>
          <w:p w14:paraId="105414D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茅排镇</w:t>
            </w:r>
          </w:p>
        </w:tc>
        <w:tc>
          <w:tcPr>
            <w:tcW w:w="1132" w:type="dxa"/>
            <w:tcBorders>
              <w:tl2br w:val="nil"/>
              <w:tr2bl w:val="nil"/>
            </w:tcBorders>
            <w:noWrap w:val="0"/>
            <w:vAlign w:val="center"/>
          </w:tcPr>
          <w:p w14:paraId="0493CEF7">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泽泉村</w:t>
            </w:r>
          </w:p>
        </w:tc>
        <w:tc>
          <w:tcPr>
            <w:tcW w:w="1143" w:type="dxa"/>
            <w:tcBorders>
              <w:tl2br w:val="nil"/>
              <w:tr2bl w:val="nil"/>
            </w:tcBorders>
            <w:noWrap w:val="0"/>
            <w:vAlign w:val="center"/>
          </w:tcPr>
          <w:p w14:paraId="7E45662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5.51</w:t>
            </w:r>
          </w:p>
        </w:tc>
        <w:tc>
          <w:tcPr>
            <w:tcW w:w="990" w:type="dxa"/>
            <w:tcBorders>
              <w:tl2br w:val="nil"/>
              <w:tr2bl w:val="nil"/>
            </w:tcBorders>
            <w:noWrap w:val="0"/>
            <w:vAlign w:val="center"/>
          </w:tcPr>
          <w:p w14:paraId="7979FF7F">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低</w:t>
            </w:r>
          </w:p>
        </w:tc>
        <w:tc>
          <w:tcPr>
            <w:tcW w:w="1092" w:type="dxa"/>
            <w:tcBorders>
              <w:tl2br w:val="nil"/>
              <w:tr2bl w:val="nil"/>
            </w:tcBorders>
            <w:noWrap w:val="0"/>
            <w:vAlign w:val="center"/>
          </w:tcPr>
          <w:p w14:paraId="246CC5AB">
            <w:pPr>
              <w:widowControl/>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镉、汞</w:t>
            </w:r>
          </w:p>
        </w:tc>
        <w:tc>
          <w:tcPr>
            <w:tcW w:w="1073" w:type="dxa"/>
            <w:tcBorders>
              <w:tl2br w:val="nil"/>
              <w:tr2bl w:val="nil"/>
            </w:tcBorders>
            <w:noWrap w:val="0"/>
            <w:vAlign w:val="center"/>
          </w:tcPr>
          <w:p w14:paraId="1FF22B7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538</w:t>
            </w:r>
          </w:p>
        </w:tc>
        <w:tc>
          <w:tcPr>
            <w:tcW w:w="1905" w:type="dxa"/>
            <w:tcBorders>
              <w:tl2br w:val="nil"/>
              <w:tr2bl w:val="nil"/>
            </w:tcBorders>
            <w:noWrap w:val="0"/>
            <w:vAlign w:val="center"/>
          </w:tcPr>
          <w:p w14:paraId="76F0CBE9">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中稻</w:t>
            </w:r>
          </w:p>
        </w:tc>
        <w:tc>
          <w:tcPr>
            <w:tcW w:w="1461" w:type="dxa"/>
            <w:tcBorders>
              <w:tl2br w:val="nil"/>
              <w:tr2bl w:val="nil"/>
            </w:tcBorders>
            <w:noWrap w:val="0"/>
            <w:vAlign w:val="center"/>
          </w:tcPr>
          <w:p w14:paraId="51EECF01">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100</w:t>
            </w:r>
          </w:p>
        </w:tc>
        <w:tc>
          <w:tcPr>
            <w:tcW w:w="4228" w:type="dxa"/>
            <w:tcBorders>
              <w:tl2br w:val="nil"/>
              <w:tr2bl w:val="nil"/>
            </w:tcBorders>
            <w:noWrap w:val="0"/>
            <w:vAlign w:val="center"/>
          </w:tcPr>
          <w:p w14:paraId="598403C7">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低积累水稻品种（臻两优8612）</w:t>
            </w:r>
          </w:p>
        </w:tc>
      </w:tr>
      <w:tr w14:paraId="50AD8E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128" w:hRule="atLeast"/>
          <w:jc w:val="center"/>
        </w:trPr>
        <w:tc>
          <w:tcPr>
            <w:tcW w:w="1875" w:type="dxa"/>
            <w:tcBorders>
              <w:tl2br w:val="nil"/>
              <w:tr2bl w:val="nil"/>
            </w:tcBorders>
            <w:noWrap w:val="0"/>
            <w:vAlign w:val="center"/>
          </w:tcPr>
          <w:p w14:paraId="724823CB">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孝桥镇（优先保护区）</w:t>
            </w:r>
          </w:p>
        </w:tc>
        <w:tc>
          <w:tcPr>
            <w:tcW w:w="1132" w:type="dxa"/>
            <w:tcBorders>
              <w:tl2br w:val="nil"/>
              <w:tr2bl w:val="nil"/>
            </w:tcBorders>
            <w:noWrap w:val="0"/>
            <w:vAlign w:val="center"/>
          </w:tcPr>
          <w:p w14:paraId="48C0F9CC">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龙湾村</w:t>
            </w:r>
          </w:p>
        </w:tc>
        <w:tc>
          <w:tcPr>
            <w:tcW w:w="1143" w:type="dxa"/>
            <w:tcBorders>
              <w:tl2br w:val="nil"/>
              <w:tr2bl w:val="nil"/>
            </w:tcBorders>
            <w:noWrap w:val="0"/>
            <w:vAlign w:val="center"/>
          </w:tcPr>
          <w:p w14:paraId="5F874DEC">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p>
        </w:tc>
        <w:tc>
          <w:tcPr>
            <w:tcW w:w="990" w:type="dxa"/>
            <w:tcBorders>
              <w:tl2br w:val="nil"/>
              <w:tr2bl w:val="nil"/>
            </w:tcBorders>
            <w:noWrap w:val="0"/>
            <w:vAlign w:val="center"/>
          </w:tcPr>
          <w:p w14:paraId="138A67B2">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低</w:t>
            </w:r>
          </w:p>
        </w:tc>
        <w:tc>
          <w:tcPr>
            <w:tcW w:w="1092" w:type="dxa"/>
            <w:tcBorders>
              <w:tl2br w:val="nil"/>
              <w:tr2bl w:val="nil"/>
            </w:tcBorders>
            <w:noWrap w:val="0"/>
            <w:vAlign w:val="center"/>
          </w:tcPr>
          <w:p w14:paraId="08067F05">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镉</w:t>
            </w:r>
          </w:p>
        </w:tc>
        <w:tc>
          <w:tcPr>
            <w:tcW w:w="1073" w:type="dxa"/>
            <w:tcBorders>
              <w:tl2br w:val="nil"/>
              <w:tr2bl w:val="nil"/>
            </w:tcBorders>
            <w:noWrap w:val="0"/>
            <w:vAlign w:val="center"/>
          </w:tcPr>
          <w:p w14:paraId="328EDA36">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40</w:t>
            </w:r>
          </w:p>
        </w:tc>
        <w:tc>
          <w:tcPr>
            <w:tcW w:w="1905" w:type="dxa"/>
            <w:tcBorders>
              <w:tl2br w:val="nil"/>
              <w:tr2bl w:val="nil"/>
            </w:tcBorders>
            <w:noWrap w:val="0"/>
            <w:vAlign w:val="center"/>
          </w:tcPr>
          <w:p w14:paraId="4F2388A4">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中稻</w:t>
            </w:r>
          </w:p>
        </w:tc>
        <w:tc>
          <w:tcPr>
            <w:tcW w:w="1461" w:type="dxa"/>
            <w:tcBorders>
              <w:bottom w:val="single" w:color="auto" w:sz="4" w:space="0"/>
              <w:tl2br w:val="nil"/>
              <w:tr2bl w:val="nil"/>
            </w:tcBorders>
            <w:noWrap w:val="0"/>
            <w:vAlign w:val="center"/>
          </w:tcPr>
          <w:p w14:paraId="6D393247">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40</w:t>
            </w:r>
          </w:p>
        </w:tc>
        <w:tc>
          <w:tcPr>
            <w:tcW w:w="4228" w:type="dxa"/>
            <w:tcBorders>
              <w:bottom w:val="single" w:color="auto" w:sz="4" w:space="0"/>
              <w:tl2br w:val="nil"/>
              <w:tr2bl w:val="nil"/>
            </w:tcBorders>
            <w:noWrap w:val="0"/>
            <w:vAlign w:val="center"/>
          </w:tcPr>
          <w:p w14:paraId="1541A3DF">
            <w:pPr>
              <w:widowControl/>
              <w:jc w:val="center"/>
              <w:textAlignment w:val="center"/>
              <w:rPr>
                <w:rFonts w:hint="eastAsia" w:ascii="宋体" w:hAnsi="宋体" w:eastAsia="宋体" w:cs="宋体"/>
                <w:color w:val="auto"/>
                <w:sz w:val="24"/>
                <w:szCs w:val="24"/>
                <w:highlight w:val="none"/>
                <w:lang w:eastAsia="zh-CN" w:bidi="ar"/>
              </w:rPr>
            </w:pPr>
            <w:r>
              <w:rPr>
                <w:rFonts w:hint="eastAsia" w:ascii="宋体" w:hAnsi="宋体" w:eastAsia="宋体" w:cs="宋体"/>
                <w:color w:val="auto"/>
                <w:sz w:val="24"/>
                <w:szCs w:val="24"/>
                <w:highlight w:val="none"/>
                <w:lang w:eastAsia="zh-CN" w:bidi="ar"/>
              </w:rPr>
              <w:t>低积累水稻品种（臻两优8612）</w:t>
            </w:r>
          </w:p>
        </w:tc>
      </w:tr>
    </w:tbl>
    <w:p w14:paraId="573429D2">
      <w:pPr>
        <w:rPr>
          <w:color w:val="auto"/>
          <w:kern w:val="2"/>
          <w:sz w:val="24"/>
          <w:szCs w:val="24"/>
          <w:highlight w:val="none"/>
          <w:lang w:eastAsia="zh-CN" w:bidi="ar-SA"/>
        </w:rPr>
      </w:pPr>
    </w:p>
    <w:p w14:paraId="7153B5C8">
      <w:pPr>
        <w:jc w:val="center"/>
        <w:rPr>
          <w:rFonts w:hint="eastAsia" w:ascii="宋体" w:hAnsi="宋体" w:eastAsia="宋体" w:cs="宋体"/>
          <w:b/>
          <w:bCs/>
          <w:sz w:val="24"/>
          <w:szCs w:val="24"/>
          <w:lang w:val="en-US" w:eastAsia="zh-CN"/>
        </w:rPr>
        <w:sectPr>
          <w:pgSz w:w="16838" w:h="11900" w:orient="landscape"/>
          <w:pgMar w:top="1417" w:right="1327" w:bottom="1236" w:left="1327" w:header="850" w:footer="1134" w:gutter="0"/>
          <w:pgNumType w:fmt="decimal"/>
          <w:cols w:space="720" w:num="1"/>
          <w:titlePg/>
          <w:rtlGutter w:val="0"/>
          <w:docGrid w:linePitch="360" w:charSpace="0"/>
        </w:sectPr>
      </w:pPr>
    </w:p>
    <w:p w14:paraId="35DC111B">
      <w:pPr>
        <w:pStyle w:val="7"/>
        <w:keepNext/>
        <w:keepLines/>
        <w:spacing w:after="0" w:line="360" w:lineRule="auto"/>
        <w:jc w:val="left"/>
        <w:rPr>
          <w:rFonts w:hint="default" w:ascii="Times New Roman" w:hAnsi="Times New Roman" w:eastAsia="宋体" w:cs="Times New Roman"/>
          <w:b/>
          <w:bCs/>
          <w:color w:val="auto"/>
          <w:sz w:val="24"/>
          <w:szCs w:val="24"/>
          <w:highlight w:val="none"/>
          <w:lang w:val="en-US" w:eastAsia="zh-CN" w:bidi="en-US"/>
        </w:rPr>
      </w:pPr>
      <w:r>
        <w:rPr>
          <w:rFonts w:hint="eastAsia" w:ascii="Times New Roman" w:hAnsi="Times New Roman" w:eastAsia="宋体" w:cs="Times New Roman"/>
          <w:b/>
          <w:bCs/>
          <w:color w:val="auto"/>
          <w:sz w:val="24"/>
          <w:szCs w:val="24"/>
          <w:highlight w:val="none"/>
          <w:lang w:val="en-US" w:eastAsia="zh-CN" w:bidi="en-US"/>
        </w:rPr>
        <w:t>1.6技术要求</w:t>
      </w:r>
    </w:p>
    <w:p w14:paraId="56B0263D">
      <w:pPr>
        <w:spacing w:line="360" w:lineRule="auto"/>
        <w:ind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（1）土壤调理技术</w:t>
      </w:r>
    </w:p>
    <w:p w14:paraId="65DA3550">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主要技术要点：</w:t>
      </w:r>
      <w:r>
        <w:rPr>
          <w:rFonts w:hint="eastAsia" w:ascii="宋体" w:hAnsi="宋体" w:eastAsia="宋体" w:cs="宋体"/>
          <w:color w:val="auto"/>
          <w:kern w:val="2"/>
          <w:sz w:val="24"/>
          <w:szCs w:val="24"/>
          <w:highlight w:val="none"/>
          <w:lang w:eastAsia="zh-CN" w:bidi="ar-SA"/>
        </w:rPr>
        <w:t>土壤修复菌剂是指目标微生物（有效菌）经过工业化生产扩繁后，利用多孔的物质作为吸附剂（如草炭、蛭石），吸附菌体的发酵液加工制成的活菌制剂。这种菌剂用于拌种或蘸根，具有直接或间接改良土壤、恢复地力、预防土传病害、维持根际微生物区系平衡和降解有毒害物质等作用。农用微生物菌剂恰当使用可以提高农产品产量、改善农产品品质、减少化肥用量、降低成本、改良土壤、保护生态环境。</w:t>
      </w:r>
    </w:p>
    <w:p w14:paraId="168ED93C">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施用方式：</w:t>
      </w:r>
      <w:r>
        <w:rPr>
          <w:rFonts w:hint="eastAsia" w:ascii="宋体" w:hAnsi="宋体" w:eastAsia="宋体" w:cs="宋体"/>
          <w:color w:val="auto"/>
          <w:kern w:val="2"/>
          <w:sz w:val="24"/>
          <w:szCs w:val="24"/>
          <w:highlight w:val="none"/>
          <w:lang w:eastAsia="zh-CN" w:bidi="ar-SA"/>
        </w:rPr>
        <w:t>主要用于多种元素复合污染的区域。在水稻种植前15天整地时，利用人工或机械撒入，然后整地，使菌剂与土壤充分混匀。</w:t>
      </w:r>
    </w:p>
    <w:p w14:paraId="2A18F9D8">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用量：</w:t>
      </w:r>
      <w:r>
        <w:rPr>
          <w:rFonts w:hint="eastAsia" w:ascii="宋体" w:hAnsi="宋体" w:eastAsia="宋体" w:cs="宋体"/>
          <w:color w:val="auto"/>
          <w:kern w:val="2"/>
          <w:sz w:val="24"/>
          <w:szCs w:val="24"/>
          <w:highlight w:val="none"/>
          <w:lang w:eastAsia="zh-CN" w:bidi="ar-SA"/>
        </w:rPr>
        <w:t>根据土壤重金属风险确定，含有镉、汞中度污染风险的污染区施用土壤修复菌剂150kg/亩。</w:t>
      </w:r>
    </w:p>
    <w:p w14:paraId="4202AFC4">
      <w:pPr>
        <w:spacing w:line="360" w:lineRule="auto"/>
        <w:ind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参数要求：</w:t>
      </w:r>
      <w:r>
        <w:rPr>
          <w:rFonts w:hint="eastAsia" w:ascii="宋体" w:hAnsi="宋体" w:eastAsia="宋体" w:cs="宋体"/>
          <w:color w:val="auto"/>
          <w:kern w:val="2"/>
          <w:sz w:val="24"/>
          <w:szCs w:val="24"/>
          <w:highlight w:val="none"/>
          <w:lang w:val="en-US" w:eastAsia="zh-CN" w:bidi="ar-SA"/>
        </w:rPr>
        <w:t>硅（Si）≥130g/L，氧化钾(K2O)≥130g/L,水不溶物≤10g/L，pH≥9；重金属含量要求：砷（As）≤30mg/kg；镉（Cd）≤0.3mg/kg；铅（Pb）≤80mg/kg；铬（Cr）≤250mg/kg；汞（Hg）≤0.5mg/kg。</w:t>
      </w:r>
      <w:r>
        <w:rPr>
          <w:rFonts w:hint="eastAsia" w:ascii="宋体" w:hAnsi="宋体" w:eastAsia="宋体" w:cs="宋体"/>
          <w:b/>
          <w:bCs/>
          <w:color w:val="auto"/>
          <w:kern w:val="2"/>
          <w:sz w:val="24"/>
          <w:szCs w:val="24"/>
          <w:highlight w:val="none"/>
          <w:lang w:val="en-US" w:eastAsia="zh-CN" w:bidi="ar-SA"/>
        </w:rPr>
        <w:t>产品必须获得农业农村部颁布的《肥料登记证》，登记名称为中量元素肥料，以肥料登记证上的为准，重金属含量要求以检测报告上的为准，投标文件中提供产品肥料登记证及有相应资质的第三方检验（检测）机构出具的具有 CMA 标识的检验（检测）报告原件扫描件加盖投标人公章。</w:t>
      </w:r>
    </w:p>
    <w:p w14:paraId="534DE9FE">
      <w:pPr>
        <w:spacing w:line="360" w:lineRule="auto"/>
        <w:ind w:firstLine="482" w:firstLineChars="200"/>
        <w:jc w:val="both"/>
        <w:rPr>
          <w:rFonts w:hint="eastAsia" w:ascii="宋体" w:hAnsi="宋体" w:eastAsia="宋体" w:cs="宋体"/>
          <w:b/>
          <w:bCs/>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（2）叶面阻控技术</w:t>
      </w:r>
    </w:p>
    <w:p w14:paraId="41E328CF">
      <w:pPr>
        <w:adjustRightInd w:val="0"/>
        <w:snapToGrid w:val="0"/>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主要技术要点：</w:t>
      </w:r>
      <w:r>
        <w:rPr>
          <w:rFonts w:hint="eastAsia" w:ascii="宋体" w:hAnsi="宋体" w:eastAsia="宋体" w:cs="宋体"/>
          <w:color w:val="auto"/>
          <w:kern w:val="2"/>
          <w:sz w:val="24"/>
          <w:szCs w:val="24"/>
          <w:highlight w:val="none"/>
          <w:lang w:eastAsia="zh-CN" w:bidi="ar-SA"/>
        </w:rPr>
        <w:t>含硅、锌、硒等中微量元素的水溶肥可明显提高水稻对镉吸收积累的营养拮抗作用，从而可降低重金属镉在水稻植株（含籽粒）的积累。本方案拟选择含硅叶面阻控剂作为水稻叶面喷施阻控其镉吸收的水稻营养拮抗材料，叶面阻控剂要求剂型为水剂，适用作物须包含水稻，需取得农业农村部肥料登记证。</w:t>
      </w:r>
    </w:p>
    <w:p w14:paraId="01B5203E">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叶面阻控剂用量：</w:t>
      </w:r>
      <w:r>
        <w:rPr>
          <w:rFonts w:hint="eastAsia" w:ascii="宋体" w:hAnsi="宋体" w:eastAsia="宋体" w:cs="宋体"/>
          <w:color w:val="auto"/>
          <w:kern w:val="2"/>
          <w:sz w:val="24"/>
          <w:szCs w:val="24"/>
          <w:highlight w:val="none"/>
          <w:lang w:eastAsia="zh-CN" w:bidi="ar-SA"/>
        </w:rPr>
        <w:t>250mL/亩，2次。</w:t>
      </w:r>
    </w:p>
    <w:p w14:paraId="3D313340">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叶面阻控剂使用时间：</w:t>
      </w:r>
      <w:r>
        <w:rPr>
          <w:rFonts w:hint="eastAsia" w:ascii="宋体" w:hAnsi="宋体" w:eastAsia="宋体" w:cs="宋体"/>
          <w:color w:val="auto"/>
          <w:kern w:val="2"/>
          <w:sz w:val="24"/>
          <w:szCs w:val="24"/>
          <w:highlight w:val="none"/>
          <w:lang w:eastAsia="zh-CN" w:bidi="ar-SA"/>
        </w:rPr>
        <w:t>水稻分蘖盛期和孕穗期施用。</w:t>
      </w:r>
    </w:p>
    <w:p w14:paraId="18727789">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叶面阻控剂使用方式：</w:t>
      </w:r>
      <w:r>
        <w:rPr>
          <w:rFonts w:hint="eastAsia" w:ascii="宋体" w:hAnsi="宋体" w:eastAsia="宋体" w:cs="宋体"/>
          <w:color w:val="auto"/>
          <w:kern w:val="2"/>
          <w:sz w:val="24"/>
          <w:szCs w:val="24"/>
          <w:highlight w:val="none"/>
          <w:lang w:eastAsia="zh-CN" w:bidi="ar-SA"/>
        </w:rPr>
        <w:t>叶面喷施，可人工喷雾或者飞防，以喷施株茎叶为准；</w:t>
      </w:r>
    </w:p>
    <w:p w14:paraId="0F1F0A64">
      <w:pPr>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无人机飞行高度：</w:t>
      </w:r>
      <w:r>
        <w:rPr>
          <w:rFonts w:hint="eastAsia" w:ascii="宋体" w:hAnsi="宋体" w:eastAsia="宋体" w:cs="宋体"/>
          <w:color w:val="auto"/>
          <w:kern w:val="2"/>
          <w:sz w:val="24"/>
          <w:szCs w:val="24"/>
          <w:highlight w:val="none"/>
          <w:lang w:eastAsia="zh-CN" w:bidi="ar-SA"/>
        </w:rPr>
        <w:t>无人机飞行高度3—5米为佳；</w:t>
      </w:r>
    </w:p>
    <w:p w14:paraId="24665A85">
      <w:pPr>
        <w:spacing w:after="120"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eastAsia="zh-CN" w:bidi="ar-SA"/>
        </w:rPr>
        <w:t>产品稀释浓度：</w:t>
      </w:r>
      <w:r>
        <w:rPr>
          <w:rFonts w:hint="eastAsia" w:ascii="宋体" w:hAnsi="宋体" w:eastAsia="宋体" w:cs="宋体"/>
          <w:color w:val="auto"/>
          <w:kern w:val="2"/>
          <w:sz w:val="24"/>
          <w:szCs w:val="24"/>
          <w:highlight w:val="none"/>
          <w:lang w:eastAsia="zh-CN" w:bidi="ar-SA"/>
        </w:rPr>
        <w:t>本产品为高浓度叶面肥，稀释浓度按照产品说明施用。</w:t>
      </w:r>
    </w:p>
    <w:p w14:paraId="69320050">
      <w:pPr>
        <w:numPr>
          <w:ilvl w:val="0"/>
          <w:numId w:val="0"/>
        </w:numPr>
        <w:spacing w:line="360" w:lineRule="auto"/>
        <w:ind w:firstLine="482" w:firstLineChars="20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eastAsia="zh-CN" w:bidi="ar-SA"/>
        </w:rPr>
        <w:t>参数要求：</w:t>
      </w:r>
      <w:r>
        <w:rPr>
          <w:rFonts w:hint="eastAsia" w:ascii="宋体" w:hAnsi="宋体" w:eastAsia="宋体" w:cs="宋体"/>
          <w:color w:val="auto"/>
          <w:kern w:val="2"/>
          <w:sz w:val="24"/>
          <w:szCs w:val="24"/>
          <w:highlight w:val="none"/>
          <w:lang w:val="en-US" w:eastAsia="zh-CN" w:bidi="ar-SA"/>
        </w:rPr>
        <w:t>有效活菌数≥3亿/克，有机质≥15%，胞外多糖≥1mg/g,适用范围为酸性土壤；重金属含量要求：镉（Cd）≤0.3mg/kg，汞（Hg）≤0.5mg/kg，砷（As）≤30mg/kg，铅（Pb）≤80mg/kg，铬（Cr）≤250mg/kg。</w:t>
      </w:r>
      <w:r>
        <w:rPr>
          <w:rFonts w:hint="eastAsia" w:ascii="宋体" w:hAnsi="宋体" w:eastAsia="宋体" w:cs="宋体"/>
          <w:b/>
          <w:bCs/>
          <w:color w:val="auto"/>
          <w:kern w:val="2"/>
          <w:sz w:val="24"/>
          <w:szCs w:val="24"/>
          <w:highlight w:val="none"/>
          <w:lang w:val="en-US" w:eastAsia="zh-CN" w:bidi="ar-SA"/>
        </w:rPr>
        <w:t>产品必须获得农业农村部颁布的《肥料登记证》，以肥料登记证上的为准，重金属含量要求以检测报告上的为准，投标文件中提供产品肥料登记证及有相应资质的第三方检验（检测）机构出具的具有 CMA 标识的检验（检测）报告原件扫描件加盖投标人公章。</w:t>
      </w:r>
    </w:p>
    <w:p w14:paraId="5BE9E23E">
      <w:pPr>
        <w:pStyle w:val="8"/>
        <w:spacing w:line="360" w:lineRule="auto"/>
        <w:ind w:firstLine="482" w:firstLineChars="200"/>
        <w:jc w:val="both"/>
        <w:rPr>
          <w:rFonts w:hint="eastAsia" w:ascii="宋体" w:hAnsi="宋体" w:eastAsia="宋体" w:cs="宋体"/>
          <w:color w:val="auto"/>
          <w:kern w:val="2"/>
          <w:sz w:val="24"/>
          <w:szCs w:val="24"/>
          <w:highlight w:val="none"/>
          <w:lang w:eastAsia="zh-CN" w:bidi="ar-SA"/>
        </w:rPr>
      </w:pPr>
      <w:r>
        <w:rPr>
          <w:rFonts w:hint="eastAsia" w:ascii="宋体" w:hAnsi="宋体" w:eastAsia="宋体" w:cs="宋体"/>
          <w:b/>
          <w:bCs/>
          <w:color w:val="auto"/>
          <w:kern w:val="2"/>
          <w:sz w:val="24"/>
          <w:szCs w:val="24"/>
          <w:highlight w:val="none"/>
          <w:lang w:val="en-US" w:eastAsia="zh-CN" w:bidi="ar-SA"/>
        </w:rPr>
        <w:t>（3）镉低积累水稻品种</w:t>
      </w:r>
    </w:p>
    <w:p w14:paraId="1BE3E6B5">
      <w:pPr>
        <w:spacing w:line="360" w:lineRule="auto"/>
        <w:ind w:firstLine="482"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施用方式：</w:t>
      </w:r>
      <w:r>
        <w:rPr>
          <w:rFonts w:hint="eastAsia" w:ascii="宋体" w:hAnsi="宋体" w:eastAsia="宋体" w:cs="宋体"/>
          <w:color w:val="auto"/>
          <w:sz w:val="24"/>
          <w:szCs w:val="24"/>
          <w:highlight w:val="none"/>
          <w:lang w:eastAsia="zh-CN"/>
        </w:rPr>
        <w:t>5月下旬播种（最迟在6月8日前），可抛秧和机插，机插秧龄控制在15—18天，抛秧秧龄控制在22天内，人工移栽秧龄控制在25天以内。</w:t>
      </w:r>
    </w:p>
    <w:p w14:paraId="7D11B229">
      <w:pPr>
        <w:spacing w:line="360" w:lineRule="auto"/>
        <w:ind w:firstLine="482"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kern w:val="2"/>
          <w:sz w:val="24"/>
          <w:szCs w:val="24"/>
          <w:highlight w:val="none"/>
          <w:lang w:eastAsia="zh-CN" w:bidi="ar-SA"/>
        </w:rPr>
        <w:t>参数要求</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rPr>
        <w:t>选用经国家或地方审定的低积累品种（臻两优8612），避免使用未经测试的品种；避免污水灌溉，使用清洁水源，防止外源重金属污染；避免长期单一种植，长期单一种植可能导致土壤重金属形态变化，影响修复效果。</w:t>
      </w:r>
    </w:p>
    <w:p w14:paraId="6514B7D7">
      <w:pPr>
        <w:pStyle w:val="8"/>
        <w:spacing w:line="360" w:lineRule="auto"/>
        <w:ind w:firstLine="482" w:firstLineChars="200"/>
        <w:jc w:val="both"/>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（4）种植绿肥</w:t>
      </w:r>
    </w:p>
    <w:p w14:paraId="7BC4B7D8">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绿肥作物是提供作物肥源和培肥土壤的作物。栽培绿肥以紫云英为主。紫云英种子质量必须符合国家标准《GB8080-2010 绿肥种子》。 </w:t>
      </w:r>
    </w:p>
    <w:p w14:paraId="674B1778">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种子处理：晒种 4-5 小时，晒种后将种子与细沙按 2：1 的比例拌匀，以提高种子吸水速度和发芽率，浸种 12-24 小时后捞出晾干即可播种。 </w:t>
      </w:r>
    </w:p>
    <w:p w14:paraId="26B7430D">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播种量：紫云英用种量 2kg/亩。 </w:t>
      </w:r>
    </w:p>
    <w:p w14:paraId="1185B88C">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播种时期：一般在 10 月上中旬至 11 月初播种。 </w:t>
      </w:r>
    </w:p>
    <w:p w14:paraId="686DB9B3">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播种方式：播种以使用无人机飞播为主，播种时田间保持湿润状态。 </w:t>
      </w:r>
    </w:p>
    <w:p w14:paraId="4728F10F">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田间管理：要求开好主沟、围沟和厢沟，“三沟”配套，为紫云英生长创造良好的土壤条件。 </w:t>
      </w:r>
    </w:p>
    <w:p w14:paraId="2D7F176E">
      <w:pPr>
        <w:pStyle w:val="8"/>
        <w:spacing w:line="360" w:lineRule="auto"/>
        <w:ind w:firstLine="482" w:firstLineChars="200"/>
        <w:jc w:val="both"/>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（5）种植结构调整和休耕</w:t>
      </w:r>
    </w:p>
    <w:p w14:paraId="6546B49F">
      <w:pPr>
        <w:spacing w:line="360" w:lineRule="auto"/>
        <w:ind w:firstLine="480" w:firstLineChars="20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种植结构调整是指在重金属污染的耕地为保障农产品安全生产，用农产品重金属超标风险较低的作物代替超标风险较高的作物的技术措施。主要是利用不同作物在种内及品种之间，对土壤重金属的吸收、积累和体内分配上分配差异，选择种植对重金属吸收能力弱或在可食用部位分配少的作物。休耕主要适用于污染较重的耕地（如严格管控类），此时种植水稻、蔬菜时重金属超标风险太大，采用其他治理措施也难以达到安全生产目标，只能进行土壤培肥式休耕，禁止种植可食用农产品。</w:t>
      </w:r>
    </w:p>
    <w:p w14:paraId="2AE3FA2A">
      <w:pPr>
        <w:pStyle w:val="7"/>
        <w:keepNext/>
        <w:keepLines/>
        <w:spacing w:after="0" w:line="360" w:lineRule="auto"/>
        <w:ind w:firstLine="241" w:firstLineChars="100"/>
        <w:jc w:val="left"/>
        <w:rPr>
          <w:rFonts w:hint="eastAsia" w:ascii="宋体" w:hAnsi="宋体" w:eastAsia="宋体" w:cs="宋体"/>
          <w:b/>
          <w:bCs/>
          <w:color w:val="000000" w:themeColor="text1"/>
          <w:sz w:val="24"/>
          <w:szCs w:val="24"/>
          <w:highlight w:val="none"/>
          <w:lang w:val="en-US" w:eastAsia="zh-CN" w:bidi="en-US"/>
          <w14:textFill>
            <w14:solidFill>
              <w14:schemeClr w14:val="tx1"/>
            </w14:solidFill>
          </w14:textFill>
        </w:rPr>
      </w:pP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（6）</w:t>
      </w:r>
      <w:r>
        <w:rPr>
          <w:rFonts w:hint="eastAsia" w:ascii="宋体" w:hAnsi="宋体" w:eastAsia="宋体" w:cs="宋体"/>
          <w:b/>
          <w:bCs/>
          <w:color w:val="000000" w:themeColor="text1"/>
          <w:sz w:val="24"/>
          <w:szCs w:val="24"/>
          <w:highlight w:val="none"/>
          <w:lang w:val="en-US" w:eastAsia="zh-CN" w:bidi="en-US"/>
          <w14:textFill>
            <w14:solidFill>
              <w14:schemeClr w14:val="tx1"/>
            </w14:solidFill>
          </w14:textFill>
        </w:rPr>
        <w:t>人员技术要求：</w:t>
      </w:r>
    </w:p>
    <w:p w14:paraId="02F871C4">
      <w:pPr>
        <w:pStyle w:val="7"/>
        <w:keepNext/>
        <w:keepLines/>
        <w:spacing w:after="0" w:line="360" w:lineRule="auto"/>
        <w:ind w:firstLine="480" w:firstLineChars="200"/>
        <w:jc w:val="left"/>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投标人拟派本项目的技术人员至少需要1名具有农学或植保或土壤或环境或农业资源环境等相关专业中级或以上技术职称的人员。提供证书、聘用合同原件扫描件加盖投标人公章。</w:t>
      </w:r>
    </w:p>
    <w:p w14:paraId="5CE8D76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3DA317"/>
    <w:multiLevelType w:val="singleLevel"/>
    <w:tmpl w:val="5A3DA31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983B97"/>
    <w:rsid w:val="4B297048"/>
    <w:rsid w:val="4C9E1B26"/>
    <w:rsid w:val="7D382A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pPr>
    <w:rPr>
      <w:rFonts w:ascii="宋体"/>
      <w:sz w:val="32"/>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2026-05-13T04:10:11Z</dcterms:created>
  <dc:creator>a</dc:creator>
  <cp:lastModifiedBy>九亿少女的梦</cp:lastModifiedBy>
  <dcterms:modified xsi:type="dcterms:W3CDTF">2026-05-13T04:10:49Z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eyJoZGlkIjoiZjg5ZGFjZDBjZTVhZDY1ZDI2MGU2YjE4ZWZhNzdkMGUiLCJ1c2VySWQiOiIxMjc5NDU5NDg2In0=</vt:lpwstr>
  </property>
  <property fmtid="{D5CDD505-2E9C-101B-9397-08002B2CF9AE}" pid="4" name="ICV">
    <vt:lpwstr>7EFAA65A62474E409D31AD90D8BCC6EC_12</vt:lpwstr>
  </property>
</Properties>
</file>