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90B8D4">
      <w:pPr>
        <w:spacing w:line="219" w:lineRule="auto"/>
        <w:jc w:val="center"/>
        <w:rPr>
          <w:rFonts w:ascii="宋体" w:hAnsi="宋体" w:eastAsia="宋体" w:cs="宋体"/>
          <w:b/>
          <w:bCs/>
          <w:sz w:val="36"/>
          <w:szCs w:val="36"/>
          <w:lang w:eastAsia="zh-CN"/>
        </w:rPr>
      </w:pPr>
      <w:r>
        <w:rPr>
          <w:rFonts w:ascii="宋体" w:hAnsi="宋体" w:eastAsia="宋体" w:cs="宋体"/>
          <w:b/>
          <w:bCs/>
          <w:sz w:val="36"/>
          <w:szCs w:val="36"/>
          <w:lang w:eastAsia="zh-CN"/>
        </w:rPr>
        <w:t>第五章   采购需求</w:t>
      </w:r>
    </w:p>
    <w:p w14:paraId="43D98E14">
      <w:pPr>
        <w:pStyle w:val="3"/>
        <w:spacing w:line="315" w:lineRule="auto"/>
        <w:rPr>
          <w:lang w:eastAsia="zh-CN"/>
        </w:rPr>
      </w:pPr>
    </w:p>
    <w:p w14:paraId="7ADAB2B8">
      <w:pPr>
        <w:pStyle w:val="3"/>
        <w:spacing w:line="316" w:lineRule="auto"/>
        <w:rPr>
          <w:rFonts w:ascii="宋体" w:hAnsi="宋体" w:eastAsia="宋体" w:cs="宋体"/>
          <w:lang w:eastAsia="zh-CN"/>
        </w:rPr>
      </w:pPr>
    </w:p>
    <w:p w14:paraId="3929205C">
      <w:pPr>
        <w:spacing w:before="94" w:line="228" w:lineRule="exact"/>
        <w:jc w:val="center"/>
        <w:outlineLvl w:val="1"/>
        <w:rPr>
          <w:rFonts w:ascii="宋体" w:hAnsi="宋体" w:eastAsia="宋体" w:cs="宋体"/>
          <w:b/>
          <w:bCs/>
          <w:sz w:val="28"/>
          <w:szCs w:val="28"/>
          <w:lang w:eastAsia="zh-CN"/>
        </w:rPr>
      </w:pPr>
      <w:r>
        <w:rPr>
          <w:rFonts w:hint="eastAsia" w:ascii="宋体" w:hAnsi="宋体" w:eastAsia="宋体" w:cs="宋体"/>
          <w:b/>
          <w:bCs/>
          <w:spacing w:val="11"/>
          <w:position w:val="-1"/>
          <w:sz w:val="28"/>
          <w:szCs w:val="28"/>
          <w:lang w:eastAsia="zh-CN"/>
        </w:rPr>
        <w:t>一、技术要求</w:t>
      </w:r>
    </w:p>
    <w:p w14:paraId="22C8F86B">
      <w:pPr>
        <w:spacing w:line="360" w:lineRule="auto"/>
        <w:ind w:firstLine="482" w:firstLineChars="200"/>
        <w:rPr>
          <w:rFonts w:ascii="宋体" w:hAnsi="宋体" w:eastAsia="宋体" w:cs="宋体"/>
          <w:b/>
          <w:bCs/>
          <w:color w:val="auto"/>
          <w:sz w:val="24"/>
          <w:lang w:eastAsia="zh-CN"/>
        </w:rPr>
      </w:pPr>
      <w:bookmarkStart w:id="0" w:name="bookmark80"/>
      <w:bookmarkEnd w:id="0"/>
      <w:r>
        <w:rPr>
          <w:rFonts w:hint="eastAsia" w:ascii="宋体" w:hAnsi="宋体" w:eastAsia="宋体" w:cs="宋体"/>
          <w:b/>
          <w:bCs/>
          <w:color w:val="auto"/>
          <w:sz w:val="24"/>
          <w:lang w:eastAsia="zh-CN"/>
        </w:rPr>
        <w:t>★（一）赛事背景</w:t>
      </w:r>
    </w:p>
    <w:p w14:paraId="20C10F09">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中国台球俱乐部职业联赛（CBL）是由国家体育总局小球运动管理中心、中国台球协会于2026年推出的国内最高水平的职业俱乐部团体赛事，也是中国台球职业化改革的核心项目。首届联赛于2026年</w:t>
      </w:r>
      <w:r>
        <w:rPr>
          <w:rFonts w:hint="eastAsia" w:ascii="宋体" w:hAnsi="宋体" w:eastAsia="宋体" w:cs="宋体"/>
          <w:color w:val="auto"/>
          <w:sz w:val="24"/>
          <w:lang w:val="en-US" w:eastAsia="zh-CN"/>
        </w:rPr>
        <w:t>6</w:t>
      </w:r>
      <w:r>
        <w:rPr>
          <w:rFonts w:hint="eastAsia" w:ascii="宋体" w:hAnsi="宋体" w:eastAsia="宋体" w:cs="宋体"/>
          <w:color w:val="auto"/>
          <w:sz w:val="24"/>
          <w:lang w:eastAsia="zh-CN"/>
        </w:rPr>
        <w:t>月至12月举行，共有8支职业俱乐部参赛，效仿足球篮球联赛实行主客场制，赛季长达8个月，</w:t>
      </w:r>
      <w:bookmarkStart w:id="1" w:name="OLE_LINK4"/>
      <w:bookmarkStart w:id="2" w:name="OLE_LINK3"/>
      <w:r>
        <w:rPr>
          <w:rFonts w:hint="eastAsia" w:ascii="宋体" w:hAnsi="宋体" w:eastAsia="宋体" w:cs="宋体"/>
          <w:color w:val="auto"/>
          <w:sz w:val="24"/>
          <w:lang w:eastAsia="zh-CN"/>
        </w:rPr>
        <w:t>涵盖</w:t>
      </w:r>
      <w:bookmarkStart w:id="3" w:name="OLE_LINK1"/>
      <w:bookmarkStart w:id="4" w:name="OLE_LINK2"/>
      <w:r>
        <w:rPr>
          <w:rFonts w:hint="eastAsia" w:ascii="宋体" w:hAnsi="宋体" w:eastAsia="宋体" w:cs="宋体"/>
          <w:color w:val="auto"/>
          <w:sz w:val="24"/>
          <w:lang w:eastAsia="zh-CN"/>
        </w:rPr>
        <w:t>斯诺克与华彩十六球</w:t>
      </w:r>
      <w:bookmarkEnd w:id="3"/>
      <w:bookmarkEnd w:id="4"/>
      <w:r>
        <w:rPr>
          <w:rFonts w:hint="eastAsia" w:ascii="宋体" w:hAnsi="宋体" w:eastAsia="宋体" w:cs="宋体"/>
          <w:color w:val="auto"/>
          <w:sz w:val="24"/>
          <w:lang w:eastAsia="zh-CN"/>
        </w:rPr>
        <w:t>两个项目</w:t>
      </w:r>
      <w:bookmarkEnd w:id="1"/>
      <w:bookmarkEnd w:id="2"/>
      <w:r>
        <w:rPr>
          <w:rFonts w:hint="eastAsia" w:ascii="宋体" w:hAnsi="宋体" w:eastAsia="宋体" w:cs="宋体"/>
          <w:color w:val="auto"/>
          <w:sz w:val="24"/>
          <w:lang w:eastAsia="zh-CN"/>
        </w:rPr>
        <w:t>，总计进行432场比赛。联赛首创“100+N”人才库模式，由100名国内顶尖球员以及WPBSA世界排名前128名或外籍高水平选手共同组成，保证了竞技水平与国际吸引力。赛事以“与我同台”（Cue Together）为口号，由“九球天后”潘晓婷担任形象大使，旨在通过超长赛期与主客场制推动台球俱乐部标准化运营与产业发展。</w:t>
      </w:r>
    </w:p>
    <w:p w14:paraId="24C70CA6">
      <w:pPr>
        <w:spacing w:line="360" w:lineRule="auto"/>
        <w:ind w:firstLine="482" w:firstLineChars="200"/>
        <w:rPr>
          <w:rFonts w:ascii="宋体" w:hAnsi="宋体" w:eastAsia="宋体" w:cs="宋体"/>
          <w:b/>
          <w:bCs/>
          <w:color w:val="auto"/>
          <w:sz w:val="24"/>
          <w:lang w:eastAsia="zh-CN"/>
        </w:rPr>
      </w:pPr>
      <w:r>
        <w:rPr>
          <w:rFonts w:hint="eastAsia" w:ascii="宋体" w:hAnsi="宋体" w:eastAsia="宋体" w:cs="宋体"/>
          <w:b/>
          <w:bCs/>
          <w:color w:val="auto"/>
          <w:sz w:val="24"/>
          <w:lang w:eastAsia="zh-CN"/>
        </w:rPr>
        <w:t>★（二）赛事基本信息</w:t>
      </w:r>
    </w:p>
    <w:p w14:paraId="30C3D0F8">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赛事名称：中国台球俱乐部职业联赛</w:t>
      </w:r>
    </w:p>
    <w:p w14:paraId="202AFF68">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赛事地点：</w:t>
      </w:r>
      <w:r>
        <w:rPr>
          <w:rFonts w:hint="eastAsia" w:ascii="宋体" w:hAnsi="宋体" w:eastAsia="宋体" w:cs="宋体"/>
          <w:sz w:val="24"/>
          <w:lang w:eastAsia="zh-CN"/>
        </w:rPr>
        <w:t>江西省上饶市信州区东市街道铁路公园邻里中心</w:t>
      </w:r>
    </w:p>
    <w:p w14:paraId="061BD454">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赛事时间：2026年</w:t>
      </w:r>
      <w:r>
        <w:rPr>
          <w:rFonts w:hint="eastAsia" w:ascii="宋体" w:hAnsi="宋体" w:eastAsia="宋体" w:cs="宋体"/>
          <w:color w:val="auto"/>
          <w:sz w:val="24"/>
          <w:lang w:val="en-US" w:eastAsia="zh-CN"/>
        </w:rPr>
        <w:t>6</w:t>
      </w:r>
      <w:r>
        <w:rPr>
          <w:rFonts w:hint="eastAsia" w:ascii="宋体" w:hAnsi="宋体" w:eastAsia="宋体" w:cs="宋体"/>
          <w:color w:val="auto"/>
          <w:sz w:val="24"/>
          <w:lang w:eastAsia="zh-CN"/>
        </w:rPr>
        <w:t>月-12月</w:t>
      </w:r>
    </w:p>
    <w:p w14:paraId="49346D31">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赛事级别：国家级赛事</w:t>
      </w:r>
    </w:p>
    <w:p w14:paraId="74E02DC1">
      <w:pPr>
        <w:spacing w:line="360" w:lineRule="auto"/>
        <w:ind w:firstLine="480" w:firstLineChars="200"/>
        <w:rPr>
          <w:rFonts w:ascii="宋体" w:hAnsi="宋体" w:eastAsia="宋体" w:cs="宋体"/>
          <w:color w:val="auto"/>
          <w:sz w:val="24"/>
        </w:rPr>
      </w:pPr>
      <w:r>
        <w:rPr>
          <w:rFonts w:hint="eastAsia" w:ascii="宋体" w:hAnsi="宋体" w:eastAsia="宋体" w:cs="宋体"/>
          <w:color w:val="auto"/>
          <w:sz w:val="24"/>
        </w:rPr>
        <w:t>赛事日程（暂定）：</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00"/>
        <w:gridCol w:w="4376"/>
      </w:tblGrid>
      <w:tr w14:paraId="2292D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3600" w:type="dxa"/>
            <w:vAlign w:val="center"/>
          </w:tcPr>
          <w:p w14:paraId="739F6AFF">
            <w:pPr>
              <w:spacing w:line="440" w:lineRule="exact"/>
              <w:ind w:firstLine="482" w:firstLineChars="200"/>
              <w:jc w:val="center"/>
              <w:rPr>
                <w:rFonts w:ascii="宋体" w:hAnsi="宋体" w:eastAsia="宋体" w:cs="宋体"/>
                <w:b/>
                <w:bCs/>
                <w:color w:val="auto"/>
                <w:sz w:val="24"/>
              </w:rPr>
            </w:pPr>
            <w:r>
              <w:rPr>
                <w:rFonts w:hint="eastAsia" w:ascii="宋体" w:hAnsi="宋体" w:eastAsia="宋体" w:cs="宋体"/>
                <w:b/>
                <w:bCs/>
                <w:color w:val="auto"/>
                <w:sz w:val="24"/>
              </w:rPr>
              <w:t>活动名称</w:t>
            </w:r>
          </w:p>
        </w:tc>
        <w:tc>
          <w:tcPr>
            <w:tcW w:w="4376" w:type="dxa"/>
            <w:vAlign w:val="center"/>
          </w:tcPr>
          <w:p w14:paraId="0E2077A3">
            <w:pPr>
              <w:spacing w:line="440" w:lineRule="exact"/>
              <w:ind w:firstLine="482" w:firstLineChars="200"/>
              <w:jc w:val="center"/>
              <w:rPr>
                <w:rFonts w:ascii="宋体" w:hAnsi="宋体" w:eastAsia="宋体" w:cs="宋体"/>
                <w:b/>
                <w:bCs/>
                <w:color w:val="auto"/>
                <w:sz w:val="24"/>
              </w:rPr>
            </w:pPr>
            <w:r>
              <w:rPr>
                <w:rFonts w:hint="eastAsia" w:ascii="宋体" w:hAnsi="宋体" w:eastAsia="宋体" w:cs="宋体"/>
                <w:b/>
                <w:bCs/>
                <w:color w:val="auto"/>
                <w:sz w:val="24"/>
              </w:rPr>
              <w:t>活动日期</w:t>
            </w:r>
          </w:p>
        </w:tc>
      </w:tr>
      <w:tr w14:paraId="0BF51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jc w:val="center"/>
        </w:trPr>
        <w:tc>
          <w:tcPr>
            <w:tcW w:w="3600" w:type="dxa"/>
            <w:vAlign w:val="center"/>
          </w:tcPr>
          <w:p w14:paraId="68E45D9D">
            <w:pPr>
              <w:spacing w:line="440" w:lineRule="exact"/>
              <w:ind w:firstLine="480" w:firstLineChars="200"/>
              <w:jc w:val="center"/>
              <w:rPr>
                <w:rFonts w:ascii="宋体" w:hAnsi="宋体" w:eastAsia="宋体" w:cs="宋体"/>
                <w:color w:val="auto"/>
                <w:sz w:val="24"/>
              </w:rPr>
            </w:pPr>
            <w:r>
              <w:rPr>
                <w:rFonts w:hint="eastAsia" w:ascii="宋体" w:hAnsi="宋体" w:eastAsia="宋体" w:cs="宋体"/>
                <w:color w:val="auto"/>
                <w:sz w:val="24"/>
              </w:rPr>
              <w:t>开幕式</w:t>
            </w:r>
          </w:p>
        </w:tc>
        <w:tc>
          <w:tcPr>
            <w:tcW w:w="4376" w:type="dxa"/>
            <w:vAlign w:val="center"/>
          </w:tcPr>
          <w:p w14:paraId="1DEBEAE7">
            <w:pPr>
              <w:spacing w:line="440" w:lineRule="exact"/>
              <w:ind w:firstLine="480" w:firstLineChars="200"/>
              <w:jc w:val="center"/>
              <w:rPr>
                <w:rFonts w:ascii="宋体" w:hAnsi="宋体" w:eastAsia="宋体" w:cs="宋体"/>
                <w:color w:val="auto"/>
                <w:sz w:val="24"/>
              </w:rPr>
            </w:pPr>
            <w:r>
              <w:rPr>
                <w:rFonts w:hint="eastAsia" w:ascii="宋体" w:hAnsi="宋体" w:eastAsia="宋体" w:cs="宋体"/>
                <w:color w:val="auto"/>
                <w:sz w:val="24"/>
              </w:rPr>
              <w:t>202</w:t>
            </w:r>
            <w:r>
              <w:rPr>
                <w:rFonts w:hint="eastAsia" w:ascii="宋体" w:hAnsi="宋体" w:eastAsia="宋体" w:cs="宋体"/>
                <w:color w:val="auto"/>
                <w:sz w:val="24"/>
                <w:lang w:eastAsia="zh-CN"/>
              </w:rPr>
              <w:t>6</w:t>
            </w:r>
            <w:r>
              <w:rPr>
                <w:rFonts w:hint="eastAsia" w:ascii="宋体" w:hAnsi="宋体" w:eastAsia="宋体" w:cs="宋体"/>
                <w:color w:val="auto"/>
                <w:sz w:val="24"/>
              </w:rPr>
              <w:t>年</w:t>
            </w:r>
            <w:r>
              <w:rPr>
                <w:rFonts w:hint="eastAsia" w:ascii="宋体" w:hAnsi="宋体" w:eastAsia="宋体" w:cs="宋体"/>
                <w:color w:val="auto"/>
                <w:sz w:val="24"/>
                <w:lang w:eastAsia="zh-CN"/>
              </w:rPr>
              <w:t>6</w:t>
            </w:r>
            <w:r>
              <w:rPr>
                <w:rFonts w:hint="eastAsia" w:ascii="宋体" w:hAnsi="宋体" w:eastAsia="宋体" w:cs="宋体"/>
                <w:color w:val="auto"/>
                <w:sz w:val="24"/>
              </w:rPr>
              <w:t>月</w:t>
            </w:r>
          </w:p>
        </w:tc>
      </w:tr>
      <w:tr w14:paraId="301D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0" w:type="dxa"/>
            <w:vAlign w:val="center"/>
          </w:tcPr>
          <w:p w14:paraId="74B65268">
            <w:pPr>
              <w:spacing w:line="440" w:lineRule="exact"/>
              <w:ind w:firstLine="480" w:firstLineChars="200"/>
              <w:jc w:val="center"/>
              <w:rPr>
                <w:rFonts w:ascii="宋体" w:hAnsi="宋体" w:eastAsia="宋体" w:cs="宋体"/>
                <w:color w:val="auto"/>
                <w:sz w:val="24"/>
              </w:rPr>
            </w:pPr>
            <w:r>
              <w:rPr>
                <w:rFonts w:hint="eastAsia" w:ascii="宋体" w:hAnsi="宋体" w:eastAsia="宋体" w:cs="宋体"/>
                <w:color w:val="auto"/>
                <w:sz w:val="24"/>
              </w:rPr>
              <w:t>开杆仪式</w:t>
            </w:r>
          </w:p>
        </w:tc>
        <w:tc>
          <w:tcPr>
            <w:tcW w:w="4376" w:type="dxa"/>
            <w:vAlign w:val="center"/>
          </w:tcPr>
          <w:p w14:paraId="7987009B">
            <w:pPr>
              <w:spacing w:line="440" w:lineRule="exact"/>
              <w:ind w:firstLine="480" w:firstLineChars="200"/>
              <w:jc w:val="center"/>
              <w:rPr>
                <w:rFonts w:ascii="宋体" w:hAnsi="宋体" w:eastAsia="宋体" w:cs="宋体"/>
                <w:color w:val="auto"/>
                <w:sz w:val="24"/>
              </w:rPr>
            </w:pPr>
            <w:r>
              <w:rPr>
                <w:rFonts w:hint="eastAsia" w:ascii="宋体" w:hAnsi="宋体" w:eastAsia="宋体" w:cs="宋体"/>
                <w:color w:val="auto"/>
                <w:sz w:val="24"/>
              </w:rPr>
              <w:t>202</w:t>
            </w:r>
            <w:r>
              <w:rPr>
                <w:rFonts w:hint="eastAsia" w:ascii="宋体" w:hAnsi="宋体" w:eastAsia="宋体" w:cs="宋体"/>
                <w:color w:val="auto"/>
                <w:sz w:val="24"/>
                <w:lang w:eastAsia="zh-CN"/>
              </w:rPr>
              <w:t>6</w:t>
            </w:r>
            <w:r>
              <w:rPr>
                <w:rFonts w:hint="eastAsia" w:ascii="宋体" w:hAnsi="宋体" w:eastAsia="宋体" w:cs="宋体"/>
                <w:color w:val="auto"/>
                <w:sz w:val="24"/>
              </w:rPr>
              <w:t>年</w:t>
            </w:r>
            <w:r>
              <w:rPr>
                <w:rFonts w:hint="eastAsia" w:ascii="宋体" w:hAnsi="宋体" w:eastAsia="宋体" w:cs="宋体"/>
                <w:color w:val="auto"/>
                <w:sz w:val="24"/>
                <w:lang w:eastAsia="zh-CN"/>
              </w:rPr>
              <w:t>6</w:t>
            </w:r>
            <w:r>
              <w:rPr>
                <w:rFonts w:hint="eastAsia" w:ascii="宋体" w:hAnsi="宋体" w:eastAsia="宋体" w:cs="宋体"/>
                <w:color w:val="auto"/>
                <w:sz w:val="24"/>
              </w:rPr>
              <w:t>月</w:t>
            </w:r>
          </w:p>
        </w:tc>
      </w:tr>
      <w:tr w14:paraId="042D1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600" w:type="dxa"/>
            <w:vAlign w:val="center"/>
          </w:tcPr>
          <w:p w14:paraId="2F424D30">
            <w:pPr>
              <w:spacing w:line="440" w:lineRule="exact"/>
              <w:ind w:firstLine="480" w:firstLineChars="200"/>
              <w:jc w:val="center"/>
              <w:rPr>
                <w:rFonts w:ascii="宋体" w:hAnsi="宋体" w:eastAsia="宋体" w:cs="宋体"/>
                <w:color w:val="auto"/>
                <w:sz w:val="24"/>
              </w:rPr>
            </w:pPr>
            <w:r>
              <w:rPr>
                <w:rFonts w:hint="eastAsia" w:ascii="宋体" w:hAnsi="宋体" w:eastAsia="宋体" w:cs="宋体"/>
                <w:color w:val="auto"/>
                <w:sz w:val="24"/>
              </w:rPr>
              <w:t>比赛</w:t>
            </w:r>
          </w:p>
        </w:tc>
        <w:tc>
          <w:tcPr>
            <w:tcW w:w="4376" w:type="dxa"/>
            <w:vAlign w:val="center"/>
          </w:tcPr>
          <w:p w14:paraId="45F9CFF3">
            <w:pPr>
              <w:spacing w:line="440" w:lineRule="exact"/>
              <w:ind w:firstLine="480" w:firstLineChars="200"/>
              <w:jc w:val="center"/>
              <w:rPr>
                <w:rFonts w:hint="default" w:ascii="宋体" w:hAnsi="宋体" w:eastAsia="宋体" w:cs="宋体"/>
                <w:color w:val="auto"/>
                <w:sz w:val="24"/>
                <w:lang w:val="en-US"/>
              </w:rPr>
            </w:pPr>
            <w:r>
              <w:rPr>
                <w:rFonts w:hint="eastAsia" w:ascii="宋体" w:hAnsi="宋体" w:eastAsia="宋体" w:cs="宋体"/>
                <w:color w:val="auto"/>
                <w:sz w:val="24"/>
              </w:rPr>
              <w:t>202</w:t>
            </w:r>
            <w:r>
              <w:rPr>
                <w:rFonts w:hint="eastAsia" w:ascii="宋体" w:hAnsi="宋体" w:eastAsia="宋体" w:cs="宋体"/>
                <w:color w:val="auto"/>
                <w:sz w:val="24"/>
                <w:lang w:eastAsia="zh-CN"/>
              </w:rPr>
              <w:t>6</w:t>
            </w:r>
            <w:r>
              <w:rPr>
                <w:rFonts w:hint="eastAsia" w:ascii="宋体" w:hAnsi="宋体" w:eastAsia="宋体" w:cs="宋体"/>
                <w:color w:val="auto"/>
                <w:sz w:val="24"/>
              </w:rPr>
              <w:t>年</w:t>
            </w:r>
            <w:r>
              <w:rPr>
                <w:rFonts w:hint="eastAsia" w:ascii="宋体" w:hAnsi="宋体" w:eastAsia="宋体" w:cs="宋体"/>
                <w:color w:val="auto"/>
                <w:sz w:val="24"/>
                <w:lang w:val="en-US" w:eastAsia="zh-CN"/>
              </w:rPr>
              <w:t>6</w:t>
            </w:r>
            <w:r>
              <w:rPr>
                <w:rFonts w:hint="eastAsia" w:ascii="宋体" w:hAnsi="宋体" w:eastAsia="宋体" w:cs="宋体"/>
                <w:color w:val="auto"/>
                <w:sz w:val="24"/>
              </w:rPr>
              <w:t>月-1</w:t>
            </w:r>
            <w:r>
              <w:rPr>
                <w:rFonts w:hint="eastAsia" w:ascii="宋体" w:hAnsi="宋体" w:eastAsia="宋体" w:cs="宋体"/>
                <w:color w:val="auto"/>
                <w:sz w:val="24"/>
                <w:lang w:eastAsia="zh-CN"/>
              </w:rPr>
              <w:t>2</w:t>
            </w:r>
            <w:r>
              <w:rPr>
                <w:rFonts w:hint="eastAsia" w:ascii="宋体" w:hAnsi="宋体" w:eastAsia="宋体" w:cs="宋体"/>
                <w:color w:val="auto"/>
                <w:sz w:val="24"/>
                <w:lang w:val="en-US" w:eastAsia="zh-CN"/>
              </w:rPr>
              <w:t>月</w:t>
            </w:r>
          </w:p>
        </w:tc>
      </w:tr>
    </w:tbl>
    <w:p w14:paraId="35FD9A66">
      <w:pPr>
        <w:spacing w:beforeLines="50" w:line="360" w:lineRule="auto"/>
        <w:ind w:firstLine="482" w:firstLineChars="200"/>
        <w:rPr>
          <w:rFonts w:ascii="宋体" w:hAnsi="宋体" w:eastAsia="宋体" w:cs="宋体"/>
          <w:b/>
          <w:bCs/>
          <w:color w:val="auto"/>
          <w:sz w:val="24"/>
        </w:rPr>
      </w:pPr>
      <w:r>
        <w:rPr>
          <w:rFonts w:hint="eastAsia" w:ascii="宋体" w:hAnsi="宋体" w:eastAsia="宋体" w:cs="宋体"/>
          <w:b/>
          <w:bCs/>
          <w:color w:val="auto"/>
          <w:sz w:val="24"/>
        </w:rPr>
        <w:t>（三）服务内容及要求</w:t>
      </w:r>
    </w:p>
    <w:p w14:paraId="2E7B7A4A">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组织好赛事比赛，保障赛事各项组织工作安全、有序进行。做好赛后媒体报道和宣传工作；完成赛事总结报告、赛后财务结算、物资物料入库清点、资料信息整理归档工作及其它收尾工作。</w:t>
      </w:r>
    </w:p>
    <w:p w14:paraId="557F66E8">
      <w:pPr>
        <w:spacing w:line="360" w:lineRule="auto"/>
        <w:ind w:firstLine="482" w:firstLineChars="200"/>
        <w:rPr>
          <w:rFonts w:ascii="宋体" w:hAnsi="宋体" w:eastAsia="宋体" w:cs="宋体"/>
          <w:b/>
          <w:bCs/>
          <w:color w:val="auto"/>
          <w:sz w:val="24"/>
          <w:lang w:eastAsia="zh-CN"/>
        </w:rPr>
      </w:pPr>
      <w:r>
        <w:rPr>
          <w:rFonts w:hint="eastAsia" w:ascii="宋体" w:hAnsi="宋体" w:eastAsia="宋体" w:cs="宋体"/>
          <w:b/>
          <w:bCs/>
          <w:color w:val="auto"/>
          <w:sz w:val="24"/>
          <w:lang w:eastAsia="zh-CN"/>
        </w:rPr>
        <w:t>1、竞赛组织和球员服务：</w:t>
      </w:r>
    </w:p>
    <w:p w14:paraId="62BAAD19">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竞赛组织是赛事各项工作开展的核心，中国台球俱乐部职业联赛将主要以中国台球协会公布的赛事组织、媒体宣传等规则进行赛事的筹备和执行。</w:t>
      </w:r>
    </w:p>
    <w:p w14:paraId="5B2222FC">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（1）竞赛规程：以中国台球协会公布的赛事规程执行。</w:t>
      </w:r>
    </w:p>
    <w:p w14:paraId="5AD0A3C1">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（2）竞赛志愿者：采购人负责对志愿者指派的方式进行招募和编制，赛前对志愿者进行培训和管理；</w:t>
      </w:r>
    </w:p>
    <w:p w14:paraId="71C0D286">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（3）现场功能房分布及流线要求：</w:t>
      </w:r>
    </w:p>
    <w:p w14:paraId="28ADD9D3">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功能房布局：优化功能房的设置，针对功能房的使用情况适当的优化场地利用。</w:t>
      </w:r>
    </w:p>
    <w:p w14:paraId="05922772">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流线：根据规划确定裁判员、运动员和嘉宾的运行流线，保障裁判员、运动员与嘉宾的流线不冲突不互通。与公安局、场地保障部及相关部门共同研究各流线的可行性，确保比赛顺利进行。</w:t>
      </w:r>
    </w:p>
    <w:p w14:paraId="6A624556">
      <w:pPr>
        <w:spacing w:line="360" w:lineRule="auto"/>
        <w:ind w:firstLine="482" w:firstLineChars="200"/>
        <w:rPr>
          <w:rFonts w:ascii="宋体" w:hAnsi="宋体" w:eastAsia="宋体" w:cs="宋体"/>
          <w:b/>
          <w:bCs/>
          <w:color w:val="auto"/>
          <w:sz w:val="24"/>
          <w:lang w:eastAsia="zh-CN"/>
        </w:rPr>
      </w:pPr>
      <w:r>
        <w:rPr>
          <w:rFonts w:hint="eastAsia" w:ascii="宋体" w:hAnsi="宋体" w:eastAsia="宋体" w:cs="宋体"/>
          <w:b/>
          <w:bCs/>
          <w:color w:val="auto"/>
          <w:sz w:val="24"/>
          <w:lang w:eastAsia="zh-CN"/>
        </w:rPr>
        <w:t>2、商务开发和招待服务</w:t>
      </w:r>
    </w:p>
    <w:p w14:paraId="03999409">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（1）商务开发</w:t>
      </w:r>
    </w:p>
    <w:p w14:paraId="7880F46C">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中国台球俱乐部职业联赛的赞助合作，将分别设为冠名赞助商、主赞助商、供应商及合作伙伴。所有商业权利和收益归中标单位所有。</w:t>
      </w:r>
    </w:p>
    <w:p w14:paraId="3954D951">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主要的赞助商权益有：</w:t>
      </w:r>
    </w:p>
    <w:p w14:paraId="5C4DD58E">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媒体回报——赞助商将获得全方位的媒体推广，包括国内电视转播、报纸宣传、网络营销及新媒体推广；</w:t>
      </w:r>
    </w:p>
    <w:p w14:paraId="4BC3B125">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称谓及排他——相应的赞助商名称，享有行业排他性</w:t>
      </w:r>
    </w:p>
    <w:p w14:paraId="6BAEBCA4">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官方活动——赞助商有权参加官方活动，如新闻发布会及现场球员互动以及场外品牌活动等；并且根据不同的级别获得不同的待遇和权力；</w:t>
      </w:r>
    </w:p>
    <w:p w14:paraId="6DD4F464">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印刷品——赞助商可根据赞助级别和权限，在赛事印刷品上获得品牌曝光的机会，如海报,证件及秩序册；</w:t>
      </w:r>
    </w:p>
    <w:p w14:paraId="74B63EAB">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贵宾接待——赞助商的级别和权限，各级赞助商将获得相应的赠票及贵宾服务</w:t>
      </w:r>
    </w:p>
    <w:p w14:paraId="63BA8D81">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（2）招待服务：</w:t>
      </w:r>
    </w:p>
    <w:p w14:paraId="336160A6">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人员接送：根据官员和球员的数量，由中标单位安排足够的车辆负责接送工作。</w:t>
      </w:r>
    </w:p>
    <w:p w14:paraId="5C86AF4B">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车辆服务工作：统筹规划赛事用车需求及运作计划；制定车辆服务相关的工作方案和车辆服务标准及要求，对车辆类型、数量、使用区域、运行时间等进行分析；确定赛事车辆服务供应商；制定车辆使用应急预案，在个别部门用车需求发生临时变化等紧急情况下，能灵活予以解决处理。</w:t>
      </w:r>
    </w:p>
    <w:p w14:paraId="037FFFBC">
      <w:pPr>
        <w:spacing w:line="360" w:lineRule="auto"/>
        <w:ind w:firstLine="482" w:firstLineChars="200"/>
        <w:rPr>
          <w:rFonts w:ascii="宋体" w:hAnsi="宋体" w:eastAsia="宋体" w:cs="宋体"/>
          <w:b/>
          <w:bCs/>
          <w:color w:val="auto"/>
          <w:sz w:val="24"/>
          <w:lang w:eastAsia="zh-CN"/>
        </w:rPr>
      </w:pPr>
      <w:r>
        <w:rPr>
          <w:rFonts w:hint="eastAsia" w:ascii="宋体" w:hAnsi="宋体" w:eastAsia="宋体" w:cs="宋体"/>
          <w:b/>
          <w:bCs/>
          <w:color w:val="auto"/>
          <w:sz w:val="24"/>
          <w:lang w:eastAsia="zh-CN"/>
        </w:rPr>
        <w:t>3、市场推广和品牌宣传</w:t>
      </w:r>
    </w:p>
    <w:p w14:paraId="1AF3ED72">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（1）视频转播：由中标单位制作赛事转播信号，并通过网络进行转播。</w:t>
      </w:r>
    </w:p>
    <w:p w14:paraId="09DD867E">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（2）赛前广告：赛前广告推广包括平面、户外、电视/广播、新媒体等各推广平台，其中：</w:t>
      </w:r>
    </w:p>
    <w:p w14:paraId="7BEB9BE2">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平面媒体：选择1-2家本地媒体、1家全国性媒体进行以内容为主的合作；</w:t>
      </w:r>
    </w:p>
    <w:p w14:paraId="192C9D78">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电视/广播：选择1-2家本地媒体进行内容合作；</w:t>
      </w:r>
    </w:p>
    <w:p w14:paraId="08429811">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新媒体：选择一家门户网站、一家视频网站进行内容合作；</w:t>
      </w:r>
    </w:p>
    <w:p w14:paraId="5C07B93D">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户外媒体：主要以资源互换为合作模式，包含广告牌和巴士车体广告等。</w:t>
      </w:r>
    </w:p>
    <w:p w14:paraId="33F24157">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（3）公益广告：能获得政府公益广告支持，提高赛事推广力度，增加赛前宣传氛围。</w:t>
      </w:r>
    </w:p>
    <w:p w14:paraId="0E5D10E7">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（4）现场服务及新闻中心运营；</w:t>
      </w:r>
    </w:p>
    <w:p w14:paraId="78B28866">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（5）宣传物料制作：宣传物料：包含海报、宣传单页、秩序册等。</w:t>
      </w:r>
    </w:p>
    <w:p w14:paraId="561B2C21">
      <w:pPr>
        <w:spacing w:line="360" w:lineRule="auto"/>
        <w:ind w:firstLine="482" w:firstLineChars="200"/>
        <w:rPr>
          <w:rFonts w:ascii="宋体" w:hAnsi="宋体" w:eastAsia="宋体" w:cs="宋体"/>
          <w:b/>
          <w:bCs/>
          <w:color w:val="auto"/>
          <w:sz w:val="24"/>
          <w:lang w:eastAsia="zh-CN"/>
        </w:rPr>
      </w:pPr>
      <w:r>
        <w:rPr>
          <w:rFonts w:hint="eastAsia" w:ascii="宋体" w:hAnsi="宋体" w:eastAsia="宋体" w:cs="宋体"/>
          <w:b/>
          <w:bCs/>
          <w:color w:val="auto"/>
          <w:sz w:val="24"/>
          <w:lang w:eastAsia="zh-CN"/>
        </w:rPr>
        <w:t>4、场馆物资和后勤保障</w:t>
      </w:r>
    </w:p>
    <w:p w14:paraId="4C3F5715">
      <w:pPr>
        <w:spacing w:line="360" w:lineRule="auto"/>
        <w:ind w:firstLine="482" w:firstLineChars="200"/>
        <w:rPr>
          <w:rFonts w:ascii="宋体" w:hAnsi="宋体" w:eastAsia="宋体" w:cs="宋体"/>
          <w:b/>
          <w:bCs/>
          <w:color w:val="auto"/>
          <w:sz w:val="24"/>
          <w:lang w:eastAsia="zh-CN"/>
        </w:rPr>
      </w:pPr>
      <w:r>
        <w:rPr>
          <w:rFonts w:hint="eastAsia" w:ascii="宋体" w:hAnsi="宋体" w:eastAsia="宋体" w:cs="宋体"/>
          <w:b/>
          <w:bCs/>
          <w:color w:val="auto"/>
          <w:sz w:val="24"/>
          <w:lang w:eastAsia="zh-CN"/>
        </w:rPr>
        <w:t>（1）场地保障工作</w:t>
      </w:r>
    </w:p>
    <w:p w14:paraId="3A2AAEFD">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为举办比赛提供必要的硬件设施，包括满足竞赛、安保、医疗、新闻媒体、贵宾服务等要求的场地以及相关建筑、场所和区域，确保赛事顺利进行。包括：</w:t>
      </w:r>
    </w:p>
    <w:p w14:paraId="78DB879C">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①赛事物资准备</w:t>
      </w:r>
    </w:p>
    <w:p w14:paraId="2BDCFF50">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根据各业务口的实际需求，对比物资清单，查缺补漏，及时更新和补充，确保赛事物资的正常使用，保证赛事顺利进行</w:t>
      </w:r>
    </w:p>
    <w:p w14:paraId="1ACF800B">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②临时设施搭建</w:t>
      </w:r>
    </w:p>
    <w:p w14:paraId="2A09BC10">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由中标单位对临时搭建的设施提供便利和技术支持，做好组织临时设施的搭建、监管、验收一系列相关工作，保证赛事顺利正常进行；编制应急预案，组织赛事期间临时设施的运行和保障工作。实施单位保障临时设施在赛事期间的正常运行。</w:t>
      </w:r>
    </w:p>
    <w:p w14:paraId="48A467C4">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③赛事供电供水</w:t>
      </w:r>
    </w:p>
    <w:p w14:paraId="532FF83C">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赛事的供电、供水保障工作是由组委会组织和协调供电、供水单位，对比赛场地、人员驻地、办公场所及电视转播和公共区域展台提供保障，保障赛事期间的用电、用水安全及供电、供水的充足稳定，以保证赛事的顺利进行。</w:t>
      </w:r>
    </w:p>
    <w:p w14:paraId="2DB42B2C">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④通讯网络保障</w:t>
      </w:r>
    </w:p>
    <w:p w14:paraId="1DC5B8E0">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赛事的通信保障工作是指采购人协调固定电信、移动电信、以及网络服务商，为赛事比赛场馆、驻地及周边地区提供通讯和网络服务，保持赛事相关人员内外部沟通的渠道顺畅，保证赛事的顺利举行。</w:t>
      </w:r>
    </w:p>
    <w:p w14:paraId="3E0C853C">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（2）安保：</w:t>
      </w:r>
    </w:p>
    <w:p w14:paraId="0D70BDFD">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采购人为赛事提供妥善的安保服务，针对安全保卫、交通组织、人流控制、赛道全封闭隔离等具体措施进行相关安排。</w:t>
      </w:r>
    </w:p>
    <w:p w14:paraId="7BA49759">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（3）医疗</w:t>
      </w:r>
    </w:p>
    <w:p w14:paraId="5A9A15D7">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采购人制定医疗保障工作方案和医疗保障应急方案，组织赛事医务人员的培训，完成医疗服务志愿人员的招募并组织医疗志愿者进行专项培训工作；由</w:t>
      </w:r>
      <w:r>
        <w:rPr>
          <w:rFonts w:hint="eastAsia" w:ascii="宋体" w:hAnsi="宋体" w:eastAsia="宋体" w:cs="宋体"/>
          <w:color w:val="auto"/>
          <w:sz w:val="24"/>
          <w:lang w:val="en-US" w:eastAsia="zh-CN"/>
        </w:rPr>
        <w:t>采购人</w:t>
      </w:r>
      <w:r>
        <w:rPr>
          <w:rFonts w:hint="eastAsia" w:ascii="宋体" w:hAnsi="宋体" w:eastAsia="宋体" w:cs="宋体"/>
          <w:color w:val="auto"/>
          <w:sz w:val="24"/>
          <w:lang w:eastAsia="zh-CN"/>
        </w:rPr>
        <w:t>负责协调安排定点医院、医疗站、医务人员、救治车辆、救治药品和医疗耗材，落实相关医疗救助后勤保障工作任务，为中国台球俱乐部职业联赛提供安全、有效、便捷的医疗服务和急救转运服务。</w:t>
      </w:r>
    </w:p>
    <w:p w14:paraId="6CEAFBD7">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（4）餐饮服务工作</w:t>
      </w:r>
    </w:p>
    <w:p w14:paraId="6CFCDF2A">
      <w:pPr>
        <w:spacing w:line="360" w:lineRule="auto"/>
        <w:ind w:firstLine="480" w:firstLineChars="200"/>
        <w:rPr>
          <w:rFonts w:ascii="宋体" w:hAnsi="宋体" w:eastAsia="宋体" w:cs="宋体"/>
          <w:color w:val="auto"/>
          <w:sz w:val="24"/>
          <w:lang w:eastAsia="zh-CN"/>
        </w:rPr>
      </w:pPr>
      <w:r>
        <w:rPr>
          <w:rFonts w:hint="eastAsia" w:ascii="宋体" w:hAnsi="宋体" w:eastAsia="宋体" w:cs="宋体"/>
          <w:color w:val="auto"/>
          <w:sz w:val="24"/>
          <w:lang w:eastAsia="zh-CN"/>
        </w:rPr>
        <w:t>确定服务对象及就餐数量的需求。中标单位为运动员、技术官员、媒体、贵宾、工作人员、志愿者等提供安全、高质量的食品和饮料，以及高水平的餐饮服务。选择安全可靠的餐饮供应商。</w:t>
      </w:r>
    </w:p>
    <w:p w14:paraId="33B60962">
      <w:pPr>
        <w:spacing w:line="360" w:lineRule="auto"/>
        <w:ind w:firstLine="482" w:firstLineChars="200"/>
        <w:rPr>
          <w:rFonts w:ascii="宋体" w:hAnsi="宋体" w:eastAsia="宋体" w:cs="宋体"/>
          <w:sz w:val="24"/>
        </w:rPr>
      </w:pPr>
      <w:r>
        <w:rPr>
          <w:rFonts w:hint="eastAsia" w:ascii="宋体" w:hAnsi="宋体" w:eastAsia="宋体" w:cs="宋体"/>
          <w:b/>
          <w:bCs/>
          <w:color w:val="auto"/>
          <w:sz w:val="24"/>
          <w:lang w:eastAsia="zh-CN"/>
        </w:rPr>
        <w:t>5、投标供应商拟投入设备及服务清单</w:t>
      </w:r>
      <w:r>
        <w:rPr>
          <w:rFonts w:hint="eastAsia" w:ascii="宋体" w:hAnsi="宋体" w:eastAsia="宋体" w:cs="宋体"/>
          <w:color w:val="auto"/>
          <w:sz w:val="24"/>
          <w:lang w:eastAsia="zh-CN"/>
        </w:rPr>
        <w:t>（以下清单为暂定清单，中标供应商投入的设备及服务须满足本次赛事要求，从中产生</w:t>
      </w:r>
      <w:r>
        <w:rPr>
          <w:rFonts w:hint="eastAsia" w:ascii="宋体" w:hAnsi="宋体" w:eastAsia="宋体" w:cs="宋体"/>
          <w:sz w:val="24"/>
          <w:lang w:eastAsia="zh-CN"/>
        </w:rPr>
        <w:t>的费用均有中标供应商承担。</w:t>
      </w:r>
      <w:r>
        <w:rPr>
          <w:rFonts w:hint="eastAsia" w:ascii="宋体" w:hAnsi="宋体" w:eastAsia="宋体" w:cs="宋体"/>
          <w:sz w:val="24"/>
        </w:rPr>
        <w:t>）</w:t>
      </w:r>
    </w:p>
    <w:tbl>
      <w:tblPr>
        <w:tblStyle w:val="6"/>
        <w:tblW w:w="97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7"/>
        <w:gridCol w:w="2336"/>
        <w:gridCol w:w="6227"/>
      </w:tblGrid>
      <w:tr w14:paraId="01DE3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Align w:val="center"/>
          </w:tcPr>
          <w:p w14:paraId="7847A194">
            <w:pPr>
              <w:jc w:val="center"/>
              <w:rPr>
                <w:rFonts w:ascii="宋体" w:hAnsi="宋体" w:eastAsia="宋体" w:cs="宋体"/>
                <w:b/>
                <w:bCs/>
                <w:sz w:val="24"/>
              </w:rPr>
            </w:pPr>
            <w:r>
              <w:rPr>
                <w:rFonts w:hint="eastAsia" w:ascii="宋体" w:hAnsi="宋体" w:eastAsia="宋体" w:cs="宋体"/>
                <w:b/>
                <w:bCs/>
                <w:sz w:val="24"/>
              </w:rPr>
              <w:t>项目</w:t>
            </w:r>
          </w:p>
        </w:tc>
        <w:tc>
          <w:tcPr>
            <w:tcW w:w="2336" w:type="dxa"/>
            <w:vAlign w:val="center"/>
          </w:tcPr>
          <w:p w14:paraId="501B25DF">
            <w:pPr>
              <w:jc w:val="center"/>
              <w:rPr>
                <w:rFonts w:ascii="宋体" w:hAnsi="宋体" w:eastAsia="宋体" w:cs="宋体"/>
                <w:b/>
                <w:bCs/>
                <w:sz w:val="24"/>
                <w:lang w:eastAsia="zh-CN"/>
              </w:rPr>
            </w:pPr>
            <w:r>
              <w:rPr>
                <w:rFonts w:hint="eastAsia" w:ascii="宋体" w:hAnsi="宋体" w:eastAsia="宋体" w:cs="宋体"/>
                <w:b/>
                <w:bCs/>
                <w:sz w:val="24"/>
                <w:lang w:eastAsia="zh-CN"/>
              </w:rPr>
              <w:t>内容</w:t>
            </w:r>
          </w:p>
        </w:tc>
        <w:tc>
          <w:tcPr>
            <w:tcW w:w="6227" w:type="dxa"/>
            <w:vAlign w:val="center"/>
          </w:tcPr>
          <w:p w14:paraId="55575654">
            <w:pPr>
              <w:jc w:val="center"/>
              <w:rPr>
                <w:rFonts w:ascii="宋体" w:hAnsi="宋体" w:eastAsia="宋体" w:cs="宋体"/>
                <w:b/>
                <w:bCs/>
                <w:sz w:val="24"/>
                <w:lang w:eastAsia="zh-CN"/>
              </w:rPr>
            </w:pPr>
            <w:r>
              <w:rPr>
                <w:rFonts w:hint="eastAsia" w:ascii="宋体" w:hAnsi="宋体" w:eastAsia="宋体" w:cs="宋体"/>
                <w:b/>
                <w:bCs/>
                <w:sz w:val="24"/>
                <w:lang w:eastAsia="zh-CN"/>
              </w:rPr>
              <w:t>说明</w:t>
            </w:r>
          </w:p>
        </w:tc>
      </w:tr>
      <w:tr w14:paraId="5A2A5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9" w:hRule="atLeast"/>
          <w:jc w:val="center"/>
        </w:trPr>
        <w:tc>
          <w:tcPr>
            <w:tcW w:w="1187" w:type="dxa"/>
            <w:vAlign w:val="center"/>
          </w:tcPr>
          <w:p w14:paraId="6997BAC9">
            <w:pPr>
              <w:spacing w:line="360" w:lineRule="auto"/>
              <w:jc w:val="center"/>
              <w:rPr>
                <w:rFonts w:ascii="宋体" w:hAnsi="宋体" w:eastAsia="宋体" w:cs="宋体"/>
                <w:sz w:val="24"/>
                <w:lang w:eastAsia="zh-CN"/>
              </w:rPr>
            </w:pPr>
            <w:r>
              <w:rPr>
                <w:rFonts w:hint="eastAsia" w:ascii="宋体" w:hAnsi="宋体" w:eastAsia="宋体" w:cs="宋体"/>
                <w:sz w:val="24"/>
                <w:lang w:eastAsia="zh-CN"/>
              </w:rPr>
              <w:t>比赛器材</w:t>
            </w:r>
          </w:p>
        </w:tc>
        <w:tc>
          <w:tcPr>
            <w:tcW w:w="2336" w:type="dxa"/>
            <w:vAlign w:val="center"/>
          </w:tcPr>
          <w:p w14:paraId="78AA3CB8">
            <w:pPr>
              <w:pStyle w:val="2"/>
              <w:ind w:left="0" w:leftChars="0" w:firstLine="480" w:firstLineChars="200"/>
              <w:rPr>
                <w:lang w:eastAsia="zh-CN"/>
              </w:rPr>
            </w:pPr>
            <w:r>
              <w:rPr>
                <w:rFonts w:hint="eastAsia" w:ascii="宋体" w:hAnsi="宋体" w:eastAsia="宋体" w:cs="宋体"/>
                <w:color w:val="auto"/>
                <w:sz w:val="24"/>
                <w:lang w:eastAsia="zh-CN"/>
              </w:rPr>
              <w:t>台球桌</w:t>
            </w:r>
          </w:p>
        </w:tc>
        <w:tc>
          <w:tcPr>
            <w:tcW w:w="6227" w:type="dxa"/>
            <w:vAlign w:val="center"/>
          </w:tcPr>
          <w:p w14:paraId="34106D5A">
            <w:pPr>
              <w:spacing w:line="360" w:lineRule="auto"/>
              <w:jc w:val="both"/>
              <w:rPr>
                <w:rFonts w:ascii="宋体" w:hAnsi="宋体" w:eastAsia="宋体" w:cs="宋体"/>
                <w:sz w:val="24"/>
                <w:lang w:eastAsia="zh-CN"/>
              </w:rPr>
            </w:pPr>
            <w:r>
              <w:rPr>
                <w:rFonts w:hint="eastAsia" w:ascii="宋体" w:hAnsi="宋体" w:eastAsia="宋体" w:cs="宋体"/>
                <w:color w:val="auto"/>
                <w:sz w:val="24"/>
                <w:lang w:eastAsia="zh-CN"/>
              </w:rPr>
              <w:t>赛事涵盖斯诺克与华彩十六球两个项目，</w:t>
            </w:r>
            <w:r>
              <w:rPr>
                <w:rFonts w:hint="eastAsia" w:ascii="宋体" w:hAnsi="宋体" w:eastAsia="宋体" w:cs="宋体"/>
                <w:color w:val="auto"/>
                <w:sz w:val="24"/>
                <w:lang w:val="en-US" w:eastAsia="zh-CN"/>
              </w:rPr>
              <w:t>根据赛事要求提供</w:t>
            </w:r>
            <w:r>
              <w:rPr>
                <w:rFonts w:hint="eastAsia" w:ascii="宋体" w:hAnsi="宋体" w:eastAsia="宋体" w:cs="宋体"/>
                <w:color w:val="auto"/>
                <w:sz w:val="24"/>
                <w:lang w:eastAsia="zh-CN"/>
              </w:rPr>
              <w:t>两种不同类型的台球桌，</w:t>
            </w:r>
            <w:r>
              <w:rPr>
                <w:rFonts w:hint="eastAsia" w:ascii="宋体" w:hAnsi="宋体" w:eastAsia="宋体" w:cs="宋体"/>
                <w:sz w:val="24"/>
                <w:lang w:eastAsia="zh-CN"/>
              </w:rPr>
              <w:t>每场比赛5张球台，每场比赛4天，含球台本体、运输、装卸、安装维护。</w:t>
            </w:r>
          </w:p>
        </w:tc>
      </w:tr>
      <w:tr w14:paraId="464BA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restart"/>
            <w:vAlign w:val="center"/>
          </w:tcPr>
          <w:p w14:paraId="2D15F325">
            <w:pPr>
              <w:spacing w:line="360" w:lineRule="auto"/>
              <w:jc w:val="center"/>
              <w:rPr>
                <w:rFonts w:ascii="宋体" w:hAnsi="宋体" w:eastAsia="宋体" w:cs="宋体"/>
                <w:sz w:val="24"/>
              </w:rPr>
            </w:pPr>
            <w:r>
              <w:rPr>
                <w:rFonts w:hint="eastAsia" w:ascii="宋体" w:hAnsi="宋体" w:eastAsia="宋体" w:cs="宋体"/>
                <w:sz w:val="24"/>
              </w:rPr>
              <w:t>劳务</w:t>
            </w:r>
          </w:p>
        </w:tc>
        <w:tc>
          <w:tcPr>
            <w:tcW w:w="2336" w:type="dxa"/>
            <w:vAlign w:val="center"/>
          </w:tcPr>
          <w:p w14:paraId="76EA3052">
            <w:pPr>
              <w:spacing w:line="360" w:lineRule="auto"/>
              <w:jc w:val="center"/>
              <w:rPr>
                <w:rFonts w:ascii="宋体" w:hAnsi="宋体" w:eastAsia="宋体" w:cs="宋体"/>
                <w:sz w:val="24"/>
              </w:rPr>
            </w:pPr>
            <w:r>
              <w:rPr>
                <w:rFonts w:hint="eastAsia" w:ascii="宋体" w:hAnsi="宋体" w:eastAsia="宋体" w:cs="宋体"/>
                <w:sz w:val="24"/>
              </w:rPr>
              <w:t>裁判费用</w:t>
            </w:r>
          </w:p>
        </w:tc>
        <w:tc>
          <w:tcPr>
            <w:tcW w:w="6227" w:type="dxa"/>
            <w:vAlign w:val="center"/>
          </w:tcPr>
          <w:p w14:paraId="60707E8C">
            <w:pPr>
              <w:spacing w:line="360" w:lineRule="auto"/>
              <w:jc w:val="center"/>
              <w:rPr>
                <w:rFonts w:ascii="宋体" w:hAnsi="宋体" w:eastAsia="宋体" w:cs="宋体"/>
                <w:sz w:val="24"/>
                <w:lang w:eastAsia="zh-CN"/>
              </w:rPr>
            </w:pPr>
            <w:r>
              <w:rPr>
                <w:rFonts w:hint="eastAsia" w:ascii="宋体" w:hAnsi="宋体" w:eastAsia="宋体" w:cs="宋体"/>
                <w:sz w:val="24"/>
                <w:lang w:eastAsia="zh-CN"/>
              </w:rPr>
              <w:t>全年6次主场，8名裁判员，7天/场（含比赛日+路程）</w:t>
            </w:r>
          </w:p>
        </w:tc>
      </w:tr>
      <w:tr w14:paraId="33B43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556AC223">
            <w:pPr>
              <w:spacing w:line="360" w:lineRule="auto"/>
              <w:ind w:firstLine="480" w:firstLineChars="200"/>
              <w:jc w:val="center"/>
              <w:rPr>
                <w:rFonts w:ascii="宋体" w:hAnsi="宋体" w:eastAsia="宋体" w:cs="宋体"/>
                <w:sz w:val="24"/>
                <w:lang w:eastAsia="zh-CN"/>
              </w:rPr>
            </w:pPr>
          </w:p>
        </w:tc>
        <w:tc>
          <w:tcPr>
            <w:tcW w:w="2336" w:type="dxa"/>
            <w:vAlign w:val="center"/>
          </w:tcPr>
          <w:p w14:paraId="6411BE46">
            <w:pPr>
              <w:spacing w:line="360" w:lineRule="auto"/>
              <w:jc w:val="center"/>
              <w:rPr>
                <w:rFonts w:ascii="宋体" w:hAnsi="宋体" w:eastAsia="宋体" w:cs="宋体"/>
                <w:sz w:val="24"/>
              </w:rPr>
            </w:pPr>
            <w:r>
              <w:rPr>
                <w:rFonts w:hint="eastAsia" w:ascii="宋体" w:hAnsi="宋体" w:eastAsia="宋体" w:cs="宋体"/>
                <w:sz w:val="24"/>
              </w:rPr>
              <w:t>媒体宣传服务费</w:t>
            </w:r>
          </w:p>
        </w:tc>
        <w:tc>
          <w:tcPr>
            <w:tcW w:w="6227" w:type="dxa"/>
            <w:vAlign w:val="center"/>
          </w:tcPr>
          <w:p w14:paraId="6B215583">
            <w:pPr>
              <w:spacing w:line="360" w:lineRule="auto"/>
              <w:jc w:val="center"/>
              <w:rPr>
                <w:rFonts w:ascii="宋体" w:hAnsi="宋体" w:eastAsia="宋体" w:cs="宋体"/>
                <w:sz w:val="24"/>
                <w:lang w:eastAsia="zh-CN"/>
              </w:rPr>
            </w:pPr>
            <w:r>
              <w:rPr>
                <w:rFonts w:hint="eastAsia" w:ascii="宋体" w:hAnsi="宋体" w:eastAsia="宋体" w:cs="宋体"/>
                <w:sz w:val="24"/>
                <w:lang w:eastAsia="zh-CN"/>
              </w:rPr>
              <w:t>全国平面、电视、网络媒体宣传报导，含50家媒体服务费+物料对接费</w:t>
            </w:r>
          </w:p>
        </w:tc>
      </w:tr>
      <w:tr w14:paraId="58F20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17E41FD6">
            <w:pPr>
              <w:spacing w:line="360" w:lineRule="auto"/>
              <w:ind w:firstLine="480" w:firstLineChars="200"/>
              <w:jc w:val="center"/>
              <w:rPr>
                <w:rFonts w:ascii="宋体" w:hAnsi="宋体" w:eastAsia="宋体" w:cs="宋体"/>
                <w:sz w:val="24"/>
                <w:lang w:eastAsia="zh-CN"/>
              </w:rPr>
            </w:pPr>
          </w:p>
        </w:tc>
        <w:tc>
          <w:tcPr>
            <w:tcW w:w="2336" w:type="dxa"/>
            <w:vAlign w:val="center"/>
          </w:tcPr>
          <w:p w14:paraId="6912DAD0">
            <w:pPr>
              <w:spacing w:line="360" w:lineRule="auto"/>
              <w:jc w:val="center"/>
              <w:rPr>
                <w:rFonts w:ascii="宋体" w:hAnsi="宋体" w:eastAsia="宋体" w:cs="宋体"/>
                <w:sz w:val="24"/>
              </w:rPr>
            </w:pPr>
            <w:r>
              <w:rPr>
                <w:rFonts w:hint="eastAsia" w:ascii="宋体" w:hAnsi="宋体" w:eastAsia="宋体" w:cs="宋体"/>
                <w:sz w:val="24"/>
              </w:rPr>
              <w:t>主持人费用</w:t>
            </w:r>
          </w:p>
        </w:tc>
        <w:tc>
          <w:tcPr>
            <w:tcW w:w="6227" w:type="dxa"/>
            <w:vAlign w:val="center"/>
          </w:tcPr>
          <w:p w14:paraId="5939412F">
            <w:pPr>
              <w:spacing w:line="360" w:lineRule="auto"/>
              <w:jc w:val="center"/>
              <w:rPr>
                <w:rFonts w:ascii="宋体" w:hAnsi="宋体" w:eastAsia="宋体" w:cs="宋体"/>
                <w:sz w:val="24"/>
                <w:lang w:eastAsia="zh-CN"/>
              </w:rPr>
            </w:pPr>
            <w:r>
              <w:rPr>
                <w:rFonts w:hint="eastAsia" w:ascii="宋体" w:hAnsi="宋体" w:eastAsia="宋体" w:cs="宋体"/>
                <w:sz w:val="24"/>
                <w:lang w:eastAsia="zh-CN"/>
              </w:rPr>
              <w:t>中英文主持，覆盖开闭幕式</w:t>
            </w:r>
          </w:p>
        </w:tc>
      </w:tr>
      <w:tr w14:paraId="3577C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074CC3F8">
            <w:pPr>
              <w:spacing w:line="360" w:lineRule="auto"/>
              <w:ind w:firstLine="480" w:firstLineChars="200"/>
              <w:jc w:val="center"/>
              <w:rPr>
                <w:rFonts w:ascii="宋体" w:hAnsi="宋体" w:eastAsia="宋体" w:cs="宋体"/>
                <w:sz w:val="24"/>
                <w:lang w:eastAsia="zh-CN"/>
              </w:rPr>
            </w:pPr>
          </w:p>
        </w:tc>
        <w:tc>
          <w:tcPr>
            <w:tcW w:w="2336" w:type="dxa"/>
            <w:vAlign w:val="center"/>
          </w:tcPr>
          <w:p w14:paraId="3DD679AA">
            <w:pPr>
              <w:spacing w:line="360" w:lineRule="auto"/>
              <w:jc w:val="center"/>
              <w:rPr>
                <w:rFonts w:ascii="宋体" w:hAnsi="宋体" w:eastAsia="宋体" w:cs="宋体"/>
                <w:sz w:val="24"/>
              </w:rPr>
            </w:pPr>
            <w:r>
              <w:rPr>
                <w:rFonts w:hint="eastAsia" w:ascii="宋体" w:hAnsi="宋体" w:eastAsia="宋体" w:cs="宋体"/>
                <w:sz w:val="24"/>
              </w:rPr>
              <w:t>球员参赛费</w:t>
            </w:r>
          </w:p>
        </w:tc>
        <w:tc>
          <w:tcPr>
            <w:tcW w:w="6227" w:type="dxa"/>
            <w:vAlign w:val="center"/>
          </w:tcPr>
          <w:p w14:paraId="3C7A81DD">
            <w:pPr>
              <w:spacing w:line="360" w:lineRule="auto"/>
              <w:jc w:val="center"/>
              <w:rPr>
                <w:rFonts w:ascii="宋体" w:hAnsi="宋体" w:eastAsia="宋体" w:cs="宋体"/>
                <w:sz w:val="24"/>
              </w:rPr>
            </w:pPr>
            <w:r>
              <w:rPr>
                <w:rFonts w:hint="eastAsia" w:ascii="宋体" w:hAnsi="宋体" w:eastAsia="宋体" w:cs="宋体"/>
                <w:sz w:val="24"/>
                <w:lang w:eastAsia="zh-CN"/>
              </w:rPr>
              <w:t>全年</w:t>
            </w:r>
            <w:r>
              <w:rPr>
                <w:rFonts w:hint="eastAsia" w:ascii="宋体" w:hAnsi="宋体" w:eastAsia="宋体" w:cs="宋体"/>
                <w:sz w:val="24"/>
              </w:rPr>
              <w:t>8名职业球员</w:t>
            </w:r>
          </w:p>
        </w:tc>
      </w:tr>
      <w:tr w14:paraId="7354D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restart"/>
            <w:vAlign w:val="center"/>
          </w:tcPr>
          <w:p w14:paraId="39958A4D">
            <w:pPr>
              <w:spacing w:line="360" w:lineRule="auto"/>
              <w:jc w:val="center"/>
              <w:rPr>
                <w:rFonts w:ascii="宋体" w:hAnsi="宋体" w:eastAsia="宋体" w:cs="宋体"/>
                <w:sz w:val="24"/>
              </w:rPr>
            </w:pPr>
            <w:r>
              <w:rPr>
                <w:rFonts w:hint="eastAsia" w:ascii="宋体" w:hAnsi="宋体" w:eastAsia="宋体" w:cs="宋体"/>
                <w:sz w:val="24"/>
              </w:rPr>
              <w:t>接待</w:t>
            </w:r>
          </w:p>
        </w:tc>
        <w:tc>
          <w:tcPr>
            <w:tcW w:w="2336" w:type="dxa"/>
            <w:vAlign w:val="center"/>
          </w:tcPr>
          <w:p w14:paraId="22B58628">
            <w:pPr>
              <w:spacing w:line="360" w:lineRule="auto"/>
              <w:jc w:val="center"/>
              <w:rPr>
                <w:rFonts w:ascii="宋体" w:hAnsi="宋体" w:eastAsia="宋体" w:cs="宋体"/>
                <w:sz w:val="24"/>
              </w:rPr>
            </w:pPr>
            <w:r>
              <w:rPr>
                <w:rFonts w:hint="eastAsia" w:ascii="宋体" w:hAnsi="宋体" w:eastAsia="宋体" w:cs="宋体"/>
                <w:sz w:val="24"/>
              </w:rPr>
              <w:t>差旅</w:t>
            </w:r>
          </w:p>
        </w:tc>
        <w:tc>
          <w:tcPr>
            <w:tcW w:w="6227" w:type="dxa"/>
            <w:vAlign w:val="center"/>
          </w:tcPr>
          <w:p w14:paraId="39585728">
            <w:pPr>
              <w:spacing w:line="360" w:lineRule="auto"/>
              <w:jc w:val="center"/>
              <w:rPr>
                <w:rFonts w:ascii="宋体" w:hAnsi="宋体" w:eastAsia="宋体" w:cs="宋体"/>
                <w:sz w:val="24"/>
                <w:lang w:eastAsia="zh-CN"/>
              </w:rPr>
            </w:pPr>
            <w:r>
              <w:rPr>
                <w:rFonts w:hint="eastAsia" w:ascii="宋体" w:hAnsi="宋体" w:eastAsia="宋体" w:cs="宋体"/>
                <w:sz w:val="24"/>
                <w:lang w:eastAsia="zh-CN"/>
              </w:rPr>
              <w:t>全年6次主场，每场30人</w:t>
            </w:r>
          </w:p>
        </w:tc>
      </w:tr>
      <w:tr w14:paraId="122B0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7956D69F">
            <w:pPr>
              <w:spacing w:line="360" w:lineRule="auto"/>
              <w:ind w:firstLine="480" w:firstLineChars="200"/>
              <w:jc w:val="center"/>
              <w:rPr>
                <w:rFonts w:ascii="宋体" w:hAnsi="宋体" w:eastAsia="宋体" w:cs="宋体"/>
                <w:sz w:val="24"/>
              </w:rPr>
            </w:pPr>
          </w:p>
        </w:tc>
        <w:tc>
          <w:tcPr>
            <w:tcW w:w="2336" w:type="dxa"/>
            <w:vAlign w:val="center"/>
          </w:tcPr>
          <w:p w14:paraId="316352A7">
            <w:pPr>
              <w:spacing w:line="360" w:lineRule="auto"/>
              <w:jc w:val="center"/>
              <w:rPr>
                <w:rFonts w:ascii="宋体" w:hAnsi="宋体" w:eastAsia="宋体" w:cs="宋体"/>
                <w:sz w:val="24"/>
              </w:rPr>
            </w:pPr>
            <w:r>
              <w:rPr>
                <w:rFonts w:hint="eastAsia" w:ascii="宋体" w:hAnsi="宋体" w:eastAsia="宋体" w:cs="宋体"/>
                <w:sz w:val="24"/>
              </w:rPr>
              <w:t>住宿</w:t>
            </w:r>
          </w:p>
        </w:tc>
        <w:tc>
          <w:tcPr>
            <w:tcW w:w="6227" w:type="dxa"/>
            <w:vAlign w:val="center"/>
          </w:tcPr>
          <w:p w14:paraId="3F9382F2">
            <w:pPr>
              <w:spacing w:line="360" w:lineRule="auto"/>
              <w:jc w:val="center"/>
              <w:rPr>
                <w:rFonts w:hint="default" w:ascii="宋体" w:hAnsi="宋体" w:eastAsia="宋体" w:cs="宋体"/>
                <w:sz w:val="24"/>
                <w:lang w:val="en-US" w:eastAsia="zh-CN"/>
              </w:rPr>
            </w:pPr>
            <w:r>
              <w:rPr>
                <w:rFonts w:hint="eastAsia" w:ascii="宋体" w:hAnsi="宋体" w:eastAsia="宋体" w:cs="宋体"/>
                <w:sz w:val="24"/>
                <w:lang w:eastAsia="zh-CN"/>
              </w:rPr>
              <w:t>全年6次主场，每场30人，</w:t>
            </w:r>
            <w:r>
              <w:rPr>
                <w:rFonts w:hint="eastAsia" w:ascii="宋体" w:hAnsi="宋体" w:eastAsia="宋体" w:cs="宋体"/>
                <w:color w:val="C00000"/>
                <w:sz w:val="24"/>
                <w:lang w:val="en-US" w:eastAsia="zh-CN"/>
              </w:rPr>
              <w:t>准四</w:t>
            </w:r>
            <w:r>
              <w:rPr>
                <w:rFonts w:hint="eastAsia" w:ascii="宋体" w:hAnsi="宋体" w:eastAsia="宋体" w:cs="宋体"/>
                <w:color w:val="C00000"/>
                <w:sz w:val="24"/>
                <w:lang w:eastAsia="zh-CN"/>
              </w:rPr>
              <w:t>星级/</w:t>
            </w:r>
            <w:r>
              <w:rPr>
                <w:rFonts w:hint="eastAsia" w:ascii="宋体" w:hAnsi="宋体" w:eastAsia="宋体" w:cs="宋体"/>
                <w:color w:val="C00000"/>
                <w:sz w:val="24"/>
                <w:lang w:val="en-US" w:eastAsia="zh-CN"/>
              </w:rPr>
              <w:t>标间</w:t>
            </w:r>
            <w:r>
              <w:rPr>
                <w:rFonts w:hint="eastAsia" w:ascii="宋体" w:hAnsi="宋体" w:eastAsia="宋体" w:cs="宋体"/>
                <w:color w:val="C00000"/>
                <w:sz w:val="24"/>
                <w:lang w:eastAsia="zh-CN"/>
              </w:rPr>
              <w:t>/</w:t>
            </w:r>
            <w:r>
              <w:rPr>
                <w:rFonts w:hint="eastAsia" w:ascii="宋体" w:hAnsi="宋体" w:eastAsia="宋体" w:cs="宋体"/>
                <w:color w:val="C00000"/>
                <w:sz w:val="24"/>
                <w:lang w:val="en-US" w:eastAsia="zh-CN"/>
              </w:rPr>
              <w:t>2人</w:t>
            </w:r>
          </w:p>
        </w:tc>
      </w:tr>
      <w:tr w14:paraId="343D9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1C45794D">
            <w:pPr>
              <w:spacing w:line="360" w:lineRule="auto"/>
              <w:ind w:firstLine="480" w:firstLineChars="200"/>
              <w:jc w:val="center"/>
              <w:rPr>
                <w:rFonts w:ascii="宋体" w:hAnsi="宋体" w:eastAsia="宋体" w:cs="宋体"/>
                <w:sz w:val="24"/>
                <w:lang w:eastAsia="zh-CN"/>
              </w:rPr>
            </w:pPr>
          </w:p>
        </w:tc>
        <w:tc>
          <w:tcPr>
            <w:tcW w:w="2336" w:type="dxa"/>
            <w:vAlign w:val="center"/>
          </w:tcPr>
          <w:p w14:paraId="5FAA8278">
            <w:pPr>
              <w:spacing w:line="360" w:lineRule="auto"/>
              <w:jc w:val="center"/>
              <w:rPr>
                <w:rFonts w:ascii="宋体" w:hAnsi="宋体" w:eastAsia="宋体" w:cs="宋体"/>
                <w:sz w:val="24"/>
              </w:rPr>
            </w:pPr>
            <w:r>
              <w:rPr>
                <w:rFonts w:hint="eastAsia" w:ascii="宋体" w:hAnsi="宋体" w:eastAsia="宋体" w:cs="宋体"/>
                <w:sz w:val="24"/>
              </w:rPr>
              <w:t>工作餐</w:t>
            </w:r>
          </w:p>
        </w:tc>
        <w:tc>
          <w:tcPr>
            <w:tcW w:w="6227" w:type="dxa"/>
            <w:vAlign w:val="center"/>
          </w:tcPr>
          <w:p w14:paraId="1D9A78FF">
            <w:pPr>
              <w:spacing w:line="360" w:lineRule="auto"/>
              <w:jc w:val="center"/>
              <w:rPr>
                <w:rFonts w:ascii="宋体" w:hAnsi="宋体" w:eastAsia="宋体" w:cs="宋体"/>
                <w:sz w:val="24"/>
                <w:lang w:eastAsia="zh-CN"/>
              </w:rPr>
            </w:pPr>
            <w:r>
              <w:rPr>
                <w:rFonts w:hint="eastAsia" w:ascii="宋体" w:hAnsi="宋体" w:eastAsia="宋体" w:cs="宋体"/>
                <w:sz w:val="24"/>
                <w:lang w:eastAsia="zh-CN"/>
              </w:rPr>
              <w:t>全年6次主场，每场30人×4天</w:t>
            </w:r>
          </w:p>
        </w:tc>
      </w:tr>
      <w:tr w14:paraId="56652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73327328">
            <w:pPr>
              <w:spacing w:line="360" w:lineRule="auto"/>
              <w:ind w:firstLine="480" w:firstLineChars="200"/>
              <w:jc w:val="center"/>
              <w:rPr>
                <w:rFonts w:ascii="宋体" w:hAnsi="宋体" w:eastAsia="宋体" w:cs="宋体"/>
                <w:sz w:val="24"/>
                <w:lang w:eastAsia="zh-CN"/>
              </w:rPr>
            </w:pPr>
          </w:p>
        </w:tc>
        <w:tc>
          <w:tcPr>
            <w:tcW w:w="2336" w:type="dxa"/>
            <w:vAlign w:val="center"/>
          </w:tcPr>
          <w:p w14:paraId="592FBBAF">
            <w:pPr>
              <w:spacing w:line="360" w:lineRule="auto"/>
              <w:jc w:val="center"/>
              <w:rPr>
                <w:rFonts w:ascii="宋体" w:hAnsi="宋体" w:eastAsia="宋体" w:cs="宋体"/>
                <w:sz w:val="24"/>
              </w:rPr>
            </w:pPr>
            <w:r>
              <w:rPr>
                <w:rFonts w:hint="eastAsia" w:ascii="宋体" w:hAnsi="宋体" w:eastAsia="宋体" w:cs="宋体"/>
                <w:sz w:val="24"/>
              </w:rPr>
              <w:t>比赛用车</w:t>
            </w:r>
          </w:p>
        </w:tc>
        <w:tc>
          <w:tcPr>
            <w:tcW w:w="6227" w:type="dxa"/>
            <w:vAlign w:val="center"/>
          </w:tcPr>
          <w:p w14:paraId="3065F59B">
            <w:pPr>
              <w:spacing w:line="360" w:lineRule="auto"/>
              <w:jc w:val="center"/>
              <w:rPr>
                <w:rFonts w:ascii="宋体" w:hAnsi="宋体" w:eastAsia="宋体" w:cs="宋体"/>
                <w:sz w:val="24"/>
              </w:rPr>
            </w:pPr>
            <w:r>
              <w:rPr>
                <w:rFonts w:hint="eastAsia" w:ascii="宋体" w:hAnsi="宋体" w:eastAsia="宋体" w:cs="宋体"/>
                <w:sz w:val="24"/>
              </w:rPr>
              <w:t>5辆商务车×4天×6场</w:t>
            </w:r>
          </w:p>
        </w:tc>
      </w:tr>
      <w:tr w14:paraId="14FF5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63C46717">
            <w:pPr>
              <w:spacing w:line="360" w:lineRule="auto"/>
              <w:ind w:firstLine="480" w:firstLineChars="200"/>
              <w:jc w:val="center"/>
              <w:rPr>
                <w:rFonts w:ascii="宋体" w:hAnsi="宋体" w:eastAsia="宋体" w:cs="宋体"/>
                <w:sz w:val="24"/>
              </w:rPr>
            </w:pPr>
          </w:p>
        </w:tc>
        <w:tc>
          <w:tcPr>
            <w:tcW w:w="2336" w:type="dxa"/>
            <w:vAlign w:val="center"/>
          </w:tcPr>
          <w:p w14:paraId="2668262A">
            <w:pPr>
              <w:spacing w:line="360" w:lineRule="auto"/>
              <w:jc w:val="center"/>
              <w:rPr>
                <w:rFonts w:ascii="宋体" w:hAnsi="宋体" w:eastAsia="宋体" w:cs="宋体"/>
                <w:sz w:val="24"/>
              </w:rPr>
            </w:pPr>
            <w:r>
              <w:rPr>
                <w:rFonts w:hint="eastAsia" w:ascii="宋体" w:hAnsi="宋体" w:eastAsia="宋体" w:cs="宋体"/>
                <w:sz w:val="24"/>
              </w:rPr>
              <w:t>广告制作</w:t>
            </w:r>
          </w:p>
        </w:tc>
        <w:tc>
          <w:tcPr>
            <w:tcW w:w="6227" w:type="dxa"/>
            <w:vAlign w:val="center"/>
          </w:tcPr>
          <w:p w14:paraId="30EF2EA8">
            <w:pPr>
              <w:spacing w:line="360" w:lineRule="auto"/>
              <w:jc w:val="center"/>
              <w:rPr>
                <w:rFonts w:ascii="宋体" w:hAnsi="宋体" w:eastAsia="宋体" w:cs="宋体"/>
                <w:sz w:val="24"/>
              </w:rPr>
            </w:pPr>
            <w:r>
              <w:rPr>
                <w:rFonts w:hint="eastAsia" w:ascii="宋体" w:hAnsi="宋体" w:eastAsia="宋体" w:cs="宋体"/>
                <w:sz w:val="24"/>
              </w:rPr>
              <w:t>围挡+背景板</w:t>
            </w:r>
          </w:p>
        </w:tc>
      </w:tr>
      <w:tr w14:paraId="7A4F8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Align w:val="center"/>
          </w:tcPr>
          <w:p w14:paraId="76E6C596">
            <w:pPr>
              <w:spacing w:line="360" w:lineRule="auto"/>
              <w:jc w:val="center"/>
              <w:rPr>
                <w:rFonts w:ascii="宋体" w:hAnsi="宋体" w:eastAsia="宋体" w:cs="宋体"/>
                <w:sz w:val="24"/>
              </w:rPr>
            </w:pPr>
            <w:r>
              <w:rPr>
                <w:rFonts w:hint="eastAsia" w:ascii="宋体" w:hAnsi="宋体" w:eastAsia="宋体" w:cs="宋体"/>
                <w:sz w:val="24"/>
              </w:rPr>
              <w:t>比赛直播</w:t>
            </w:r>
          </w:p>
        </w:tc>
        <w:tc>
          <w:tcPr>
            <w:tcW w:w="2336" w:type="dxa"/>
            <w:vAlign w:val="center"/>
          </w:tcPr>
          <w:p w14:paraId="00D72519">
            <w:pPr>
              <w:spacing w:line="360" w:lineRule="auto"/>
              <w:jc w:val="center"/>
              <w:rPr>
                <w:rFonts w:ascii="宋体" w:hAnsi="宋体" w:eastAsia="宋体" w:cs="宋体"/>
                <w:sz w:val="24"/>
              </w:rPr>
            </w:pPr>
            <w:r>
              <w:rPr>
                <w:rFonts w:hint="eastAsia" w:ascii="宋体" w:hAnsi="宋体" w:eastAsia="宋体" w:cs="宋体"/>
                <w:sz w:val="24"/>
              </w:rPr>
              <w:t>直播信号制作</w:t>
            </w:r>
          </w:p>
        </w:tc>
        <w:tc>
          <w:tcPr>
            <w:tcW w:w="6227" w:type="dxa"/>
            <w:vAlign w:val="center"/>
          </w:tcPr>
          <w:p w14:paraId="1A60A4AD">
            <w:pPr>
              <w:spacing w:line="360" w:lineRule="auto"/>
              <w:jc w:val="center"/>
              <w:rPr>
                <w:rFonts w:ascii="宋体" w:hAnsi="宋体" w:eastAsia="宋体" w:cs="宋体"/>
                <w:sz w:val="24"/>
              </w:rPr>
            </w:pPr>
            <w:r>
              <w:rPr>
                <w:rFonts w:hint="eastAsia" w:ascii="宋体" w:hAnsi="宋体" w:eastAsia="宋体" w:cs="宋体"/>
                <w:sz w:val="24"/>
              </w:rPr>
              <w:t>5机位直播，6场合计</w:t>
            </w:r>
          </w:p>
        </w:tc>
      </w:tr>
      <w:tr w14:paraId="5637A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restart"/>
            <w:vAlign w:val="center"/>
          </w:tcPr>
          <w:p w14:paraId="2FD061BF">
            <w:pPr>
              <w:spacing w:line="360" w:lineRule="auto"/>
              <w:jc w:val="center"/>
              <w:rPr>
                <w:rFonts w:ascii="宋体" w:hAnsi="宋体" w:eastAsia="宋体" w:cs="宋体"/>
                <w:sz w:val="24"/>
              </w:rPr>
            </w:pPr>
            <w:r>
              <w:rPr>
                <w:rFonts w:hint="eastAsia" w:ascii="宋体" w:hAnsi="宋体" w:eastAsia="宋体" w:cs="宋体"/>
                <w:sz w:val="24"/>
              </w:rPr>
              <w:t>比赛用品</w:t>
            </w:r>
          </w:p>
        </w:tc>
        <w:tc>
          <w:tcPr>
            <w:tcW w:w="2336" w:type="dxa"/>
            <w:vAlign w:val="center"/>
          </w:tcPr>
          <w:p w14:paraId="6DF9E15D">
            <w:pPr>
              <w:spacing w:line="360" w:lineRule="auto"/>
              <w:jc w:val="center"/>
              <w:rPr>
                <w:rFonts w:ascii="宋体" w:hAnsi="宋体" w:eastAsia="宋体" w:cs="宋体"/>
                <w:sz w:val="24"/>
              </w:rPr>
            </w:pPr>
            <w:r>
              <w:rPr>
                <w:rFonts w:hint="eastAsia" w:ascii="宋体" w:hAnsi="宋体" w:eastAsia="宋体" w:cs="宋体"/>
                <w:sz w:val="24"/>
              </w:rPr>
              <w:t>奖杯</w:t>
            </w:r>
          </w:p>
        </w:tc>
        <w:tc>
          <w:tcPr>
            <w:tcW w:w="6227" w:type="dxa"/>
            <w:vAlign w:val="center"/>
          </w:tcPr>
          <w:p w14:paraId="035068D9">
            <w:pPr>
              <w:spacing w:line="360" w:lineRule="auto"/>
              <w:jc w:val="center"/>
              <w:rPr>
                <w:rFonts w:ascii="宋体" w:hAnsi="宋体" w:eastAsia="宋体" w:cs="宋体"/>
                <w:sz w:val="24"/>
                <w:lang w:eastAsia="zh-CN"/>
              </w:rPr>
            </w:pPr>
            <w:r>
              <w:rPr>
                <w:rFonts w:hint="eastAsia" w:ascii="宋体" w:hAnsi="宋体" w:eastAsia="宋体" w:cs="宋体"/>
                <w:sz w:val="24"/>
                <w:lang w:eastAsia="zh-CN"/>
              </w:rPr>
              <w:t>冠军/1座、亚军/1座、季军/2座、优秀奖/4座</w:t>
            </w:r>
          </w:p>
        </w:tc>
      </w:tr>
      <w:tr w14:paraId="650AF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3BD74ADA">
            <w:pPr>
              <w:spacing w:line="360" w:lineRule="auto"/>
              <w:ind w:firstLine="480" w:firstLineChars="200"/>
              <w:jc w:val="center"/>
              <w:rPr>
                <w:rFonts w:ascii="宋体" w:hAnsi="宋体" w:eastAsia="宋体" w:cs="宋体"/>
                <w:sz w:val="24"/>
                <w:lang w:eastAsia="zh-CN"/>
              </w:rPr>
            </w:pPr>
          </w:p>
        </w:tc>
        <w:tc>
          <w:tcPr>
            <w:tcW w:w="2336" w:type="dxa"/>
            <w:vAlign w:val="center"/>
          </w:tcPr>
          <w:p w14:paraId="6365BE6A">
            <w:pPr>
              <w:spacing w:line="360" w:lineRule="auto"/>
              <w:jc w:val="center"/>
              <w:rPr>
                <w:rFonts w:ascii="宋体" w:hAnsi="宋体" w:eastAsia="宋体" w:cs="宋体"/>
                <w:sz w:val="24"/>
              </w:rPr>
            </w:pPr>
            <w:r>
              <w:rPr>
                <w:rFonts w:hint="eastAsia" w:ascii="宋体" w:hAnsi="宋体" w:eastAsia="宋体" w:cs="宋体"/>
                <w:sz w:val="24"/>
              </w:rPr>
              <w:t>秩序册/海报</w:t>
            </w:r>
          </w:p>
        </w:tc>
        <w:tc>
          <w:tcPr>
            <w:tcW w:w="6227" w:type="dxa"/>
            <w:vAlign w:val="center"/>
          </w:tcPr>
          <w:p w14:paraId="74C33943">
            <w:pPr>
              <w:spacing w:line="360" w:lineRule="auto"/>
              <w:jc w:val="center"/>
              <w:rPr>
                <w:rFonts w:ascii="宋体" w:hAnsi="宋体" w:eastAsia="宋体" w:cs="宋体"/>
                <w:sz w:val="24"/>
              </w:rPr>
            </w:pPr>
            <w:r>
              <w:rPr>
                <w:rFonts w:hint="eastAsia" w:ascii="宋体" w:hAnsi="宋体" w:eastAsia="宋体" w:cs="宋体"/>
                <w:sz w:val="24"/>
              </w:rPr>
              <w:t>500本秩序册+1000张海报</w:t>
            </w:r>
          </w:p>
        </w:tc>
      </w:tr>
      <w:tr w14:paraId="3239C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3627E0A9">
            <w:pPr>
              <w:spacing w:line="360" w:lineRule="auto"/>
              <w:ind w:firstLine="480" w:firstLineChars="200"/>
              <w:jc w:val="center"/>
              <w:rPr>
                <w:rFonts w:ascii="宋体" w:hAnsi="宋体" w:eastAsia="宋体" w:cs="宋体"/>
                <w:sz w:val="24"/>
              </w:rPr>
            </w:pPr>
          </w:p>
        </w:tc>
        <w:tc>
          <w:tcPr>
            <w:tcW w:w="2336" w:type="dxa"/>
            <w:vAlign w:val="center"/>
          </w:tcPr>
          <w:p w14:paraId="50B034EE">
            <w:pPr>
              <w:spacing w:line="360" w:lineRule="auto"/>
              <w:jc w:val="center"/>
              <w:rPr>
                <w:rFonts w:ascii="宋体" w:hAnsi="宋体" w:eastAsia="宋体" w:cs="宋体"/>
                <w:sz w:val="24"/>
              </w:rPr>
            </w:pPr>
            <w:r>
              <w:rPr>
                <w:rFonts w:hint="eastAsia" w:ascii="宋体" w:hAnsi="宋体" w:eastAsia="宋体" w:cs="宋体"/>
                <w:sz w:val="24"/>
              </w:rPr>
              <w:t>球员胸标</w:t>
            </w:r>
          </w:p>
        </w:tc>
        <w:tc>
          <w:tcPr>
            <w:tcW w:w="6227" w:type="dxa"/>
            <w:vAlign w:val="center"/>
          </w:tcPr>
          <w:p w14:paraId="304FB9AC">
            <w:pPr>
              <w:spacing w:line="360" w:lineRule="auto"/>
              <w:jc w:val="center"/>
              <w:rPr>
                <w:rFonts w:ascii="宋体" w:hAnsi="宋体" w:eastAsia="宋体" w:cs="宋体"/>
                <w:sz w:val="24"/>
              </w:rPr>
            </w:pPr>
            <w:r>
              <w:rPr>
                <w:rFonts w:hint="eastAsia" w:ascii="宋体" w:hAnsi="宋体" w:eastAsia="宋体" w:cs="宋体"/>
                <w:sz w:val="24"/>
              </w:rPr>
              <w:t>100个参赛胸标</w:t>
            </w:r>
          </w:p>
        </w:tc>
      </w:tr>
      <w:tr w14:paraId="54E01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Align w:val="center"/>
          </w:tcPr>
          <w:p w14:paraId="263FE142">
            <w:pPr>
              <w:spacing w:line="360" w:lineRule="auto"/>
              <w:jc w:val="center"/>
              <w:rPr>
                <w:rFonts w:ascii="宋体" w:hAnsi="宋体" w:eastAsia="宋体" w:cs="宋体"/>
                <w:sz w:val="24"/>
              </w:rPr>
            </w:pPr>
            <w:r>
              <w:rPr>
                <w:rFonts w:hint="eastAsia" w:ascii="宋体" w:hAnsi="宋体" w:eastAsia="宋体" w:cs="宋体"/>
                <w:sz w:val="24"/>
              </w:rPr>
              <w:t>赛事活动</w:t>
            </w:r>
          </w:p>
        </w:tc>
        <w:tc>
          <w:tcPr>
            <w:tcW w:w="2336" w:type="dxa"/>
            <w:vAlign w:val="center"/>
          </w:tcPr>
          <w:p w14:paraId="7FE6CEBB">
            <w:pPr>
              <w:spacing w:line="360" w:lineRule="auto"/>
              <w:jc w:val="center"/>
              <w:rPr>
                <w:rFonts w:ascii="宋体" w:hAnsi="宋体" w:eastAsia="宋体" w:cs="宋体"/>
                <w:sz w:val="24"/>
              </w:rPr>
            </w:pPr>
            <w:r>
              <w:rPr>
                <w:rFonts w:hint="eastAsia" w:ascii="宋体" w:hAnsi="宋体" w:eastAsia="宋体" w:cs="宋体"/>
                <w:sz w:val="24"/>
              </w:rPr>
              <w:t>开、闭幕式</w:t>
            </w:r>
          </w:p>
        </w:tc>
        <w:tc>
          <w:tcPr>
            <w:tcW w:w="6227" w:type="dxa"/>
            <w:vAlign w:val="center"/>
          </w:tcPr>
          <w:p w14:paraId="501D96A3">
            <w:pPr>
              <w:spacing w:line="360" w:lineRule="auto"/>
              <w:jc w:val="center"/>
              <w:rPr>
                <w:rFonts w:ascii="宋体" w:hAnsi="宋体" w:eastAsia="宋体" w:cs="宋体"/>
                <w:sz w:val="24"/>
              </w:rPr>
            </w:pPr>
            <w:r>
              <w:rPr>
                <w:rFonts w:hint="eastAsia" w:ascii="宋体" w:hAnsi="宋体" w:eastAsia="宋体" w:cs="宋体"/>
                <w:sz w:val="24"/>
              </w:rPr>
              <w:t>开幕式+闭幕式</w:t>
            </w:r>
          </w:p>
        </w:tc>
      </w:tr>
      <w:tr w14:paraId="42B28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Align w:val="center"/>
          </w:tcPr>
          <w:p w14:paraId="0BEE0F39">
            <w:pPr>
              <w:spacing w:line="360" w:lineRule="auto"/>
              <w:jc w:val="center"/>
              <w:rPr>
                <w:rFonts w:ascii="宋体" w:hAnsi="宋体" w:eastAsia="宋体" w:cs="宋体"/>
                <w:sz w:val="24"/>
              </w:rPr>
            </w:pPr>
            <w:r>
              <w:rPr>
                <w:rFonts w:hint="eastAsia" w:ascii="宋体" w:hAnsi="宋体" w:eastAsia="宋体" w:cs="宋体"/>
                <w:sz w:val="24"/>
              </w:rPr>
              <w:t>办公用品</w:t>
            </w:r>
          </w:p>
        </w:tc>
        <w:tc>
          <w:tcPr>
            <w:tcW w:w="2336" w:type="dxa"/>
            <w:vAlign w:val="center"/>
          </w:tcPr>
          <w:p w14:paraId="55D09F8F">
            <w:pPr>
              <w:spacing w:line="360" w:lineRule="auto"/>
              <w:jc w:val="center"/>
              <w:rPr>
                <w:rFonts w:ascii="宋体" w:hAnsi="宋体" w:eastAsia="宋体" w:cs="宋体"/>
                <w:sz w:val="24"/>
              </w:rPr>
            </w:pPr>
            <w:r>
              <w:rPr>
                <w:rFonts w:hint="eastAsia" w:ascii="宋体" w:hAnsi="宋体" w:eastAsia="宋体" w:cs="宋体"/>
                <w:sz w:val="24"/>
              </w:rPr>
              <w:t>办公耗材</w:t>
            </w:r>
          </w:p>
        </w:tc>
        <w:tc>
          <w:tcPr>
            <w:tcW w:w="6227" w:type="dxa"/>
            <w:vAlign w:val="center"/>
          </w:tcPr>
          <w:p w14:paraId="59F95D4A">
            <w:pPr>
              <w:spacing w:line="360" w:lineRule="auto"/>
              <w:jc w:val="center"/>
              <w:rPr>
                <w:rFonts w:ascii="宋体" w:hAnsi="宋体" w:eastAsia="宋体" w:cs="宋体"/>
                <w:sz w:val="24"/>
                <w:lang w:eastAsia="zh-CN"/>
              </w:rPr>
            </w:pPr>
            <w:r>
              <w:rPr>
                <w:rFonts w:hint="eastAsia" w:ascii="宋体" w:hAnsi="宋体" w:eastAsia="宋体" w:cs="宋体"/>
                <w:sz w:val="24"/>
                <w:lang w:eastAsia="zh-CN"/>
              </w:rPr>
              <w:t>纸、笔、文件夹、耗材</w:t>
            </w:r>
          </w:p>
        </w:tc>
      </w:tr>
      <w:tr w14:paraId="01D5F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Align w:val="center"/>
          </w:tcPr>
          <w:p w14:paraId="7FB23F07">
            <w:pPr>
              <w:spacing w:line="360" w:lineRule="auto"/>
              <w:jc w:val="center"/>
              <w:rPr>
                <w:rFonts w:ascii="宋体" w:hAnsi="宋体" w:eastAsia="宋体" w:cs="宋体"/>
                <w:sz w:val="24"/>
              </w:rPr>
            </w:pPr>
            <w:r>
              <w:rPr>
                <w:rFonts w:hint="eastAsia" w:ascii="宋体" w:hAnsi="宋体" w:eastAsia="宋体" w:cs="宋体"/>
                <w:sz w:val="24"/>
              </w:rPr>
              <w:t>服务费</w:t>
            </w:r>
          </w:p>
        </w:tc>
        <w:tc>
          <w:tcPr>
            <w:tcW w:w="2336" w:type="dxa"/>
            <w:vAlign w:val="center"/>
          </w:tcPr>
          <w:p w14:paraId="5FC6D6EE">
            <w:pPr>
              <w:spacing w:line="360" w:lineRule="auto"/>
              <w:jc w:val="center"/>
              <w:rPr>
                <w:rFonts w:ascii="宋体" w:hAnsi="宋体" w:eastAsia="宋体" w:cs="宋体"/>
                <w:sz w:val="24"/>
              </w:rPr>
            </w:pPr>
            <w:r>
              <w:rPr>
                <w:rFonts w:hint="eastAsia" w:ascii="宋体" w:hAnsi="宋体" w:eastAsia="宋体" w:cs="宋体"/>
                <w:sz w:val="24"/>
              </w:rPr>
              <w:t>赛事组织运营费</w:t>
            </w:r>
          </w:p>
        </w:tc>
        <w:tc>
          <w:tcPr>
            <w:tcW w:w="6227" w:type="dxa"/>
            <w:vAlign w:val="center"/>
          </w:tcPr>
          <w:p w14:paraId="5C3D86D4">
            <w:pPr>
              <w:spacing w:line="360" w:lineRule="auto"/>
              <w:jc w:val="center"/>
              <w:rPr>
                <w:rFonts w:ascii="宋体" w:hAnsi="宋体" w:eastAsia="宋体" w:cs="宋体"/>
                <w:sz w:val="24"/>
              </w:rPr>
            </w:pPr>
            <w:r>
              <w:rPr>
                <w:rFonts w:hint="eastAsia" w:ascii="宋体" w:hAnsi="宋体" w:eastAsia="宋体" w:cs="宋体"/>
                <w:sz w:val="24"/>
              </w:rPr>
              <w:t>6场</w:t>
            </w:r>
          </w:p>
        </w:tc>
      </w:tr>
      <w:tr w14:paraId="2A3E7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restart"/>
            <w:vAlign w:val="center"/>
          </w:tcPr>
          <w:p w14:paraId="42F8FBBA">
            <w:pPr>
              <w:spacing w:line="360" w:lineRule="auto"/>
              <w:jc w:val="center"/>
              <w:rPr>
                <w:rFonts w:ascii="宋体" w:hAnsi="宋体" w:eastAsia="宋体" w:cs="宋体"/>
                <w:sz w:val="24"/>
              </w:rPr>
            </w:pPr>
            <w:r>
              <w:rPr>
                <w:rFonts w:hint="eastAsia" w:ascii="宋体" w:hAnsi="宋体" w:eastAsia="宋体" w:cs="宋体"/>
                <w:sz w:val="24"/>
              </w:rPr>
              <w:t>其他</w:t>
            </w:r>
          </w:p>
        </w:tc>
        <w:tc>
          <w:tcPr>
            <w:tcW w:w="2336" w:type="dxa"/>
            <w:vAlign w:val="center"/>
          </w:tcPr>
          <w:p w14:paraId="16FEF2AA">
            <w:pPr>
              <w:spacing w:line="360" w:lineRule="auto"/>
              <w:jc w:val="center"/>
              <w:rPr>
                <w:rFonts w:ascii="宋体" w:hAnsi="宋体" w:eastAsia="宋体" w:cs="宋体"/>
                <w:sz w:val="24"/>
              </w:rPr>
            </w:pPr>
            <w:r>
              <w:rPr>
                <w:rFonts w:hint="eastAsia" w:ascii="宋体" w:hAnsi="宋体" w:eastAsia="宋体" w:cs="宋体"/>
                <w:sz w:val="24"/>
              </w:rPr>
              <w:t>比赛车费（应急）</w:t>
            </w:r>
          </w:p>
        </w:tc>
        <w:tc>
          <w:tcPr>
            <w:tcW w:w="6227" w:type="dxa"/>
            <w:vAlign w:val="center"/>
          </w:tcPr>
          <w:p w14:paraId="78BDB5BF">
            <w:pPr>
              <w:spacing w:line="360" w:lineRule="auto"/>
              <w:jc w:val="center"/>
              <w:rPr>
                <w:rFonts w:ascii="宋体" w:hAnsi="宋体" w:eastAsia="宋体" w:cs="宋体"/>
                <w:sz w:val="24"/>
              </w:rPr>
            </w:pPr>
            <w:r>
              <w:rPr>
                <w:rFonts w:hint="eastAsia" w:ascii="宋体" w:hAnsi="宋体" w:eastAsia="宋体" w:cs="宋体"/>
                <w:sz w:val="24"/>
              </w:rPr>
              <w:t>1辆应急车10天</w:t>
            </w:r>
          </w:p>
        </w:tc>
      </w:tr>
      <w:tr w14:paraId="20F95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87" w:type="dxa"/>
            <w:vMerge w:val="continue"/>
            <w:vAlign w:val="center"/>
          </w:tcPr>
          <w:p w14:paraId="03D035BF">
            <w:pPr>
              <w:spacing w:line="360" w:lineRule="auto"/>
              <w:ind w:firstLine="480" w:firstLineChars="200"/>
              <w:jc w:val="center"/>
              <w:rPr>
                <w:rFonts w:ascii="宋体" w:hAnsi="宋体" w:eastAsia="宋体" w:cs="宋体"/>
                <w:sz w:val="24"/>
              </w:rPr>
            </w:pPr>
          </w:p>
        </w:tc>
        <w:tc>
          <w:tcPr>
            <w:tcW w:w="2336" w:type="dxa"/>
            <w:vAlign w:val="center"/>
          </w:tcPr>
          <w:p w14:paraId="46F2139C">
            <w:pPr>
              <w:spacing w:line="360" w:lineRule="auto"/>
              <w:jc w:val="center"/>
              <w:rPr>
                <w:rFonts w:ascii="宋体" w:hAnsi="宋体" w:eastAsia="宋体" w:cs="宋体"/>
                <w:sz w:val="24"/>
              </w:rPr>
            </w:pPr>
            <w:r>
              <w:rPr>
                <w:rFonts w:hint="eastAsia" w:ascii="宋体" w:hAnsi="宋体" w:eastAsia="宋体" w:cs="宋体"/>
                <w:sz w:val="24"/>
              </w:rPr>
              <w:t>通讯费</w:t>
            </w:r>
          </w:p>
        </w:tc>
        <w:tc>
          <w:tcPr>
            <w:tcW w:w="6227" w:type="dxa"/>
            <w:vAlign w:val="center"/>
          </w:tcPr>
          <w:p w14:paraId="057692C3">
            <w:pPr>
              <w:spacing w:line="360" w:lineRule="auto"/>
              <w:jc w:val="center"/>
              <w:rPr>
                <w:rFonts w:ascii="宋体" w:hAnsi="宋体" w:eastAsia="宋体" w:cs="宋体"/>
                <w:sz w:val="24"/>
              </w:rPr>
            </w:pPr>
            <w:r>
              <w:rPr>
                <w:rFonts w:hint="eastAsia" w:ascii="宋体" w:hAnsi="宋体" w:eastAsia="宋体" w:cs="宋体"/>
                <w:sz w:val="24"/>
              </w:rPr>
              <w:t>人员通讯+赛场网络</w:t>
            </w:r>
          </w:p>
        </w:tc>
      </w:tr>
    </w:tbl>
    <w:p w14:paraId="05EAAA6A">
      <w:pPr>
        <w:spacing w:line="360" w:lineRule="auto"/>
        <w:ind w:firstLine="482" w:firstLineChars="200"/>
        <w:rPr>
          <w:rFonts w:hint="eastAsia" w:ascii="宋体" w:hAnsi="宋体" w:eastAsia="宋体" w:cs="宋体"/>
          <w:b/>
          <w:bCs/>
          <w:color w:val="00B050"/>
          <w:sz w:val="24"/>
          <w:lang w:eastAsia="zh-CN"/>
        </w:rPr>
      </w:pPr>
      <w:r>
        <w:rPr>
          <w:rFonts w:hint="eastAsia" w:ascii="宋体" w:hAnsi="宋体" w:eastAsia="宋体" w:cs="宋体"/>
          <w:b/>
          <w:bCs/>
          <w:color w:val="00B050"/>
          <w:sz w:val="24"/>
        </w:rPr>
        <w:t>★（四）上饶市代表队委托组建与运营要求</w:t>
      </w:r>
      <w:r>
        <w:rPr>
          <w:rFonts w:hint="eastAsia" w:ascii="宋体" w:hAnsi="宋体" w:eastAsia="宋体" w:cs="宋体"/>
          <w:b/>
          <w:bCs/>
          <w:color w:val="00B050"/>
          <w:sz w:val="24"/>
          <w:lang w:eastAsia="zh-CN"/>
        </w:rPr>
        <w:t>（</w:t>
      </w:r>
      <w:r>
        <w:rPr>
          <w:rFonts w:hint="eastAsia" w:ascii="宋体" w:hAnsi="宋体" w:eastAsia="宋体" w:cs="宋体"/>
          <w:b/>
          <w:bCs/>
          <w:color w:val="00B050"/>
          <w:sz w:val="24"/>
        </w:rPr>
        <w:t>费用均包含在投标总价内，不额外增加预算。</w:t>
      </w:r>
      <w:r>
        <w:rPr>
          <w:rFonts w:hint="eastAsia" w:ascii="宋体" w:hAnsi="宋体" w:eastAsia="宋体" w:cs="宋体"/>
          <w:b/>
          <w:bCs/>
          <w:color w:val="00B050"/>
          <w:sz w:val="24"/>
          <w:lang w:eastAsia="zh-CN"/>
        </w:rPr>
        <w:t>）</w:t>
      </w:r>
    </w:p>
    <w:p w14:paraId="608EEB32">
      <w:pPr>
        <w:spacing w:line="360" w:lineRule="auto"/>
        <w:ind w:firstLine="482" w:firstLineChars="200"/>
        <w:rPr>
          <w:rFonts w:hint="eastAsia" w:ascii="宋体" w:hAnsi="宋体" w:eastAsia="宋体" w:cs="宋体"/>
          <w:b/>
          <w:bCs/>
          <w:color w:val="00B050"/>
          <w:sz w:val="24"/>
        </w:rPr>
      </w:pPr>
      <w:r>
        <w:rPr>
          <w:rFonts w:hint="eastAsia" w:ascii="宋体" w:hAnsi="宋体" w:eastAsia="宋体" w:cs="宋体"/>
          <w:b/>
          <w:bCs/>
          <w:color w:val="00B050"/>
          <w:sz w:val="24"/>
          <w:lang w:val="en-US" w:eastAsia="zh-CN"/>
        </w:rPr>
        <w:t>1.</w:t>
      </w:r>
      <w:r>
        <w:rPr>
          <w:rFonts w:hint="eastAsia" w:ascii="宋体" w:hAnsi="宋体" w:eastAsia="宋体" w:cs="宋体"/>
          <w:b/>
          <w:bCs/>
          <w:color w:val="00B050"/>
          <w:sz w:val="24"/>
        </w:rPr>
        <w:t>中标人须为上饶市组建 1 支职业台球代表队，代表上饶参加本次 CBL 联赛全部主场及客场赛事。</w:t>
      </w:r>
    </w:p>
    <w:p w14:paraId="17CC7805">
      <w:pPr>
        <w:spacing w:line="360" w:lineRule="auto"/>
        <w:ind w:firstLine="482" w:firstLineChars="200"/>
        <w:rPr>
          <w:rFonts w:hint="eastAsia" w:ascii="宋体" w:hAnsi="宋体" w:eastAsia="宋体" w:cs="宋体"/>
          <w:b/>
          <w:bCs/>
          <w:color w:val="00B050"/>
          <w:sz w:val="24"/>
        </w:rPr>
      </w:pPr>
      <w:r>
        <w:rPr>
          <w:rFonts w:hint="eastAsia" w:ascii="宋体" w:hAnsi="宋体" w:eastAsia="宋体" w:cs="宋体"/>
          <w:b/>
          <w:bCs/>
          <w:color w:val="00B050"/>
          <w:sz w:val="24"/>
          <w:lang w:val="en-US" w:eastAsia="zh-CN"/>
        </w:rPr>
        <w:t>2.</w:t>
      </w:r>
      <w:r>
        <w:rPr>
          <w:rFonts w:hint="eastAsia" w:ascii="宋体" w:hAnsi="宋体" w:eastAsia="宋体" w:cs="宋体"/>
          <w:b/>
          <w:bCs/>
          <w:color w:val="00B050"/>
          <w:sz w:val="24"/>
        </w:rPr>
        <w:t>球队由中标人全权负责球员选拔、签约、训练、竞赛、后勤、商务、成绩管理，接受教体局监督。</w:t>
      </w:r>
    </w:p>
    <w:p w14:paraId="0B9E2533">
      <w:pPr>
        <w:spacing w:line="360" w:lineRule="auto"/>
        <w:ind w:firstLine="482" w:firstLineChars="200"/>
        <w:rPr>
          <w:rFonts w:hint="eastAsia" w:ascii="宋体" w:hAnsi="宋体" w:eastAsia="宋体" w:cs="宋体"/>
          <w:b/>
          <w:bCs/>
          <w:color w:val="00B050"/>
          <w:sz w:val="24"/>
        </w:rPr>
      </w:pPr>
      <w:r>
        <w:rPr>
          <w:rFonts w:hint="eastAsia" w:ascii="宋体" w:hAnsi="宋体" w:eastAsia="宋体" w:cs="宋体"/>
          <w:b/>
          <w:bCs/>
          <w:color w:val="00B050"/>
          <w:sz w:val="24"/>
          <w:lang w:val="en-US" w:eastAsia="zh-CN"/>
        </w:rPr>
        <w:t>3.</w:t>
      </w:r>
      <w:r>
        <w:rPr>
          <w:rFonts w:hint="eastAsia" w:ascii="宋体" w:hAnsi="宋体" w:eastAsia="宋体" w:cs="宋体"/>
          <w:b/>
          <w:bCs/>
          <w:color w:val="00B050"/>
          <w:sz w:val="24"/>
        </w:rPr>
        <w:t>球队须符合中国台球协会及 CBL 联赛参赛资格，确保合规参赛。</w:t>
      </w:r>
    </w:p>
    <w:p w14:paraId="6D56DB83">
      <w:pPr>
        <w:spacing w:line="360" w:lineRule="auto"/>
        <w:ind w:firstLine="482" w:firstLineChars="200"/>
        <w:rPr>
          <w:rFonts w:hint="eastAsia" w:ascii="宋体" w:hAnsi="宋体" w:eastAsia="宋体" w:cs="宋体"/>
          <w:b/>
          <w:bCs/>
          <w:color w:val="00B050"/>
          <w:sz w:val="24"/>
        </w:rPr>
      </w:pPr>
      <w:r>
        <w:rPr>
          <w:rFonts w:hint="eastAsia" w:ascii="宋体" w:hAnsi="宋体" w:eastAsia="宋体" w:cs="宋体"/>
          <w:b/>
          <w:bCs/>
          <w:color w:val="00B050"/>
          <w:sz w:val="24"/>
          <w:lang w:val="en-US" w:eastAsia="zh-CN"/>
        </w:rPr>
        <w:t>4.</w:t>
      </w:r>
      <w:r>
        <w:rPr>
          <w:rFonts w:hint="eastAsia" w:ascii="宋体" w:hAnsi="宋体" w:eastAsia="宋体" w:cs="宋体"/>
          <w:b/>
          <w:bCs/>
          <w:color w:val="00B050"/>
          <w:sz w:val="24"/>
        </w:rPr>
        <w:t>中标人须提交球队组建方案、球员名单、训练计划、竞赛目标、安全管理、经费使用计划，经采购人审核通过后方可执行。</w:t>
      </w:r>
    </w:p>
    <w:p w14:paraId="487C9BC1">
      <w:pPr>
        <w:spacing w:line="360" w:lineRule="auto"/>
        <w:ind w:firstLine="482" w:firstLineChars="200"/>
        <w:rPr>
          <w:rFonts w:ascii="宋体" w:hAnsi="宋体" w:eastAsia="宋体" w:cs="宋体"/>
          <w:sz w:val="24"/>
        </w:rPr>
      </w:pPr>
      <w:r>
        <w:rPr>
          <w:rFonts w:hint="eastAsia" w:ascii="宋体" w:hAnsi="宋体" w:eastAsia="宋体" w:cs="宋体"/>
          <w:b/>
          <w:bCs/>
          <w:color w:val="00B050"/>
          <w:sz w:val="24"/>
          <w:lang w:val="en-US" w:eastAsia="zh-CN"/>
        </w:rPr>
        <w:t>5.</w:t>
      </w:r>
      <w:r>
        <w:rPr>
          <w:rFonts w:hint="eastAsia" w:ascii="宋体" w:hAnsi="宋体" w:eastAsia="宋体" w:cs="宋体"/>
          <w:b/>
          <w:bCs/>
          <w:color w:val="00B050"/>
          <w:sz w:val="24"/>
        </w:rPr>
        <w:t>赛事主场执行、转播、宣传、接待等仍按原招标文件要求执行。</w:t>
      </w:r>
    </w:p>
    <w:p w14:paraId="2B020683">
      <w:pPr>
        <w:spacing w:line="360" w:lineRule="auto"/>
        <w:ind w:firstLine="482" w:firstLineChars="200"/>
        <w:rPr>
          <w:rFonts w:hint="eastAsia" w:ascii="宋体" w:hAnsi="宋体" w:eastAsia="宋体" w:cs="宋体"/>
          <w:b/>
          <w:bCs/>
          <w:color w:val="00B050"/>
          <w:sz w:val="24"/>
          <w:lang w:eastAsia="zh-CN"/>
        </w:rPr>
      </w:pPr>
      <w:r>
        <w:rPr>
          <w:rFonts w:hint="eastAsia" w:ascii="宋体" w:hAnsi="宋体" w:eastAsia="宋体" w:cs="宋体"/>
          <w:b/>
          <w:bCs/>
          <w:color w:val="00B050"/>
          <w:sz w:val="24"/>
          <w:lang w:eastAsia="zh-CN"/>
        </w:rPr>
        <w:t>注：未尽事宜在签订合同时约定。</w:t>
      </w:r>
    </w:p>
    <w:p w14:paraId="624028A8">
      <w:pPr>
        <w:spacing w:line="360" w:lineRule="auto"/>
        <w:ind w:firstLine="480" w:firstLineChars="200"/>
        <w:rPr>
          <w:rFonts w:ascii="宋体" w:hAnsi="宋体" w:cs="宋体"/>
          <w:sz w:val="24"/>
          <w:lang w:eastAsia="zh-CN"/>
        </w:rPr>
      </w:pPr>
    </w:p>
    <w:p w14:paraId="09BACC16">
      <w:pPr>
        <w:spacing w:line="360" w:lineRule="auto"/>
        <w:ind w:firstLine="480" w:firstLineChars="200"/>
        <w:rPr>
          <w:rFonts w:ascii="宋体" w:hAnsi="宋体" w:cs="宋体"/>
          <w:sz w:val="24"/>
          <w:lang w:eastAsia="zh-CN"/>
        </w:rPr>
      </w:pPr>
    </w:p>
    <w:p w14:paraId="651A4B3B">
      <w:pPr>
        <w:spacing w:line="360" w:lineRule="auto"/>
        <w:rPr>
          <w:lang w:eastAsia="zh-CN"/>
        </w:rPr>
      </w:pPr>
    </w:p>
    <w:p w14:paraId="2F52E809">
      <w:pPr>
        <w:pStyle w:val="3"/>
        <w:spacing w:line="259" w:lineRule="auto"/>
        <w:rPr>
          <w:lang w:eastAsia="zh-CN"/>
        </w:rPr>
      </w:pPr>
    </w:p>
    <w:p w14:paraId="2F6AD720">
      <w:pPr>
        <w:spacing w:before="78" w:line="220" w:lineRule="auto"/>
        <w:ind w:left="3865"/>
        <w:rPr>
          <w:rFonts w:ascii="宋体" w:hAnsi="宋体" w:eastAsia="宋体" w:cs="宋体"/>
          <w:b/>
          <w:bCs/>
          <w:sz w:val="28"/>
          <w:szCs w:val="28"/>
          <w:lang w:eastAsia="zh-CN"/>
        </w:rPr>
      </w:pPr>
      <w:r>
        <w:rPr>
          <w:rFonts w:ascii="宋体" w:hAnsi="宋体" w:eastAsia="宋体" w:cs="宋体"/>
          <w:b/>
          <w:bCs/>
          <w:spacing w:val="-7"/>
          <w:sz w:val="28"/>
          <w:szCs w:val="28"/>
          <w:lang w:eastAsia="zh-CN"/>
        </w:rPr>
        <w:t>二、商务要求</w:t>
      </w:r>
    </w:p>
    <w:p w14:paraId="2B4F0AEF">
      <w:pPr>
        <w:spacing w:line="360" w:lineRule="auto"/>
        <w:ind w:firstLine="480" w:firstLineChars="200"/>
        <w:rPr>
          <w:rFonts w:ascii="宋体" w:hAnsi="宋体" w:cs="宋体"/>
          <w:b/>
          <w:bCs/>
          <w:sz w:val="24"/>
          <w:lang w:eastAsia="zh-CN"/>
        </w:rPr>
      </w:pPr>
    </w:p>
    <w:p w14:paraId="22D19E34">
      <w:pPr>
        <w:spacing w:line="360" w:lineRule="auto"/>
        <w:ind w:firstLine="482" w:firstLineChars="200"/>
        <w:rPr>
          <w:rFonts w:ascii="宋体" w:hAnsi="宋体" w:eastAsia="宋体" w:cs="宋体"/>
          <w:b/>
          <w:bCs/>
          <w:sz w:val="24"/>
          <w:lang w:eastAsia="zh-CN"/>
        </w:rPr>
      </w:pPr>
      <w:r>
        <w:rPr>
          <w:rFonts w:hint="eastAsia" w:ascii="宋体" w:hAnsi="宋体" w:eastAsia="宋体" w:cs="宋体"/>
          <w:b/>
          <w:bCs/>
          <w:sz w:val="24"/>
          <w:lang w:eastAsia="zh-CN"/>
        </w:rPr>
        <w:t>（一）赛事时间及实施地点</w:t>
      </w:r>
    </w:p>
    <w:p w14:paraId="50EBF4ED">
      <w:pPr>
        <w:spacing w:line="360" w:lineRule="auto"/>
        <w:ind w:firstLine="480" w:firstLineChars="200"/>
        <w:rPr>
          <w:rFonts w:hint="eastAsia" w:ascii="宋体" w:hAnsi="宋体" w:eastAsia="宋体" w:cs="宋体"/>
          <w:color w:val="C00000"/>
          <w:sz w:val="24"/>
          <w:lang w:eastAsia="zh-CN"/>
        </w:rPr>
      </w:pPr>
      <w:r>
        <w:rPr>
          <w:rFonts w:hint="eastAsia" w:ascii="宋体" w:hAnsi="宋体" w:eastAsia="宋体" w:cs="宋体"/>
          <w:sz w:val="24"/>
          <w:lang w:eastAsia="zh-CN"/>
        </w:rPr>
        <w:t>赛事时间：</w:t>
      </w:r>
      <w:r>
        <w:rPr>
          <w:rFonts w:hint="eastAsia" w:ascii="宋体" w:hAnsi="宋体" w:eastAsia="宋体" w:cs="宋体"/>
          <w:color w:val="C00000"/>
          <w:sz w:val="24"/>
          <w:lang w:eastAsia="zh-CN"/>
        </w:rPr>
        <w:t>2026年</w:t>
      </w:r>
      <w:r>
        <w:rPr>
          <w:rFonts w:hint="eastAsia" w:ascii="宋体" w:hAnsi="宋体" w:eastAsia="宋体" w:cs="宋体"/>
          <w:color w:val="C00000"/>
          <w:sz w:val="24"/>
          <w:lang w:val="en-US" w:eastAsia="zh-CN"/>
        </w:rPr>
        <w:t>6</w:t>
      </w:r>
      <w:r>
        <w:rPr>
          <w:rFonts w:hint="eastAsia" w:ascii="宋体" w:hAnsi="宋体" w:eastAsia="宋体" w:cs="宋体"/>
          <w:color w:val="C00000"/>
          <w:sz w:val="24"/>
          <w:lang w:eastAsia="zh-CN"/>
        </w:rPr>
        <w:t>月-12月</w:t>
      </w:r>
    </w:p>
    <w:p w14:paraId="57F49351">
      <w:pPr>
        <w:spacing w:line="360" w:lineRule="auto"/>
        <w:ind w:firstLine="480" w:firstLineChars="200"/>
        <w:rPr>
          <w:rFonts w:ascii="宋体" w:hAnsi="宋体" w:eastAsia="宋体" w:cs="宋体"/>
          <w:sz w:val="24"/>
          <w:lang w:eastAsia="zh-CN"/>
        </w:rPr>
      </w:pPr>
      <w:r>
        <w:rPr>
          <w:rFonts w:hint="eastAsia" w:ascii="宋体" w:hAnsi="宋体" w:eastAsia="宋体" w:cs="宋体"/>
          <w:sz w:val="24"/>
          <w:lang w:eastAsia="zh-CN"/>
        </w:rPr>
        <w:t>赛事地点：江西省上饶市信州区东市街道铁路公园邻里中心</w:t>
      </w:r>
    </w:p>
    <w:p w14:paraId="2FC45C80">
      <w:pPr>
        <w:spacing w:line="360" w:lineRule="auto"/>
        <w:ind w:firstLine="482" w:firstLineChars="200"/>
        <w:rPr>
          <w:rFonts w:ascii="宋体" w:hAnsi="宋体" w:eastAsia="宋体" w:cs="宋体"/>
          <w:b/>
          <w:bCs/>
          <w:sz w:val="24"/>
          <w:lang w:eastAsia="zh-CN"/>
        </w:rPr>
      </w:pPr>
      <w:r>
        <w:rPr>
          <w:rFonts w:hint="eastAsia" w:ascii="宋体" w:hAnsi="宋体" w:eastAsia="宋体" w:cs="宋体"/>
          <w:b/>
          <w:bCs/>
          <w:sz w:val="24"/>
          <w:lang w:eastAsia="zh-CN"/>
        </w:rPr>
        <w:t>（二）付款方式</w:t>
      </w:r>
    </w:p>
    <w:p w14:paraId="2DBAD3DD">
      <w:pPr>
        <w:spacing w:line="360" w:lineRule="auto"/>
        <w:ind w:firstLine="480" w:firstLineChars="200"/>
        <w:rPr>
          <w:rFonts w:ascii="宋体" w:hAnsi="宋体" w:eastAsia="宋体" w:cs="宋体"/>
          <w:sz w:val="24"/>
          <w:lang w:eastAsia="zh-CN"/>
        </w:rPr>
      </w:pPr>
      <w:r>
        <w:rPr>
          <w:rFonts w:hint="eastAsia" w:ascii="宋体" w:hAnsi="宋体" w:eastAsia="宋体" w:cs="宋体"/>
          <w:sz w:val="24"/>
          <w:lang w:eastAsia="zh-CN"/>
        </w:rPr>
        <w:t>签订合同后，采购人一次性向中标供应商付100%合同款。</w:t>
      </w:r>
    </w:p>
    <w:p w14:paraId="0D87FEEF">
      <w:pPr>
        <w:spacing w:line="360" w:lineRule="auto"/>
        <w:ind w:firstLine="482" w:firstLineChars="200"/>
        <w:rPr>
          <w:rFonts w:ascii="宋体" w:hAnsi="宋体" w:eastAsia="宋体" w:cs="宋体"/>
          <w:b/>
          <w:bCs/>
          <w:sz w:val="24"/>
          <w:lang w:eastAsia="zh-CN"/>
        </w:rPr>
      </w:pPr>
      <w:r>
        <w:rPr>
          <w:rFonts w:hint="eastAsia" w:ascii="宋体" w:hAnsi="宋体" w:eastAsia="宋体" w:cs="宋体"/>
          <w:b/>
          <w:bCs/>
          <w:sz w:val="24"/>
          <w:lang w:eastAsia="zh-CN"/>
        </w:rPr>
        <w:t>（三）服务期间人员安全</w:t>
      </w:r>
    </w:p>
    <w:p w14:paraId="32B773CA">
      <w:pPr>
        <w:spacing w:line="360" w:lineRule="auto"/>
        <w:ind w:firstLine="480" w:firstLineChars="200"/>
        <w:rPr>
          <w:rFonts w:ascii="宋体" w:hAnsi="宋体" w:eastAsia="宋体" w:cs="宋体"/>
          <w:sz w:val="24"/>
          <w:lang w:eastAsia="zh-CN"/>
        </w:rPr>
      </w:pPr>
      <w:r>
        <w:rPr>
          <w:rFonts w:hint="eastAsia" w:ascii="宋体" w:hAnsi="宋体" w:eastAsia="宋体" w:cs="宋体"/>
          <w:sz w:val="24"/>
          <w:lang w:eastAsia="zh-CN"/>
        </w:rPr>
        <w:t>专业安保措施：投标供应商需为其拟派人员提供必要的安全培训，确保他们了解并遵循相关的安全规程。在赛事举办期间，投标供应商需为其人员配备必要的个人防护装备，并采取其他合理的安全措施，以保障他们的人身安全。</w:t>
      </w:r>
    </w:p>
    <w:p w14:paraId="2318ED1D">
      <w:pPr>
        <w:spacing w:line="360" w:lineRule="auto"/>
        <w:ind w:firstLine="480" w:firstLineChars="200"/>
        <w:rPr>
          <w:rFonts w:ascii="宋体" w:hAnsi="宋体" w:eastAsia="宋体" w:cs="宋体"/>
          <w:sz w:val="24"/>
          <w:lang w:eastAsia="zh-CN"/>
        </w:rPr>
      </w:pPr>
      <w:r>
        <w:rPr>
          <w:rFonts w:hint="eastAsia" w:ascii="宋体" w:hAnsi="宋体" w:eastAsia="宋体" w:cs="宋体"/>
          <w:sz w:val="24"/>
          <w:lang w:eastAsia="zh-CN"/>
        </w:rPr>
        <w:t>紧急应对计划：投标供应商需为其拟派人员制定详细的紧急应对计划，包括疏散路线、急救措施等，以应对可能发生的突发情况。在紧急情况下，投标供应商需确保其人员能够迅速有效地采取应对措施，并及时向采购人报告相关情况。</w:t>
      </w:r>
    </w:p>
    <w:p w14:paraId="4352B444">
      <w:pPr>
        <w:spacing w:line="360" w:lineRule="auto"/>
        <w:ind w:firstLine="480" w:firstLineChars="200"/>
        <w:rPr>
          <w:rFonts w:ascii="宋体" w:hAnsi="宋体" w:eastAsia="宋体" w:cs="宋体"/>
          <w:sz w:val="24"/>
          <w:lang w:eastAsia="zh-CN"/>
        </w:rPr>
      </w:pPr>
      <w:r>
        <w:rPr>
          <w:rFonts w:hint="eastAsia" w:ascii="宋体" w:hAnsi="宋体" w:eastAsia="宋体" w:cs="宋体"/>
          <w:sz w:val="24"/>
          <w:lang w:eastAsia="zh-CN"/>
        </w:rPr>
        <w:t>责任与赔偿：如因投标供应商拟派人员的疏忽或违反安全规程导致的事故或损失，投标供应商需承担全部责任，并赔偿由此给采购人或其他第三方造成的损失。</w:t>
      </w:r>
    </w:p>
    <w:p w14:paraId="6DB347FC">
      <w:pPr>
        <w:spacing w:line="360" w:lineRule="auto"/>
        <w:ind w:firstLine="482" w:firstLineChars="200"/>
        <w:rPr>
          <w:rFonts w:ascii="宋体" w:hAnsi="宋体" w:eastAsia="宋体" w:cs="宋体"/>
          <w:b/>
          <w:bCs/>
          <w:sz w:val="24"/>
          <w:lang w:eastAsia="zh-CN"/>
        </w:rPr>
      </w:pPr>
      <w:r>
        <w:rPr>
          <w:rFonts w:hint="eastAsia" w:ascii="宋体" w:hAnsi="宋体" w:eastAsia="宋体" w:cs="宋体"/>
          <w:b/>
          <w:bCs/>
          <w:sz w:val="24"/>
          <w:lang w:eastAsia="zh-CN"/>
        </w:rPr>
        <w:t>（四）服务质量保证</w:t>
      </w:r>
    </w:p>
    <w:p w14:paraId="48570F5A">
      <w:pPr>
        <w:spacing w:line="360" w:lineRule="auto"/>
        <w:ind w:firstLine="480" w:firstLineChars="200"/>
        <w:rPr>
          <w:rFonts w:ascii="宋体" w:hAnsi="宋体" w:eastAsia="宋体" w:cs="宋体"/>
          <w:sz w:val="24"/>
          <w:lang w:eastAsia="zh-CN"/>
        </w:rPr>
      </w:pPr>
      <w:r>
        <w:rPr>
          <w:rFonts w:hint="eastAsia" w:ascii="宋体" w:hAnsi="宋体" w:eastAsia="宋体" w:cs="宋体"/>
          <w:sz w:val="24"/>
          <w:lang w:eastAsia="zh-CN"/>
        </w:rPr>
        <w:t>服务标准与规范：投标供应商需明确服务标准与规范，确保服务符合采购人的期望和要求。</w:t>
      </w:r>
    </w:p>
    <w:p w14:paraId="32694874">
      <w:pPr>
        <w:spacing w:line="360" w:lineRule="auto"/>
        <w:ind w:firstLine="480" w:firstLineChars="200"/>
        <w:rPr>
          <w:rFonts w:ascii="宋体" w:hAnsi="宋体" w:eastAsia="宋体" w:cs="宋体"/>
          <w:sz w:val="24"/>
          <w:lang w:eastAsia="zh-CN"/>
        </w:rPr>
      </w:pPr>
      <w:r>
        <w:rPr>
          <w:rFonts w:hint="eastAsia" w:ascii="宋体" w:hAnsi="宋体" w:eastAsia="宋体" w:cs="宋体"/>
          <w:sz w:val="24"/>
          <w:lang w:eastAsia="zh-CN"/>
        </w:rPr>
        <w:t>成果审核：采购人有权对投标供应商提交的服务成果进行审核，如不符合要求，投标供应商需按照采购人的意见进行修改和完善。</w:t>
      </w:r>
    </w:p>
    <w:p w14:paraId="6BCB5985">
      <w:pPr>
        <w:spacing w:line="360" w:lineRule="auto"/>
        <w:ind w:firstLine="482" w:firstLineChars="200"/>
        <w:rPr>
          <w:rFonts w:ascii="宋体" w:hAnsi="宋体" w:eastAsia="宋体" w:cs="宋体"/>
          <w:b/>
          <w:bCs/>
          <w:sz w:val="24"/>
          <w:lang w:eastAsia="zh-CN"/>
        </w:rPr>
      </w:pPr>
      <w:r>
        <w:rPr>
          <w:rFonts w:hint="eastAsia" w:ascii="宋体" w:hAnsi="宋体" w:eastAsia="宋体" w:cs="宋体"/>
          <w:b/>
          <w:bCs/>
          <w:sz w:val="24"/>
          <w:lang w:eastAsia="zh-CN"/>
        </w:rPr>
        <w:t>（五）责任与赔偿</w:t>
      </w:r>
    </w:p>
    <w:p w14:paraId="597DE499">
      <w:pPr>
        <w:spacing w:line="360" w:lineRule="auto"/>
        <w:ind w:firstLine="480" w:firstLineChars="200"/>
        <w:rPr>
          <w:rFonts w:ascii="宋体" w:hAnsi="宋体" w:eastAsia="宋体" w:cs="宋体"/>
          <w:sz w:val="24"/>
          <w:lang w:eastAsia="zh-CN"/>
        </w:rPr>
      </w:pPr>
      <w:r>
        <w:rPr>
          <w:rFonts w:hint="eastAsia" w:ascii="宋体" w:hAnsi="宋体" w:eastAsia="宋体" w:cs="宋体"/>
          <w:sz w:val="24"/>
          <w:lang w:eastAsia="zh-CN"/>
        </w:rPr>
        <w:t>服务质量责任：如因投标供应商服务质量问题导致采购人损失，投标供应商需承担相应的赔偿责任。</w:t>
      </w:r>
    </w:p>
    <w:p w14:paraId="21874584">
      <w:pPr>
        <w:spacing w:line="360" w:lineRule="auto"/>
        <w:ind w:firstLine="480" w:firstLineChars="200"/>
        <w:rPr>
          <w:rFonts w:hint="eastAsia" w:ascii="宋体" w:hAnsi="宋体" w:eastAsia="宋体" w:cs="宋体"/>
          <w:sz w:val="24"/>
          <w:lang w:eastAsia="zh-CN"/>
        </w:rPr>
      </w:pPr>
      <w:r>
        <w:rPr>
          <w:rFonts w:hint="eastAsia" w:ascii="宋体" w:hAnsi="宋体" w:eastAsia="宋体" w:cs="宋体"/>
          <w:sz w:val="24"/>
          <w:lang w:eastAsia="zh-CN"/>
        </w:rPr>
        <w:t>侵权责任：投标供应商需确保提供的服务不侵犯任何第三方的权益，如发生侵权纠纷，投标供应商需承担全部责任。</w:t>
      </w:r>
    </w:p>
    <w:p w14:paraId="5C1D0114">
      <w:pPr>
        <w:spacing w:before="78" w:line="220" w:lineRule="auto"/>
        <w:rPr>
          <w:rFonts w:ascii="宋体" w:hAnsi="宋体" w:eastAsia="宋体" w:cs="宋体"/>
          <w:sz w:val="24"/>
          <w:szCs w:val="24"/>
          <w:lang w:eastAsia="zh-CN"/>
        </w:rPr>
        <w:sectPr>
          <w:footerReference r:id="rId3" w:type="default"/>
          <w:pgSz w:w="11906" w:h="16839"/>
          <w:pgMar w:top="400" w:right="1320" w:bottom="1214" w:left="1315" w:header="0" w:footer="968" w:gutter="0"/>
          <w:cols w:space="720" w:num="1"/>
        </w:sectPr>
      </w:pPr>
      <w:r>
        <w:rPr>
          <w:rFonts w:hint="eastAsia" w:ascii="宋体" w:hAnsi="宋体" w:eastAsia="宋体" w:cs="宋体"/>
          <w:b/>
          <w:bCs/>
          <w:spacing w:val="-2"/>
          <w:sz w:val="24"/>
          <w:szCs w:val="24"/>
          <w:lang w:eastAsia="zh-CN"/>
        </w:rPr>
        <w:t>注：以上商务要求必须全部响应，否则其响应</w:t>
      </w:r>
      <w:r>
        <w:rPr>
          <w:rFonts w:hint="eastAsia" w:ascii="宋体" w:hAnsi="宋体" w:eastAsia="宋体" w:cs="宋体"/>
          <w:b/>
          <w:bCs/>
          <w:spacing w:val="-3"/>
          <w:sz w:val="24"/>
          <w:szCs w:val="24"/>
          <w:lang w:eastAsia="zh-CN"/>
        </w:rPr>
        <w:t>无效。</w:t>
      </w:r>
    </w:p>
    <w:p w14:paraId="0CBD95FA">
      <w:bookmarkStart w:id="5" w:name="_GoBack"/>
      <w:bookmarkEnd w:id="5"/>
    </w:p>
    <w:sectPr>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Segoe UI Symbol">
    <w:panose1 w:val="020B0502040204020203"/>
    <w:charset w:val="00"/>
    <w:family w:val="swiss"/>
    <w:pitch w:val="default"/>
    <w:sig w:usb0="8000006F" w:usb1="1200FBEF" w:usb2="0064C000" w:usb3="00000002" w:csb0="00000001" w:csb1="4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B914E2">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30A314B">
                          <w:pPr>
                            <w:pStyle w:val="4"/>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230A314B">
                    <w:pPr>
                      <w:pStyle w:val="4"/>
                    </w:pPr>
                    <w:r>
                      <w:fldChar w:fldCharType="begin"/>
                    </w:r>
                    <w:r>
                      <w:instrText xml:space="preserve"> PAGE  \* MERGEFORMAT </w:instrText>
                    </w:r>
                    <w:r>
                      <w:fldChar w:fldCharType="separate"/>
                    </w:r>
                    <w:r>
                      <w:t>62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8543BF">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B162F68">
                          <w:pPr>
                            <w:pStyle w:val="4"/>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rBCXA3AgAAcQ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BawQlwNwIAAHEEAAAOAAAAAAAAAAEAIAAAAB8BAABkcnMvZTJvRG9jLnht&#10;bFBLBQYAAAAABgAGAFkBAADIBQAAAAA=&#10;">
              <v:fill on="f" focussize="0,0"/>
              <v:stroke on="f" weight="0.5pt"/>
              <v:imagedata o:title=""/>
              <o:lock v:ext="edit" aspectratio="f"/>
              <v:textbox inset="0mm,0mm,0mm,0mm" style="mso-fit-shape-to-text:t;">
                <w:txbxContent>
                  <w:p w14:paraId="2B162F68">
                    <w:pPr>
                      <w:pStyle w:val="4"/>
                    </w:pPr>
                    <w:r>
                      <w:fldChar w:fldCharType="begin"/>
                    </w:r>
                    <w:r>
                      <w:instrText xml:space="preserve"> PAGE  \* MERGEFORMAT </w:instrText>
                    </w:r>
                    <w:r>
                      <w:fldChar w:fldCharType="separate"/>
                    </w:r>
                    <w:r>
                      <w:t>62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AC3788D"/>
    <w:rsid w:val="0AC378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2">
    <w:name w:val="正文-公1"/>
    <w:basedOn w:val="1"/>
    <w:qFormat/>
    <w:uiPriority w:val="0"/>
    <w:pPr>
      <w:ind w:firstLine="200" w:firstLineChars="200"/>
    </w:pPr>
  </w:style>
  <w:style w:type="paragraph" w:styleId="3">
    <w:name w:val="Body Text"/>
    <w:basedOn w:val="1"/>
    <w:next w:val="1"/>
    <w:semiHidden/>
    <w:qFormat/>
    <w:uiPriority w:val="0"/>
  </w:style>
  <w:style w:type="paragraph" w:styleId="4">
    <w:name w:val="footer"/>
    <w:basedOn w:val="1"/>
    <w:qFormat/>
    <w:uiPriority w:val="0"/>
    <w:pPr>
      <w:tabs>
        <w:tab w:val="center" w:pos="4153"/>
        <w:tab w:val="right" w:pos="8306"/>
      </w:tabs>
    </w:pPr>
    <w:rPr>
      <w:sz w:val="18"/>
    </w:rPr>
  </w:style>
  <w:style w:type="table" w:styleId="6">
    <w:name w:val="Table Grid"/>
    <w:basedOn w:val="5"/>
    <w:qFormat/>
    <w:uiPriority w:val="3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Table Text"/>
    <w:basedOn w:val="1"/>
    <w:semiHidden/>
    <w:qFormat/>
    <w:uiPriority w:val="0"/>
    <w:rPr>
      <w:rFonts w:ascii="宋体" w:hAnsi="宋体" w:eastAsia="宋体" w:cs="宋体"/>
      <w:sz w:val="24"/>
      <w:szCs w:val="24"/>
    </w:rPr>
  </w:style>
  <w:style w:type="table" w:customStyle="1" w:styleId="9">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Office_12.1.0.25860_F1E327BC-269C-435d-A152-05C5408002CA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2026-05-12T09:47:00Z</dcterms:created>
  <dc:creator>嘎嘎～</dc:creator>
  <cp:lastModifiedBy>嘎嘎～</cp:lastModifiedBy>
  <dcterms:modified xsi:type="dcterms:W3CDTF">2026-05-12T09:51:50Z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2052-12.1.0.25860</vt:lpwstr>
  </property>
  <property fmtid="{D5CDD505-2E9C-101B-9397-08002B2CF9AE}" pid="3" name="ICV">
    <vt:lpwstr>6585CE2947BD45F695EC17495987BC80_11</vt:lpwstr>
  </property>
  <property fmtid="{D5CDD505-2E9C-101B-9397-08002B2CF9AE}" pid="4" name="KSOTemplateDocerSaveRecord">
    <vt:lpwstr>eyJoZGlkIjoiMzQyMTUyZDA3NTBjMDgyNGVmODg0NzM5YjEwNWQ5YzgiLCJ1c2VySWQiOiI0MDczNzkxMjkifQ==</vt:lpwstr>
  </property>
</Properties>
</file>