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0355A984">
      <w:pPr>
        <w:keepNext w:val="0"/>
        <w:keepLines w:val="0"/>
        <w:pageBreakBefore w:val="0"/>
        <w:widowControl/>
        <w:kinsoku w:val="0"/>
        <w:wordWrap/>
        <w:overflowPunct/>
        <w:topLinePunct w:val="0"/>
        <w:autoSpaceDE w:val="0"/>
        <w:autoSpaceDN w:val="0"/>
        <w:bidi w:val="0"/>
        <w:adjustRightInd w:val="0"/>
        <w:snapToGrid w:val="0"/>
        <w:spacing w:line="460" w:lineRule="exact"/>
        <w:jc w:val="left"/>
        <w:textAlignment w:val="baseline"/>
        <w:rPr>
          <w:rFonts w:ascii="仿宋" w:hAnsi="仿宋" w:eastAsia="仿宋" w:cs="宋体"/>
          <w:color w:val="auto"/>
          <w:kern w:val="0"/>
          <w:sz w:val="27"/>
          <w:szCs w:val="27"/>
        </w:rPr>
      </w:pPr>
      <w:r>
        <w:rPr>
          <w:rFonts w:hint="eastAsia" w:ascii="仿宋" w:hAnsi="仿宋" w:eastAsia="仿宋" w:cs="宋体"/>
          <w:color w:val="auto"/>
          <w:kern w:val="0"/>
          <w:sz w:val="27"/>
          <w:szCs w:val="27"/>
        </w:rPr>
        <w:t>1</w:t>
      </w:r>
      <w:r>
        <w:rPr>
          <w:rFonts w:hint="eastAsia" w:ascii="仿宋" w:hAnsi="仿宋" w:eastAsia="仿宋" w:cs="宋体"/>
          <w:color w:val="auto"/>
          <w:kern w:val="0"/>
          <w:sz w:val="27"/>
          <w:szCs w:val="27"/>
          <w:lang w:val="en-US" w:eastAsia="zh-CN"/>
        </w:rPr>
        <w:t>.</w:t>
      </w:r>
      <w:r>
        <w:rPr>
          <w:rFonts w:hint="eastAsia" w:ascii="仿宋" w:hAnsi="仿宋" w:eastAsia="仿宋" w:cs="宋体"/>
          <w:color w:val="auto"/>
          <w:kern w:val="0"/>
          <w:sz w:val="27"/>
          <w:szCs w:val="27"/>
        </w:rPr>
        <w:t>响应供应商须</w:t>
      </w:r>
      <w:r>
        <w:rPr>
          <w:rFonts w:hint="eastAsia" w:ascii="仿宋" w:hAnsi="仿宋" w:eastAsia="仿宋"/>
          <w:color w:val="auto"/>
          <w:sz w:val="27"/>
          <w:szCs w:val="27"/>
        </w:rPr>
        <w:t>提供符合国家最新相关标准的服务</w:t>
      </w:r>
      <w:r>
        <w:rPr>
          <w:rFonts w:hint="eastAsia" w:ascii="仿宋" w:hAnsi="仿宋" w:eastAsia="仿宋" w:cs="宋体"/>
          <w:color w:val="auto"/>
          <w:kern w:val="0"/>
          <w:sz w:val="27"/>
          <w:szCs w:val="27"/>
        </w:rPr>
        <w:t>。</w:t>
      </w:r>
    </w:p>
    <w:p w14:paraId="6359824F">
      <w:pPr>
        <w:keepNext w:val="0"/>
        <w:keepLines w:val="0"/>
        <w:pageBreakBefore w:val="0"/>
        <w:widowControl/>
        <w:kinsoku w:val="0"/>
        <w:wordWrap/>
        <w:overflowPunct/>
        <w:topLinePunct w:val="0"/>
        <w:autoSpaceDE w:val="0"/>
        <w:autoSpaceDN w:val="0"/>
        <w:bidi w:val="0"/>
        <w:adjustRightInd w:val="0"/>
        <w:snapToGrid w:val="0"/>
        <w:spacing w:line="460" w:lineRule="exact"/>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lang w:val="en-US" w:eastAsia="zh-CN"/>
        </w:rPr>
        <w:t>2.</w:t>
      </w:r>
      <w:r>
        <w:rPr>
          <w:rFonts w:hint="eastAsia" w:ascii="仿宋" w:hAnsi="仿宋" w:eastAsia="仿宋" w:cs="宋体"/>
          <w:color w:val="auto"/>
          <w:kern w:val="0"/>
          <w:sz w:val="27"/>
          <w:szCs w:val="27"/>
        </w:rPr>
        <w:t>服务如为某单位的专利，请响应供应商在答疑期内告知政府采购代理机构。所有服务的知识产权问题，由各响应供应商自行负责。响应供应商须保障采购人在使用该服务或其任何一部分时不受到第三方关于侵犯专利权、商标权或设计权等知识产权的指控。如有任何第三方提出侵权指控均与采购人无关，响应供应商须与第三方交涉并承担可能发生的责任与一切费用。如采购人因此而遭致损失的，响应供应商应赔偿该损失。</w:t>
      </w:r>
    </w:p>
    <w:p w14:paraId="220B7492">
      <w:pPr>
        <w:keepNext w:val="0"/>
        <w:keepLines w:val="0"/>
        <w:pageBreakBefore w:val="0"/>
        <w:widowControl/>
        <w:kinsoku w:val="0"/>
        <w:wordWrap/>
        <w:overflowPunct/>
        <w:topLinePunct w:val="0"/>
        <w:autoSpaceDE w:val="0"/>
        <w:autoSpaceDN w:val="0"/>
        <w:bidi w:val="0"/>
        <w:adjustRightInd w:val="0"/>
        <w:snapToGrid w:val="0"/>
        <w:spacing w:line="460" w:lineRule="exact"/>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lang w:val="en-US" w:eastAsia="zh-CN"/>
        </w:rPr>
        <w:t>3.</w:t>
      </w:r>
      <w:r>
        <w:rPr>
          <w:rFonts w:hint="eastAsia" w:ascii="仿宋" w:hAnsi="仿宋" w:eastAsia="仿宋" w:cs="宋体"/>
          <w:color w:val="auto"/>
          <w:kern w:val="0"/>
          <w:sz w:val="27"/>
          <w:szCs w:val="27"/>
        </w:rPr>
        <w:t>本磋商文件提出的是最低限度的要求，响应供应商的方案应达到或优于本磋商文件要求，且符合国家有关标准和规范要求。本部分“三、采购项目需求”均属于不允许负偏离的实质性要求和条件。</w:t>
      </w:r>
    </w:p>
    <w:p w14:paraId="2A191DF2">
      <w:pPr>
        <w:keepNext w:val="0"/>
        <w:keepLines w:val="0"/>
        <w:pageBreakBefore w:val="0"/>
        <w:widowControl/>
        <w:kinsoku w:val="0"/>
        <w:wordWrap/>
        <w:overflowPunct/>
        <w:topLinePunct w:val="0"/>
        <w:autoSpaceDE w:val="0"/>
        <w:autoSpaceDN w:val="0"/>
        <w:bidi w:val="0"/>
        <w:adjustRightInd w:val="0"/>
        <w:snapToGrid w:val="0"/>
        <w:spacing w:line="460" w:lineRule="exact"/>
        <w:jc w:val="left"/>
        <w:textAlignment w:val="baseline"/>
        <w:rPr>
          <w:rFonts w:hint="default" w:ascii="仿宋" w:hAnsi="仿宋" w:eastAsia="仿宋" w:cs="宋体"/>
          <w:color w:val="auto"/>
          <w:kern w:val="0"/>
          <w:sz w:val="27"/>
          <w:szCs w:val="27"/>
          <w:lang w:val="en-US" w:eastAsia="zh-CN"/>
        </w:rPr>
      </w:pPr>
      <w:r>
        <w:rPr>
          <w:rFonts w:hint="eastAsia" w:ascii="仿宋" w:hAnsi="仿宋" w:eastAsia="仿宋" w:cs="宋体"/>
          <w:color w:val="auto"/>
          <w:kern w:val="0"/>
          <w:sz w:val="27"/>
          <w:szCs w:val="27"/>
          <w:lang w:val="en-US" w:eastAsia="zh-CN"/>
        </w:rPr>
        <w:t>4.服务内容及要求</w:t>
      </w:r>
    </w:p>
    <w:p w14:paraId="38ADE75E">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（1）养护、维修作业必须按照《中华人民共和国公路法</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公路安全保护条例</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公路养护技术规范</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公路桥涵养护规范》（JTG5120-2021）、《公路养护安全作业流程</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农村公路日常养护规范</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DB 3607/T 011-2023</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赣州市人民政府《关于全面加强农村公路养护管理的实施意见》、定南县人民政府办公室《关于印发定南县深化农村公路管理养护体制改革实施方案的通知》</w:t>
      </w:r>
      <w:r>
        <w:rPr>
          <w:rFonts w:hint="eastAsia" w:ascii="仿宋" w:hAnsi="仿宋" w:eastAsia="仿宋" w:cs="宋体"/>
          <w:color w:val="auto"/>
          <w:kern w:val="0"/>
          <w:sz w:val="27"/>
          <w:szCs w:val="27"/>
          <w:lang w:eastAsia="zh-CN"/>
        </w:rPr>
        <w:t>（定府办字〔</w:t>
      </w:r>
      <w:r>
        <w:rPr>
          <w:rFonts w:hint="eastAsia" w:ascii="仿宋" w:hAnsi="仿宋" w:eastAsia="仿宋" w:cs="宋体"/>
          <w:color w:val="auto"/>
          <w:kern w:val="0"/>
          <w:sz w:val="27"/>
          <w:szCs w:val="27"/>
          <w:lang w:val="en-US" w:eastAsia="zh-CN"/>
        </w:rPr>
        <w:t>2021</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19号）</w:t>
      </w:r>
      <w:r>
        <w:rPr>
          <w:rFonts w:hint="eastAsia" w:ascii="仿宋" w:hAnsi="仿宋" w:eastAsia="仿宋" w:cs="宋体"/>
          <w:color w:val="auto"/>
          <w:kern w:val="0"/>
          <w:sz w:val="27"/>
          <w:szCs w:val="27"/>
        </w:rPr>
        <w:t>规定要求执行，合同期内国家或上级主管部门、县交通运输局、定南县</w:t>
      </w:r>
      <w:r>
        <w:rPr>
          <w:rFonts w:hint="eastAsia" w:ascii="仿宋" w:hAnsi="仿宋" w:eastAsia="仿宋" w:cs="宋体"/>
          <w:color w:val="auto"/>
          <w:kern w:val="0"/>
          <w:sz w:val="27"/>
          <w:szCs w:val="27"/>
          <w:lang w:val="en-US" w:eastAsia="zh-CN"/>
        </w:rPr>
        <w:t>龙塘</w:t>
      </w:r>
      <w:r>
        <w:rPr>
          <w:rFonts w:hint="eastAsia" w:ascii="仿宋" w:hAnsi="仿宋" w:eastAsia="仿宋" w:cs="宋体"/>
          <w:color w:val="auto"/>
          <w:kern w:val="0"/>
          <w:sz w:val="27"/>
          <w:szCs w:val="27"/>
          <w:lang w:eastAsia="zh-CN"/>
        </w:rPr>
        <w:t>镇</w:t>
      </w:r>
      <w:r>
        <w:rPr>
          <w:rFonts w:hint="eastAsia" w:ascii="仿宋" w:hAnsi="仿宋" w:eastAsia="仿宋" w:cs="宋体"/>
          <w:color w:val="auto"/>
          <w:kern w:val="0"/>
          <w:sz w:val="27"/>
          <w:szCs w:val="27"/>
        </w:rPr>
        <w:t>人民政府如出台新的规范、规定、方案</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按新的规范、规定、方案执行，同时养护质量必须达到评定良路的标准要求。</w:t>
      </w:r>
    </w:p>
    <w:p w14:paraId="69D5946F">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（2）费用组成：</w:t>
      </w:r>
    </w:p>
    <w:p w14:paraId="7F8BB877">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①日常工作包括：整修路肩、路面保洁、</w:t>
      </w:r>
      <w:r>
        <w:rPr>
          <w:rFonts w:hint="eastAsia" w:ascii="仿宋" w:hAnsi="仿宋" w:eastAsia="仿宋" w:cs="宋体"/>
          <w:color w:val="auto"/>
          <w:kern w:val="0"/>
          <w:sz w:val="27"/>
          <w:szCs w:val="27"/>
          <w:lang w:val="en-US" w:eastAsia="zh-CN"/>
        </w:rPr>
        <w:t>公路绿化养护、</w:t>
      </w:r>
      <w:r>
        <w:rPr>
          <w:rFonts w:hint="eastAsia" w:ascii="仿宋" w:hAnsi="仿宋" w:eastAsia="仿宋" w:cs="宋体"/>
          <w:color w:val="auto"/>
          <w:kern w:val="0"/>
          <w:sz w:val="27"/>
          <w:szCs w:val="27"/>
        </w:rPr>
        <w:t>边沟及排水系统的疏通、桥涵养护、对公路及设施进行预防性保养和轻微损坏的修复（主要包括路面轻微受损坑槽修复、碎石等材料进行路基路面整修、公路塌方清理、桥涵水沟维修、路基修复</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道路指示牌、警告标志牌、波形护栏、中央护栏、标志、标线</w:t>
      </w:r>
      <w:r>
        <w:rPr>
          <w:rFonts w:hint="eastAsia" w:ascii="仿宋" w:hAnsi="仿宋" w:eastAsia="仿宋" w:cs="宋体"/>
          <w:color w:val="auto"/>
          <w:kern w:val="0"/>
          <w:sz w:val="27"/>
          <w:szCs w:val="27"/>
        </w:rPr>
        <w:t>等。每处超过5平米的路面维修、</w:t>
      </w:r>
      <w:r>
        <w:rPr>
          <w:rFonts w:hint="eastAsia" w:ascii="仿宋" w:hAnsi="仿宋" w:eastAsia="仿宋" w:cs="宋体"/>
          <w:color w:val="auto"/>
          <w:kern w:val="0"/>
          <w:sz w:val="27"/>
          <w:szCs w:val="27"/>
          <w:lang w:val="en-US" w:eastAsia="zh-CN"/>
        </w:rPr>
        <w:t>20</w:t>
      </w:r>
      <w:r>
        <w:rPr>
          <w:rFonts w:hint="eastAsia" w:ascii="仿宋" w:hAnsi="仿宋" w:eastAsia="仿宋" w:cs="宋体"/>
          <w:color w:val="auto"/>
          <w:kern w:val="0"/>
          <w:sz w:val="27"/>
          <w:szCs w:val="27"/>
        </w:rPr>
        <w:t>方以上碎石等材料进行路基路面整修、</w:t>
      </w:r>
      <w:r>
        <w:rPr>
          <w:rFonts w:hint="eastAsia" w:ascii="仿宋" w:hAnsi="仿宋" w:eastAsia="仿宋" w:cs="宋体"/>
          <w:color w:val="auto"/>
          <w:kern w:val="0"/>
          <w:sz w:val="27"/>
          <w:szCs w:val="27"/>
          <w:lang w:val="en-US" w:eastAsia="zh-CN"/>
        </w:rPr>
        <w:t>20</w:t>
      </w:r>
      <w:r>
        <w:rPr>
          <w:rFonts w:hint="eastAsia" w:ascii="仿宋" w:hAnsi="仿宋" w:eastAsia="仿宋" w:cs="宋体"/>
          <w:color w:val="auto"/>
          <w:kern w:val="0"/>
          <w:sz w:val="27"/>
          <w:szCs w:val="27"/>
        </w:rPr>
        <w:t>方以上的公路塌方清理、桥涵水沟维修、路基修复</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新增道路指示牌、警告标志牌、波形护栏、中央护栏、标志、标线</w:t>
      </w:r>
      <w:r>
        <w:rPr>
          <w:rFonts w:hint="eastAsia" w:ascii="仿宋" w:hAnsi="仿宋" w:eastAsia="仿宋" w:cs="宋体"/>
          <w:color w:val="auto"/>
          <w:kern w:val="0"/>
          <w:sz w:val="27"/>
          <w:szCs w:val="27"/>
        </w:rPr>
        <w:t>等，因此项存在不可预见性，经业主方批准实施以实际发生计量为准，费用从取消养护路线路段的养护费用中计取或另外申请资金计量。在上述工程量范围内</w:t>
      </w:r>
      <w:r>
        <w:rPr>
          <w:rFonts w:hint="eastAsia" w:ascii="仿宋" w:hAnsi="仿宋" w:eastAsia="仿宋" w:cs="宋体"/>
          <w:color w:val="auto"/>
          <w:kern w:val="0"/>
          <w:sz w:val="27"/>
          <w:szCs w:val="27"/>
          <w:lang w:eastAsia="zh-CN"/>
        </w:rPr>
        <w:t>属于</w:t>
      </w:r>
      <w:r>
        <w:rPr>
          <w:rFonts w:hint="eastAsia" w:ascii="仿宋" w:hAnsi="仿宋" w:eastAsia="仿宋" w:cs="宋体"/>
          <w:color w:val="auto"/>
          <w:kern w:val="0"/>
          <w:sz w:val="27"/>
          <w:szCs w:val="27"/>
        </w:rPr>
        <w:t>日常养护范畴。</w:t>
      </w:r>
    </w:p>
    <w:p w14:paraId="5E4B65E6">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②巡查、车辆、道路维修机械、人员工资保险等费用；</w:t>
      </w:r>
    </w:p>
    <w:p w14:paraId="06F2FCC0">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③</w:t>
      </w:r>
      <w:r>
        <w:rPr>
          <w:rFonts w:hint="eastAsia" w:ascii="仿宋" w:hAnsi="仿宋" w:eastAsia="仿宋" w:cs="宋体"/>
          <w:color w:val="auto"/>
          <w:kern w:val="0"/>
          <w:sz w:val="27"/>
          <w:szCs w:val="27"/>
          <w:lang w:eastAsia="zh-CN"/>
        </w:rPr>
        <w:t>其他国家和</w:t>
      </w:r>
      <w:r>
        <w:rPr>
          <w:rFonts w:hint="eastAsia" w:ascii="仿宋" w:hAnsi="仿宋" w:eastAsia="仿宋" w:cs="宋体"/>
          <w:color w:val="auto"/>
          <w:kern w:val="0"/>
          <w:sz w:val="27"/>
          <w:szCs w:val="27"/>
        </w:rPr>
        <w:t>地方性政策法规要求如提供一定的扶贫就业岗位，乙方应落实安排；</w:t>
      </w:r>
    </w:p>
    <w:p w14:paraId="413DE904">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④</w:t>
      </w:r>
      <w:r>
        <w:rPr>
          <w:rFonts w:hint="eastAsia" w:ascii="仿宋" w:hAnsi="仿宋" w:eastAsia="仿宋" w:cs="宋体"/>
          <w:color w:val="auto"/>
          <w:kern w:val="0"/>
          <w:sz w:val="27"/>
          <w:szCs w:val="27"/>
          <w:lang w:val="en-US" w:eastAsia="zh-CN"/>
        </w:rPr>
        <w:t>储</w:t>
      </w:r>
      <w:r>
        <w:rPr>
          <w:rFonts w:hint="eastAsia" w:ascii="仿宋" w:hAnsi="仿宋" w:eastAsia="仿宋" w:cs="宋体"/>
          <w:color w:val="auto"/>
          <w:kern w:val="0"/>
          <w:sz w:val="27"/>
          <w:szCs w:val="27"/>
        </w:rPr>
        <w:t>备</w:t>
      </w:r>
      <w:r>
        <w:rPr>
          <w:rFonts w:hint="eastAsia" w:ascii="仿宋" w:hAnsi="仿宋" w:eastAsia="仿宋" w:cs="宋体"/>
          <w:color w:val="auto"/>
          <w:kern w:val="0"/>
          <w:sz w:val="27"/>
          <w:szCs w:val="27"/>
          <w:lang w:val="en-US" w:eastAsia="zh-CN"/>
        </w:rPr>
        <w:t>充足的公路养护应急抢险物资和机械</w:t>
      </w:r>
      <w:r>
        <w:rPr>
          <w:rFonts w:hint="eastAsia" w:ascii="仿宋" w:hAnsi="仿宋" w:eastAsia="仿宋" w:cs="宋体"/>
          <w:color w:val="auto"/>
          <w:kern w:val="0"/>
          <w:sz w:val="27"/>
          <w:szCs w:val="27"/>
        </w:rPr>
        <w:t>。</w:t>
      </w:r>
    </w:p>
    <w:p w14:paraId="1B907EC1">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⑤具备一定组织抗洪抢险能力。</w:t>
      </w:r>
    </w:p>
    <w:p w14:paraId="1FE8F8CD">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（3）设备要求：割草机20台，装载机</w:t>
      </w:r>
      <w:r>
        <w:rPr>
          <w:rFonts w:hint="eastAsia" w:ascii="仿宋" w:hAnsi="仿宋" w:eastAsia="仿宋" w:cs="宋体"/>
          <w:color w:val="auto"/>
          <w:kern w:val="0"/>
          <w:sz w:val="27"/>
          <w:szCs w:val="27"/>
          <w:lang w:val="en-US" w:eastAsia="zh-CN"/>
        </w:rPr>
        <w:t>1</w:t>
      </w:r>
      <w:r>
        <w:rPr>
          <w:rFonts w:hint="eastAsia" w:ascii="仿宋" w:hAnsi="仿宋" w:eastAsia="仿宋" w:cs="宋体"/>
          <w:color w:val="auto"/>
          <w:kern w:val="0"/>
          <w:sz w:val="27"/>
          <w:szCs w:val="27"/>
        </w:rPr>
        <w:t>辆，挖掘机</w:t>
      </w:r>
      <w:r>
        <w:rPr>
          <w:rFonts w:hint="eastAsia" w:ascii="仿宋" w:hAnsi="仿宋" w:eastAsia="仿宋" w:cs="宋体"/>
          <w:color w:val="auto"/>
          <w:kern w:val="0"/>
          <w:sz w:val="27"/>
          <w:szCs w:val="27"/>
          <w:lang w:val="en-US" w:eastAsia="zh-CN"/>
        </w:rPr>
        <w:t>1</w:t>
      </w:r>
      <w:bookmarkStart w:id="0" w:name="_GoBack"/>
      <w:bookmarkEnd w:id="0"/>
      <w:r>
        <w:rPr>
          <w:rFonts w:hint="eastAsia" w:ascii="仿宋" w:hAnsi="仿宋" w:eastAsia="仿宋" w:cs="宋体"/>
          <w:color w:val="auto"/>
          <w:kern w:val="0"/>
          <w:sz w:val="27"/>
          <w:szCs w:val="27"/>
        </w:rPr>
        <w:t>台。</w:t>
      </w:r>
    </w:p>
    <w:p w14:paraId="1DFD10AB">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（4）人员：每6公里至少配备1名固定专业养护人员。</w:t>
      </w:r>
    </w:p>
    <w:p w14:paraId="50477520">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（5）日常养护工作内容：</w:t>
      </w:r>
    </w:p>
    <w:p w14:paraId="1808A98A">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①落实具体办公场所，每季度制订养护计划方案以公司文件的形式报送一份至定南县</w:t>
      </w:r>
      <w:r>
        <w:rPr>
          <w:rFonts w:hint="eastAsia" w:ascii="仿宋" w:hAnsi="仿宋" w:eastAsia="仿宋" w:cs="宋体"/>
          <w:color w:val="auto"/>
          <w:kern w:val="0"/>
          <w:sz w:val="27"/>
          <w:szCs w:val="27"/>
          <w:lang w:val="en-US" w:eastAsia="zh-CN"/>
        </w:rPr>
        <w:t>龙塘</w:t>
      </w:r>
      <w:r>
        <w:rPr>
          <w:rFonts w:hint="eastAsia" w:ascii="仿宋" w:hAnsi="仿宋" w:eastAsia="仿宋" w:cs="宋体"/>
          <w:color w:val="auto"/>
          <w:kern w:val="0"/>
          <w:sz w:val="27"/>
          <w:szCs w:val="27"/>
          <w:lang w:eastAsia="zh-CN"/>
        </w:rPr>
        <w:t>镇</w:t>
      </w:r>
      <w:r>
        <w:rPr>
          <w:rFonts w:hint="eastAsia" w:ascii="仿宋" w:hAnsi="仿宋" w:eastAsia="仿宋" w:cs="宋体"/>
          <w:color w:val="auto"/>
          <w:kern w:val="0"/>
          <w:sz w:val="27"/>
          <w:szCs w:val="27"/>
        </w:rPr>
        <w:t>人民政府备查。</w:t>
      </w:r>
    </w:p>
    <w:p w14:paraId="728D8F97">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②日常养护：不定期整修路肩、路面保洁、边沟及排水系统的疏通，保障路容整洁，割除路肩及后边坡的长草；定期对公路及设施进行预防性保养和轻微损坏的修复，主要包括路面轻微受损（每处5</w:t>
      </w:r>
      <w:r>
        <w:rPr>
          <w:rFonts w:hint="eastAsia" w:ascii="仿宋" w:hAnsi="仿宋" w:eastAsia="仿宋" w:cs="宋体"/>
          <w:color w:val="auto"/>
          <w:kern w:val="0"/>
          <w:sz w:val="27"/>
          <w:szCs w:val="27"/>
          <w:lang w:eastAsia="zh-CN"/>
        </w:rPr>
        <w:t>平方</w:t>
      </w:r>
      <w:r>
        <w:rPr>
          <w:rFonts w:hint="eastAsia" w:ascii="仿宋" w:hAnsi="仿宋" w:eastAsia="仿宋" w:cs="宋体"/>
          <w:color w:val="auto"/>
          <w:kern w:val="0"/>
          <w:sz w:val="27"/>
          <w:szCs w:val="27"/>
        </w:rPr>
        <w:t>米内混凝土路面维修）修复、边沟及排水系统的疏通。</w:t>
      </w:r>
    </w:p>
    <w:p w14:paraId="2335A2D0">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③争创美丽生态文明路和示范样板路，里程和公里：2条以上路线、20公里以上；</w:t>
      </w:r>
    </w:p>
    <w:p w14:paraId="66EBEC2E">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④按《公路桥涵养护规范》（JTG5120-2021）要求，定期对沿线桥涵与其他公路附属设施的日常检查保养。做好日常和经常性检查记录，并于下月2日前报公路站备查，并落实桥梁检查责任人。</w:t>
      </w:r>
    </w:p>
    <w:p w14:paraId="2DE48CB4">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⑤养护巡查：养护企业应成立养护巡查组，实行每周巡查频率不少于一次，并及时填写公路养护巡查记录及安全隐患、公路水毁巡查记录，并于下月2日前报送公路站备查。</w:t>
      </w:r>
    </w:p>
    <w:p w14:paraId="42F38503">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⑥</w:t>
      </w:r>
      <w:r>
        <w:rPr>
          <w:rFonts w:hint="eastAsia" w:ascii="仿宋" w:hAnsi="仿宋" w:eastAsia="仿宋" w:cs="宋体"/>
          <w:color w:val="auto"/>
          <w:kern w:val="0"/>
          <w:sz w:val="27"/>
          <w:szCs w:val="27"/>
          <w:lang w:eastAsia="zh-CN"/>
        </w:rPr>
        <w:t>应急抢险物资</w:t>
      </w:r>
      <w:r>
        <w:rPr>
          <w:rFonts w:hint="eastAsia" w:ascii="仿宋" w:hAnsi="仿宋" w:eastAsia="仿宋" w:cs="宋体"/>
          <w:color w:val="auto"/>
          <w:kern w:val="0"/>
          <w:sz w:val="27"/>
          <w:szCs w:val="27"/>
        </w:rPr>
        <w:t>（如安全警示牌、交通锥、彩色警示带、爆闪灯、编织袋、</w:t>
      </w:r>
      <w:r>
        <w:rPr>
          <w:rFonts w:hint="eastAsia" w:ascii="仿宋" w:hAnsi="仿宋" w:eastAsia="仿宋" w:cs="宋体"/>
          <w:color w:val="auto"/>
          <w:kern w:val="0"/>
          <w:sz w:val="27"/>
          <w:szCs w:val="27"/>
          <w:lang w:eastAsia="zh-CN"/>
        </w:rPr>
        <w:t>沙包</w:t>
      </w:r>
      <w:r>
        <w:rPr>
          <w:rFonts w:hint="eastAsia" w:ascii="仿宋" w:hAnsi="仿宋" w:eastAsia="仿宋" w:cs="宋体"/>
          <w:color w:val="auto"/>
          <w:kern w:val="0"/>
          <w:sz w:val="27"/>
          <w:szCs w:val="27"/>
        </w:rPr>
        <w:t>等）应自行配备，发生险情灾情时，应急处置中按标准设置。</w:t>
      </w:r>
    </w:p>
    <w:p w14:paraId="36F456F9">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⑦清理20m³以下的小塌方，发生险情时应立即采取措施消除安全隐患，不能立即消除的及时设立安全警示警告标志、疏导交通。不在本协议内的大中修、超过小修约定数量的水毁及路面大面积修补由甲方另行安排实施。</w:t>
      </w:r>
    </w:p>
    <w:p w14:paraId="1535A001">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⑦统一养护服装</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rPr>
        <w:t>每个养护（班组）工人上路应穿着统一养护服装（符合农村公路养护管理规定）。</w:t>
      </w:r>
    </w:p>
    <w:p w14:paraId="790E7A79">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（6）其他要求：</w:t>
      </w:r>
    </w:p>
    <w:p w14:paraId="25BDF078">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①若特殊原因（如公路升级</w:t>
      </w:r>
      <w:r>
        <w:rPr>
          <w:rFonts w:hint="eastAsia" w:ascii="仿宋" w:hAnsi="仿宋" w:eastAsia="仿宋" w:cs="宋体"/>
          <w:color w:val="auto"/>
          <w:kern w:val="0"/>
          <w:sz w:val="27"/>
          <w:szCs w:val="27"/>
          <w:lang w:eastAsia="zh-CN"/>
        </w:rPr>
        <w:t>改造</w:t>
      </w:r>
      <w:r>
        <w:rPr>
          <w:rFonts w:hint="eastAsia" w:ascii="仿宋" w:hAnsi="仿宋" w:eastAsia="仿宋" w:cs="宋体"/>
          <w:color w:val="auto"/>
          <w:kern w:val="0"/>
          <w:sz w:val="27"/>
          <w:szCs w:val="27"/>
        </w:rPr>
        <w:t>、扩建，大中修改造，行政管理单位变动等原因），将取消某路段养护，并扣除相应路段养护费用。</w:t>
      </w:r>
    </w:p>
    <w:p w14:paraId="4B90C7F9">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②接受甲方对养护工作的监督和检查。养护路段连续两次养护质量不到位的，且不按甲方通知书要求整改到位的视为自动解除县道养护合同。</w:t>
      </w:r>
    </w:p>
    <w:p w14:paraId="2A5B7A42">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③在养护生产作业中，项目实行养护总承包，即包人工、包材料、包工期、包质量、包安全。乙方养护工作范围内发生的一切安全事故，均由乙方承担全部责任，并立即报告甲方建设和主管部门。应严格按照“施工安全生产技术规范”和“安全生产操作规程”组织安全生产，消除安全隐患，确保无安全责任事故发生。采取有效措施以保护现场养护作业人员的生命、健康及安全。</w:t>
      </w:r>
    </w:p>
    <w:p w14:paraId="2B69D2F4">
      <w:pPr>
        <w:keepNext w:val="0"/>
        <w:keepLines w:val="0"/>
        <w:pageBreakBefore w:val="0"/>
        <w:widowControl/>
        <w:kinsoku w:val="0"/>
        <w:wordWrap/>
        <w:overflowPunct/>
        <w:topLinePunct w:val="0"/>
        <w:autoSpaceDE w:val="0"/>
        <w:autoSpaceDN w:val="0"/>
        <w:bidi w:val="0"/>
        <w:adjustRightInd w:val="0"/>
        <w:snapToGrid w:val="0"/>
        <w:spacing w:line="460" w:lineRule="exact"/>
        <w:ind w:firstLine="810" w:firstLineChars="3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④乙方应严格遵守国家有关解决拖欠工程款和民工工资的</w:t>
      </w:r>
      <w:r>
        <w:rPr>
          <w:rFonts w:hint="eastAsia" w:ascii="仿宋" w:hAnsi="仿宋" w:eastAsia="仿宋" w:cs="宋体"/>
          <w:color w:val="auto"/>
          <w:kern w:val="0"/>
          <w:sz w:val="27"/>
          <w:szCs w:val="27"/>
          <w:lang w:eastAsia="zh-CN"/>
        </w:rPr>
        <w:t>法律法规</w:t>
      </w:r>
      <w:r>
        <w:rPr>
          <w:rFonts w:hint="eastAsia" w:ascii="仿宋" w:hAnsi="仿宋" w:eastAsia="仿宋" w:cs="宋体"/>
          <w:color w:val="auto"/>
          <w:kern w:val="0"/>
          <w:sz w:val="27"/>
          <w:szCs w:val="27"/>
        </w:rPr>
        <w:t>，及时支付工程中的材料、设备货款及民工工资等费用。按文件要求办理农民工实名制管理，交纳农民工工资保证金，提供安全保障措施。承包人不得以任何借口拖欠材料、设备货款及民工工资等费用，如果出现此种现象，发包人有权代为支付其拖欠的材料、设备货款及民工工资，并从应付给承包人的工程款中扣除相应款项。</w:t>
      </w:r>
    </w:p>
    <w:p w14:paraId="00467336">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rPr>
      </w:pPr>
      <w:r>
        <w:rPr>
          <w:rFonts w:hint="eastAsia" w:ascii="仿宋" w:hAnsi="仿宋" w:eastAsia="仿宋" w:cs="宋体"/>
          <w:color w:val="auto"/>
          <w:kern w:val="0"/>
          <w:sz w:val="27"/>
          <w:szCs w:val="27"/>
        </w:rPr>
        <w:t>（8）日常养护工作考核：</w:t>
      </w:r>
    </w:p>
    <w:p w14:paraId="6169F91E">
      <w:pPr>
        <w:keepNext w:val="0"/>
        <w:keepLines w:val="0"/>
        <w:pageBreakBefore w:val="0"/>
        <w:widowControl/>
        <w:kinsoku w:val="0"/>
        <w:wordWrap/>
        <w:overflowPunct/>
        <w:topLinePunct w:val="0"/>
        <w:autoSpaceDE w:val="0"/>
        <w:autoSpaceDN w:val="0"/>
        <w:bidi w:val="0"/>
        <w:adjustRightInd w:val="0"/>
        <w:snapToGrid w:val="0"/>
        <w:spacing w:line="460" w:lineRule="exact"/>
        <w:ind w:firstLine="540" w:firstLineChars="200"/>
        <w:jc w:val="left"/>
        <w:textAlignment w:val="baseline"/>
        <w:rPr>
          <w:rFonts w:hint="eastAsia" w:ascii="仿宋" w:hAnsi="仿宋" w:eastAsia="仿宋" w:cs="宋体"/>
          <w:color w:val="auto"/>
          <w:kern w:val="0"/>
          <w:sz w:val="27"/>
          <w:szCs w:val="27"/>
          <w:lang w:eastAsia="zh-CN"/>
        </w:rPr>
      </w:pPr>
      <w:r>
        <w:rPr>
          <w:rFonts w:hint="eastAsia" w:ascii="仿宋" w:hAnsi="仿宋" w:eastAsia="仿宋" w:cs="宋体"/>
          <w:color w:val="auto"/>
          <w:kern w:val="0"/>
          <w:sz w:val="27"/>
          <w:szCs w:val="27"/>
        </w:rPr>
        <w:t>日常养护</w:t>
      </w:r>
      <w:r>
        <w:rPr>
          <w:rFonts w:hint="eastAsia" w:ascii="仿宋" w:hAnsi="仿宋" w:eastAsia="仿宋" w:cs="宋体"/>
          <w:color w:val="auto"/>
          <w:kern w:val="0"/>
          <w:sz w:val="27"/>
          <w:szCs w:val="27"/>
          <w:lang w:eastAsia="zh-CN"/>
        </w:rPr>
        <w:t>工作</w:t>
      </w:r>
      <w:r>
        <w:rPr>
          <w:rFonts w:hint="eastAsia" w:ascii="仿宋" w:hAnsi="仿宋" w:eastAsia="仿宋" w:cs="宋体"/>
          <w:color w:val="auto"/>
          <w:kern w:val="0"/>
          <w:sz w:val="27"/>
          <w:szCs w:val="27"/>
        </w:rPr>
        <w:t>考核详见</w:t>
      </w:r>
      <w:r>
        <w:rPr>
          <w:rFonts w:hint="eastAsia" w:ascii="仿宋" w:hAnsi="仿宋" w:eastAsia="仿宋" w:cs="宋体"/>
          <w:color w:val="auto"/>
          <w:kern w:val="0"/>
          <w:sz w:val="27"/>
          <w:szCs w:val="27"/>
          <w:lang w:val="en-US" w:eastAsia="zh-CN"/>
        </w:rPr>
        <w:t>附件</w:t>
      </w:r>
      <w:r>
        <w:rPr>
          <w:rFonts w:hint="eastAsia" w:ascii="仿宋" w:hAnsi="仿宋" w:eastAsia="仿宋" w:cs="宋体"/>
          <w:color w:val="auto"/>
          <w:kern w:val="0"/>
          <w:sz w:val="27"/>
          <w:szCs w:val="27"/>
        </w:rPr>
        <w:t>《</w:t>
      </w:r>
      <w:r>
        <w:rPr>
          <w:rFonts w:hint="eastAsia" w:ascii="仿宋" w:hAnsi="仿宋" w:eastAsia="仿宋" w:cs="宋体"/>
          <w:color w:val="auto"/>
          <w:kern w:val="0"/>
          <w:sz w:val="27"/>
          <w:szCs w:val="27"/>
          <w:lang w:val="en-US" w:eastAsia="zh-CN"/>
        </w:rPr>
        <w:t>**</w:t>
      </w:r>
      <w:r>
        <w:rPr>
          <w:rFonts w:hint="eastAsia" w:ascii="仿宋" w:hAnsi="仿宋" w:eastAsia="仿宋" w:cs="宋体"/>
          <w:color w:val="auto"/>
          <w:kern w:val="0"/>
          <w:sz w:val="27"/>
          <w:szCs w:val="27"/>
        </w:rPr>
        <w:t>年度</w:t>
      </w:r>
      <w:r>
        <w:rPr>
          <w:rFonts w:hint="eastAsia" w:ascii="仿宋" w:hAnsi="仿宋" w:eastAsia="仿宋" w:cs="宋体"/>
          <w:color w:val="auto"/>
          <w:kern w:val="0"/>
          <w:sz w:val="27"/>
          <w:szCs w:val="27"/>
          <w:lang w:val="en-US" w:eastAsia="zh-CN"/>
        </w:rPr>
        <w:t>**</w:t>
      </w:r>
      <w:r>
        <w:rPr>
          <w:rFonts w:hint="eastAsia" w:ascii="仿宋" w:hAnsi="仿宋" w:eastAsia="仿宋" w:cs="宋体"/>
          <w:color w:val="auto"/>
          <w:kern w:val="0"/>
          <w:sz w:val="27"/>
          <w:szCs w:val="27"/>
        </w:rPr>
        <w:t>月份公路养护工作考核评分表》，甲方每月对县道养护质量进行检查，每个季度依据当季三个月平均分进行得分。公路养护实行扣分制，以每条路线为单位评分，定期检查总分100分，低于90分者，每降低1分扣该路线季度养护经费总额的1%</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被扣除费用用于其他小型养护维修项目</w:t>
      </w:r>
      <w:r>
        <w:rPr>
          <w:rFonts w:hint="eastAsia" w:ascii="仿宋" w:hAnsi="仿宋" w:eastAsia="仿宋" w:cs="宋体"/>
          <w:color w:val="auto"/>
          <w:kern w:val="0"/>
          <w:sz w:val="27"/>
          <w:szCs w:val="27"/>
        </w:rPr>
        <w:t>等，因此项</w:t>
      </w:r>
      <w:r>
        <w:rPr>
          <w:rFonts w:hint="eastAsia" w:ascii="仿宋" w:hAnsi="仿宋" w:eastAsia="仿宋" w:cs="宋体"/>
          <w:color w:val="auto"/>
          <w:kern w:val="0"/>
          <w:sz w:val="27"/>
          <w:szCs w:val="27"/>
          <w:lang w:eastAsia="zh-CN"/>
        </w:rPr>
        <w:t>费用</w:t>
      </w:r>
      <w:r>
        <w:rPr>
          <w:rFonts w:hint="eastAsia" w:ascii="仿宋" w:hAnsi="仿宋" w:eastAsia="仿宋" w:cs="宋体"/>
          <w:color w:val="auto"/>
          <w:kern w:val="0"/>
          <w:sz w:val="27"/>
          <w:szCs w:val="27"/>
        </w:rPr>
        <w:t>存在不可预见性，经业主方批准实施以实际发生计量为准</w:t>
      </w:r>
      <w:r>
        <w:rPr>
          <w:rFonts w:hint="eastAsia" w:ascii="仿宋" w:hAnsi="仿宋" w:eastAsia="仿宋" w:cs="宋体"/>
          <w:color w:val="auto"/>
          <w:kern w:val="0"/>
          <w:sz w:val="27"/>
          <w:szCs w:val="27"/>
          <w:lang w:eastAsia="zh-CN"/>
        </w:rPr>
        <w:t>）。</w:t>
      </w:r>
    </w:p>
    <w:p w14:paraId="7BB65B9D">
      <w:pPr>
        <w:keepNext w:val="0"/>
        <w:keepLines w:val="0"/>
        <w:pageBreakBefore w:val="0"/>
        <w:widowControl/>
        <w:kinsoku w:val="0"/>
        <w:wordWrap/>
        <w:overflowPunct/>
        <w:topLinePunct w:val="0"/>
        <w:autoSpaceDE w:val="0"/>
        <w:autoSpaceDN w:val="0"/>
        <w:bidi w:val="0"/>
        <w:adjustRightInd w:val="0"/>
        <w:snapToGrid w:val="0"/>
        <w:spacing w:line="460" w:lineRule="exact"/>
        <w:ind w:left="420" w:leftChars="200" w:firstLine="540" w:firstLineChars="200"/>
        <w:jc w:val="left"/>
        <w:textAlignment w:val="baseline"/>
        <w:rPr>
          <w:rFonts w:hint="eastAsia" w:ascii="仿宋" w:hAnsi="仿宋" w:eastAsia="仿宋" w:cs="宋体"/>
          <w:color w:val="auto"/>
          <w:kern w:val="0"/>
          <w:sz w:val="27"/>
          <w:szCs w:val="27"/>
          <w:lang w:eastAsia="zh-CN"/>
        </w:rPr>
      </w:pP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9</w:t>
      </w:r>
      <w:r>
        <w:rPr>
          <w:rFonts w:hint="eastAsia" w:ascii="仿宋" w:hAnsi="仿宋" w:eastAsia="仿宋" w:cs="宋体"/>
          <w:color w:val="auto"/>
          <w:kern w:val="0"/>
          <w:sz w:val="27"/>
          <w:szCs w:val="27"/>
          <w:lang w:eastAsia="zh-CN"/>
        </w:rPr>
        <w:t>）</w:t>
      </w:r>
      <w:r>
        <w:rPr>
          <w:rFonts w:hint="eastAsia" w:ascii="仿宋" w:hAnsi="仿宋" w:eastAsia="仿宋" w:cs="宋体"/>
          <w:color w:val="auto"/>
          <w:kern w:val="0"/>
          <w:sz w:val="27"/>
          <w:szCs w:val="27"/>
          <w:lang w:val="en-US" w:eastAsia="zh-CN"/>
        </w:rPr>
        <w:t>龙塘</w:t>
      </w:r>
      <w:r>
        <w:rPr>
          <w:rFonts w:hint="eastAsia" w:ascii="仿宋" w:hAnsi="仿宋" w:eastAsia="仿宋" w:cs="宋体"/>
          <w:color w:val="auto"/>
          <w:kern w:val="0"/>
          <w:sz w:val="27"/>
          <w:szCs w:val="27"/>
          <w:lang w:eastAsia="zh-CN"/>
        </w:rPr>
        <w:t>镇乡道日常养护明细表</w:t>
      </w:r>
    </w:p>
    <w:tbl>
      <w:tblPr>
        <w:tblStyle w:val="3"/>
        <w:tblW w:w="88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9"/>
        <w:gridCol w:w="1621"/>
        <w:gridCol w:w="1119"/>
        <w:gridCol w:w="2514"/>
        <w:gridCol w:w="1152"/>
        <w:gridCol w:w="1463"/>
      </w:tblGrid>
      <w:tr w14:paraId="60D309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7" w:hRule="atLeast"/>
          <w:jc w:val="center"/>
        </w:trPr>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129DC">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序号</w:t>
            </w:r>
          </w:p>
        </w:tc>
        <w:tc>
          <w:tcPr>
            <w:tcW w:w="16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8F58D">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路线编码</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B8B76">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行政等级</w:t>
            </w:r>
          </w:p>
        </w:tc>
        <w:tc>
          <w:tcPr>
            <w:tcW w:w="25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C500C">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路线名称</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67F59">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所属乡镇名称</w:t>
            </w:r>
          </w:p>
        </w:tc>
        <w:tc>
          <w:tcPr>
            <w:tcW w:w="14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1BF28">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里程</w:t>
            </w:r>
            <w:r>
              <w:rPr>
                <w:rFonts w:hint="eastAsia" w:ascii="仿宋" w:hAnsi="仿宋" w:eastAsia="仿宋" w:cs="仿宋"/>
                <w:i w:val="0"/>
                <w:iCs w:val="0"/>
                <w:snapToGrid w:val="0"/>
                <w:color w:val="auto"/>
                <w:kern w:val="0"/>
                <w:sz w:val="27"/>
                <w:szCs w:val="27"/>
                <w:u w:val="none"/>
                <w:lang w:val="en-US" w:eastAsia="zh-CN" w:bidi="ar"/>
              </w:rPr>
              <w:br w:type="textWrapping"/>
            </w:r>
            <w:r>
              <w:rPr>
                <w:rFonts w:hint="eastAsia" w:ascii="仿宋" w:hAnsi="仿宋" w:eastAsia="仿宋" w:cs="仿宋"/>
                <w:i w:val="0"/>
                <w:iCs w:val="0"/>
                <w:snapToGrid w:val="0"/>
                <w:color w:val="auto"/>
                <w:kern w:val="0"/>
                <w:sz w:val="27"/>
                <w:szCs w:val="27"/>
                <w:u w:val="none"/>
                <w:lang w:val="en-US" w:eastAsia="zh-CN" w:bidi="ar"/>
              </w:rPr>
              <w:t>（公里）</w:t>
            </w:r>
          </w:p>
        </w:tc>
      </w:tr>
      <w:tr w14:paraId="16827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0" w:hRule="atLeast"/>
          <w:jc w:val="center"/>
        </w:trPr>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0C3B1">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1</w:t>
            </w:r>
          </w:p>
        </w:tc>
        <w:tc>
          <w:tcPr>
            <w:tcW w:w="16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DDC0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Y381360728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A4A5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乡道</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2E65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上寨_荔眼山</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BD5F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87C1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5.599</w:t>
            </w:r>
          </w:p>
        </w:tc>
      </w:tr>
      <w:tr w14:paraId="69E16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E986C">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2</w:t>
            </w:r>
          </w:p>
        </w:tc>
        <w:tc>
          <w:tcPr>
            <w:tcW w:w="16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D92C8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Y405360728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939D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乡道</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9C8C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鹅公一天九</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6EA7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895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8.295</w:t>
            </w:r>
          </w:p>
        </w:tc>
      </w:tr>
      <w:tr w14:paraId="1542F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0" w:hRule="atLeast"/>
          <w:jc w:val="center"/>
        </w:trPr>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0D8FA">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3</w:t>
            </w:r>
          </w:p>
        </w:tc>
        <w:tc>
          <w:tcPr>
            <w:tcW w:w="16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E8F4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Y393360728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4FAB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乡道</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3DC0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长富—鹤仔</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A6C1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2E89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6.951</w:t>
            </w:r>
          </w:p>
        </w:tc>
      </w:tr>
      <w:tr w14:paraId="4A819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0" w:hRule="atLeast"/>
          <w:jc w:val="center"/>
        </w:trPr>
        <w:tc>
          <w:tcPr>
            <w:tcW w:w="96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E458E">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4</w:t>
            </w:r>
          </w:p>
        </w:tc>
        <w:tc>
          <w:tcPr>
            <w:tcW w:w="16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9455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Y419360728</w:t>
            </w:r>
          </w:p>
        </w:tc>
        <w:tc>
          <w:tcPr>
            <w:tcW w:w="11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9784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乡道</w:t>
            </w:r>
          </w:p>
        </w:tc>
        <w:tc>
          <w:tcPr>
            <w:tcW w:w="251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4013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龙塘-九洲</w:t>
            </w:r>
          </w:p>
        </w:tc>
        <w:tc>
          <w:tcPr>
            <w:tcW w:w="11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2D02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64438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8.063</w:t>
            </w:r>
          </w:p>
        </w:tc>
      </w:tr>
      <w:tr w14:paraId="2519D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1" w:hRule="atLeast"/>
          <w:jc w:val="center"/>
        </w:trPr>
        <w:tc>
          <w:tcPr>
            <w:tcW w:w="737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F6A30">
            <w:pPr>
              <w:keepNext w:val="0"/>
              <w:keepLines w:val="0"/>
              <w:widowControl/>
              <w:suppressLineNumbers w:val="0"/>
              <w:jc w:val="center"/>
              <w:textAlignment w:val="center"/>
              <w:rPr>
                <w:rFonts w:hint="eastAsia" w:ascii="仿宋" w:hAnsi="仿宋" w:eastAsia="仿宋" w:cs="仿宋"/>
                <w:i w:val="0"/>
                <w:iCs w:val="0"/>
                <w:color w:val="auto"/>
                <w:sz w:val="27"/>
                <w:szCs w:val="27"/>
                <w:u w:val="none"/>
              </w:rPr>
            </w:pPr>
            <w:r>
              <w:rPr>
                <w:rFonts w:hint="eastAsia" w:ascii="仿宋" w:hAnsi="仿宋" w:eastAsia="仿宋" w:cs="仿宋"/>
                <w:i w:val="0"/>
                <w:iCs w:val="0"/>
                <w:snapToGrid w:val="0"/>
                <w:color w:val="auto"/>
                <w:kern w:val="0"/>
                <w:sz w:val="27"/>
                <w:szCs w:val="27"/>
                <w:u w:val="none"/>
                <w:lang w:val="en-US" w:eastAsia="zh-CN" w:bidi="ar"/>
              </w:rPr>
              <w:t>合计</w:t>
            </w:r>
          </w:p>
        </w:tc>
        <w:tc>
          <w:tcPr>
            <w:tcW w:w="14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C69AE">
            <w:pPr>
              <w:keepNext w:val="0"/>
              <w:keepLines w:val="0"/>
              <w:widowControl/>
              <w:suppressLineNumbers w:val="0"/>
              <w:jc w:val="center"/>
              <w:textAlignment w:val="center"/>
              <w:rPr>
                <w:rFonts w:hint="eastAsia" w:ascii="微软雅黑" w:hAnsi="微软雅黑" w:eastAsia="微软雅黑" w:cs="微软雅黑"/>
                <w:i w:val="0"/>
                <w:iCs w:val="0"/>
                <w:snapToGrid w:val="0"/>
                <w:color w:val="000000"/>
                <w:sz w:val="22"/>
                <w:szCs w:val="22"/>
                <w:u w:val="none"/>
                <w:lang w:val="en-US" w:eastAsia="en-US" w:bidi="ar-SA"/>
              </w:rPr>
            </w:pPr>
            <w:r>
              <w:rPr>
                <w:rFonts w:hint="eastAsia" w:ascii="仿宋" w:hAnsi="仿宋" w:eastAsia="仿宋" w:cs="仿宋"/>
                <w:i w:val="0"/>
                <w:iCs w:val="0"/>
                <w:snapToGrid w:val="0"/>
                <w:color w:val="auto"/>
                <w:kern w:val="0"/>
                <w:sz w:val="27"/>
                <w:szCs w:val="27"/>
                <w:u w:val="none"/>
                <w:lang w:val="en-US" w:eastAsia="zh-CN" w:bidi="ar"/>
              </w:rPr>
              <w:t>28.908</w:t>
            </w:r>
          </w:p>
        </w:tc>
      </w:tr>
    </w:tbl>
    <w:p w14:paraId="37BC11C0">
      <w:pPr>
        <w:keepNext w:val="0"/>
        <w:keepLines w:val="0"/>
        <w:pageBreakBefore w:val="0"/>
        <w:widowControl/>
        <w:numPr>
          <w:ilvl w:val="0"/>
          <w:numId w:val="1"/>
        </w:numPr>
        <w:kinsoku w:val="0"/>
        <w:wordWrap/>
        <w:overflowPunct/>
        <w:topLinePunct w:val="0"/>
        <w:autoSpaceDE w:val="0"/>
        <w:autoSpaceDN w:val="0"/>
        <w:bidi w:val="0"/>
        <w:adjustRightInd w:val="0"/>
        <w:snapToGrid w:val="0"/>
        <w:spacing w:line="460" w:lineRule="exact"/>
        <w:jc w:val="left"/>
        <w:textAlignment w:val="baseline"/>
        <w:rPr>
          <w:rFonts w:hint="eastAsia" w:ascii="仿宋" w:hAnsi="仿宋" w:eastAsia="仿宋" w:cs="宋体"/>
          <w:color w:val="auto"/>
          <w:kern w:val="0"/>
          <w:sz w:val="27"/>
          <w:szCs w:val="27"/>
          <w:lang w:eastAsia="zh-CN"/>
        </w:rPr>
      </w:pPr>
      <w:r>
        <w:rPr>
          <w:rFonts w:hint="eastAsia" w:ascii="仿宋" w:hAnsi="仿宋" w:eastAsia="仿宋" w:cs="宋体"/>
          <w:color w:val="auto"/>
          <w:kern w:val="0"/>
          <w:sz w:val="27"/>
          <w:szCs w:val="27"/>
          <w:lang w:val="en-US" w:eastAsia="zh-CN"/>
        </w:rPr>
        <w:t>龙塘</w:t>
      </w:r>
      <w:r>
        <w:rPr>
          <w:rFonts w:hint="eastAsia" w:ascii="仿宋" w:hAnsi="仿宋" w:eastAsia="仿宋" w:cs="宋体"/>
          <w:color w:val="auto"/>
          <w:kern w:val="0"/>
          <w:sz w:val="27"/>
          <w:szCs w:val="27"/>
          <w:lang w:eastAsia="zh-CN"/>
        </w:rPr>
        <w:t>镇</w:t>
      </w:r>
      <w:r>
        <w:rPr>
          <w:rFonts w:hint="eastAsia" w:ascii="仿宋" w:hAnsi="仿宋" w:eastAsia="仿宋" w:cs="宋体"/>
          <w:color w:val="auto"/>
          <w:kern w:val="0"/>
          <w:sz w:val="27"/>
          <w:szCs w:val="27"/>
          <w:lang w:val="en-US" w:eastAsia="zh-CN"/>
        </w:rPr>
        <w:t>村</w:t>
      </w:r>
      <w:r>
        <w:rPr>
          <w:rFonts w:hint="eastAsia" w:ascii="仿宋" w:hAnsi="仿宋" w:eastAsia="仿宋" w:cs="宋体"/>
          <w:color w:val="auto"/>
          <w:kern w:val="0"/>
          <w:sz w:val="27"/>
          <w:szCs w:val="27"/>
          <w:lang w:eastAsia="zh-CN"/>
        </w:rPr>
        <w:t>道日常养护明细表</w:t>
      </w:r>
    </w:p>
    <w:tbl>
      <w:tblPr>
        <w:tblStyle w:val="3"/>
        <w:tblW w:w="8817" w:type="dxa"/>
        <w:tblInd w:w="-14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65"/>
        <w:gridCol w:w="1605"/>
        <w:gridCol w:w="1408"/>
        <w:gridCol w:w="2452"/>
        <w:gridCol w:w="1213"/>
        <w:gridCol w:w="1174"/>
      </w:tblGrid>
      <w:tr w14:paraId="6DC3A6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AD9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序号</w:t>
            </w:r>
          </w:p>
        </w:tc>
        <w:tc>
          <w:tcPr>
            <w:tcW w:w="160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A0AC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路线编码</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C375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行政等级</w:t>
            </w:r>
          </w:p>
        </w:tc>
        <w:tc>
          <w:tcPr>
            <w:tcW w:w="24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C665F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路线名称</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40B9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所属乡镇名称</w:t>
            </w:r>
          </w:p>
        </w:tc>
        <w:tc>
          <w:tcPr>
            <w:tcW w:w="117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A607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里程</w:t>
            </w:r>
            <w:r>
              <w:rPr>
                <w:rFonts w:hint="eastAsia" w:ascii="仿宋" w:hAnsi="仿宋" w:eastAsia="仿宋" w:cs="仿宋"/>
                <w:i w:val="0"/>
                <w:iCs w:val="0"/>
                <w:snapToGrid w:val="0"/>
                <w:color w:val="auto"/>
                <w:kern w:val="0"/>
                <w:sz w:val="27"/>
                <w:szCs w:val="27"/>
                <w:u w:val="none"/>
                <w:lang w:val="en-US" w:eastAsia="zh-CN" w:bidi="ar"/>
              </w:rPr>
              <w:br w:type="textWrapping"/>
            </w:r>
            <w:r>
              <w:rPr>
                <w:rFonts w:hint="eastAsia" w:ascii="仿宋" w:hAnsi="仿宋" w:eastAsia="仿宋" w:cs="仿宋"/>
                <w:i w:val="0"/>
                <w:iCs w:val="0"/>
                <w:snapToGrid w:val="0"/>
                <w:color w:val="auto"/>
                <w:kern w:val="0"/>
                <w:sz w:val="27"/>
                <w:szCs w:val="27"/>
                <w:u w:val="none"/>
                <w:lang w:val="en-US" w:eastAsia="zh-CN" w:bidi="ar"/>
              </w:rPr>
              <w:t>（公里）</w:t>
            </w:r>
          </w:p>
        </w:tc>
      </w:tr>
      <w:tr w14:paraId="7A76CF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46077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F648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E075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EAC8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桐坑_桥下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C28D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848D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5.868</w:t>
            </w:r>
          </w:p>
        </w:tc>
      </w:tr>
      <w:tr w14:paraId="7C2E9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465D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E24A4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F7C6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6A7E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柏木_九洲</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4DA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2C31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0.957</w:t>
            </w:r>
          </w:p>
        </w:tc>
      </w:tr>
      <w:tr w14:paraId="6F127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803B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ACC2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6224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89BA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胡金坝_龙塘</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3B1C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6EF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2.153</w:t>
            </w:r>
          </w:p>
        </w:tc>
      </w:tr>
      <w:tr w14:paraId="5B1FB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D629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F82A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013A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78F6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月光下_安定线</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45A9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896C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0.263</w:t>
            </w:r>
          </w:p>
        </w:tc>
      </w:tr>
      <w:tr w14:paraId="371CE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88DA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781D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6A5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DC47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潘屋一外寨</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2EB9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D442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0.943</w:t>
            </w:r>
          </w:p>
        </w:tc>
      </w:tr>
      <w:tr w14:paraId="71C15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4155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B526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2E37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8C1DC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高排_墩上村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91F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0E44C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4.247</w:t>
            </w:r>
          </w:p>
        </w:tc>
      </w:tr>
      <w:tr w14:paraId="3EEA5D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5F477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E810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C058360728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263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B1E3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虎新地_龙江村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55E7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EA12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2.971</w:t>
            </w:r>
          </w:p>
        </w:tc>
      </w:tr>
      <w:tr w14:paraId="691BF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AD49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2EF57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44C1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6491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长富—胜前</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3336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B6A4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1.834</w:t>
            </w:r>
          </w:p>
        </w:tc>
      </w:tr>
      <w:tr w14:paraId="33017B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AE1D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93E8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29D6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69158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桥子头—金竹园</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6131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006CC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3.71</w:t>
            </w:r>
          </w:p>
        </w:tc>
      </w:tr>
      <w:tr w14:paraId="4CEDFE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A601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7F1E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8E0B9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46A3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长富桥—影照</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0BD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E332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1.18</w:t>
            </w:r>
          </w:p>
        </w:tc>
      </w:tr>
      <w:tr w14:paraId="0566E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814E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396DD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4096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7BD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长富—吴屋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6AC1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0DC0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0.661</w:t>
            </w:r>
          </w:p>
        </w:tc>
      </w:tr>
      <w:tr w14:paraId="43BC52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D82E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CA126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6BCF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30778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长富—四角围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4CA8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454D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0.436</w:t>
            </w:r>
          </w:p>
        </w:tc>
      </w:tr>
      <w:tr w14:paraId="12B82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8246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5F390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935D5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5BA2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长富—锦背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0A35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F6C61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0.82</w:t>
            </w:r>
          </w:p>
        </w:tc>
      </w:tr>
      <w:tr w14:paraId="63F57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FC9D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E18D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C066360728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2315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34B5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梅子—洪洲</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AF44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C39D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1.109</w:t>
            </w:r>
          </w:p>
        </w:tc>
      </w:tr>
      <w:tr w14:paraId="445F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5C44E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A661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C138360728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1CBA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ED24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洪洲-枫山</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7A0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17B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1.294</w:t>
            </w:r>
          </w:p>
        </w:tc>
      </w:tr>
      <w:tr w14:paraId="08943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60AFA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BF93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C143360728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B3CC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80D2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猪坑支线3</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4DCD7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6A08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0.274</w:t>
            </w:r>
          </w:p>
        </w:tc>
      </w:tr>
      <w:tr w14:paraId="43019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AE2C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E0E7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C209360728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9FE88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73D4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长富口-锦背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67B9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CB2D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1.183</w:t>
            </w:r>
          </w:p>
        </w:tc>
      </w:tr>
      <w:tr w14:paraId="2E4F8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7CF2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A8D9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C301360728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AEAF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4222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新江-塘唇</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3A51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46E7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0.413</w:t>
            </w:r>
          </w:p>
        </w:tc>
      </w:tr>
      <w:tr w14:paraId="5369C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300C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9C9DA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C302360728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70BE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4FD2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洪洲-白驹</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8A4BC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B9FE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0.26</w:t>
            </w:r>
          </w:p>
        </w:tc>
      </w:tr>
      <w:tr w14:paraId="06410C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E338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B8DA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C407360728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2158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A2E2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下屋-上屋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3C0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B46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0.627</w:t>
            </w:r>
          </w:p>
        </w:tc>
      </w:tr>
      <w:tr w14:paraId="29CF6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2455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AB54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C408360728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7598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74CD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安定公路-社区二组建设点</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DCEB3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0029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0.687</w:t>
            </w:r>
          </w:p>
        </w:tc>
      </w:tr>
      <w:tr w14:paraId="3F5EE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5ED2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8939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C409360728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F6E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41AF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安定公路-新屋组建设点</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D5C9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678E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0.321</w:t>
            </w:r>
          </w:p>
        </w:tc>
      </w:tr>
      <w:tr w14:paraId="2C5A4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BECD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2B46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C435360728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B131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E30C5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双坪-鹰咀头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331D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AED26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0.247</w:t>
            </w:r>
          </w:p>
        </w:tc>
      </w:tr>
      <w:tr w14:paraId="6221A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96804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01283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C436360728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FF65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1E73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老屋下-双坪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87F6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0CC1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0.196</w:t>
            </w:r>
          </w:p>
        </w:tc>
      </w:tr>
      <w:tr w14:paraId="38D3F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497B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8C6F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C447360728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17D1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187F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滑石路口-老大队门口</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A412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CEE2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0.445</w:t>
            </w:r>
          </w:p>
        </w:tc>
      </w:tr>
      <w:tr w14:paraId="55703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D84D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D37CB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C454360728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9560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D9D9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新屋-中心组</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F75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E885D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0.469</w:t>
            </w:r>
          </w:p>
        </w:tc>
      </w:tr>
      <w:tr w14:paraId="51890C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5BAE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22CE5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C455360728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25DF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E0DE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街上组-安定公路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94F0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07E25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0.169</w:t>
            </w:r>
          </w:p>
        </w:tc>
      </w:tr>
      <w:tr w14:paraId="067653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7756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F3F9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C600360728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AF8D2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D7093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四角围-鹰嘴头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5605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9657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0.622</w:t>
            </w:r>
          </w:p>
        </w:tc>
      </w:tr>
      <w:tr w14:paraId="6F1F2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177F2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1F67A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C601360728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D624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950B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鹰嘴头-双坪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F1DE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AFC2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0.191</w:t>
            </w:r>
          </w:p>
        </w:tc>
      </w:tr>
      <w:tr w14:paraId="5FD0F4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8941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DB78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C704360728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5E6A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9857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村部—老屋下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20DE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79C0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0.168</w:t>
            </w:r>
          </w:p>
        </w:tc>
      </w:tr>
      <w:tr w14:paraId="133DC6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22F4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B756A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C804360728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8C3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125A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双龙公路—上弯</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923A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6620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0.217</w:t>
            </w:r>
          </w:p>
        </w:tc>
      </w:tr>
      <w:tr w14:paraId="6FFA1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B5D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3CD6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C806360728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26D1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85A2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双龙公路—当头围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31A9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32F6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0.304</w:t>
            </w:r>
          </w:p>
        </w:tc>
      </w:tr>
      <w:tr w14:paraId="1B716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22FA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E3CB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C833360728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8B99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0DF13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杨柳坝—鹤仔</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98CF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25F68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1.978</w:t>
            </w:r>
          </w:p>
        </w:tc>
      </w:tr>
      <w:tr w14:paraId="79950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824A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6009A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C837360728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9D9D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4B05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禾场—新圩</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E6D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1B77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0.511</w:t>
            </w:r>
          </w:p>
        </w:tc>
      </w:tr>
      <w:tr w14:paraId="6767FC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7F2D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7BA8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C854360728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4184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7CE9A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胜前—东下围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AFF0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22F3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0.466</w:t>
            </w:r>
          </w:p>
        </w:tc>
      </w:tr>
      <w:tr w14:paraId="425E1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D78E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0A2C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C864360728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580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4DF8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九龙-迳背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8C75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9130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0.493</w:t>
            </w:r>
          </w:p>
        </w:tc>
      </w:tr>
      <w:tr w14:paraId="15C13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EFA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8394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C865360728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9BE2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0F6B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鹰嘴头—岗上</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EC6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5C5F7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0.308</w:t>
            </w:r>
          </w:p>
        </w:tc>
      </w:tr>
      <w:tr w14:paraId="11A09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E5E4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2BE9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C867360728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8963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3DAD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老屋下—滑石</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40AE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F3D6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1.153</w:t>
            </w:r>
          </w:p>
        </w:tc>
      </w:tr>
      <w:tr w14:paraId="22A7AB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6B6B6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00F65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C868360728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C4E4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3465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段上—段心</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17BD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B6A4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0.35</w:t>
            </w:r>
          </w:p>
        </w:tc>
      </w:tr>
      <w:tr w14:paraId="21FFF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CB362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988D2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C916360728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EA42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FFC7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龙塘-猪坑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8FB87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119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1.92</w:t>
            </w:r>
          </w:p>
        </w:tc>
      </w:tr>
      <w:tr w14:paraId="39F336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DCAC0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6635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C931360728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D9CC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A149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猪坑支线2</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866F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89C2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0.715</w:t>
            </w:r>
          </w:p>
        </w:tc>
      </w:tr>
      <w:tr w14:paraId="4B3ED1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A7D81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BE56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C950360728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B68E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F6BA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龙塘-新桥</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0122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FDB7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0.886</w:t>
            </w:r>
          </w:p>
        </w:tc>
      </w:tr>
      <w:tr w14:paraId="0BBA2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1AA0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1647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CA13360728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C3C7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CFEEB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胜前-朝阳下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F050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0D5D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0.669</w:t>
            </w:r>
          </w:p>
        </w:tc>
      </w:tr>
      <w:tr w14:paraId="58F920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DBD0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C3FDD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CL02360728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3F0D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E1BD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老圩-梅树下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FA0D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12D70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1.338</w:t>
            </w:r>
          </w:p>
        </w:tc>
      </w:tr>
      <w:tr w14:paraId="6E3FA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C8B2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CDC6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CL03360728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4DA1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C092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水龙泵-大山</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5CDF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63A1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1.243</w:t>
            </w:r>
          </w:p>
        </w:tc>
      </w:tr>
      <w:tr w14:paraId="26FEFE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FBA73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B3D1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CM43360728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ADFE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69E2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围下-老屋下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0F38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FBD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0.827</w:t>
            </w:r>
          </w:p>
        </w:tc>
      </w:tr>
      <w:tr w14:paraId="38391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214E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91AA2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CM48360728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7729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B1A0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上寨小学-老屋组</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D36F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B1DD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0.38</w:t>
            </w:r>
          </w:p>
        </w:tc>
      </w:tr>
      <w:tr w14:paraId="7B0B3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B5562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EFB2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CM53360728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154A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E4C68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外寨—内寨</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6D63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C2B59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0.504</w:t>
            </w:r>
          </w:p>
        </w:tc>
      </w:tr>
      <w:tr w14:paraId="09BD0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5767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49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200C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CM57360728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1BD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1708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下社背-古装排</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FFB0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0BCF3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0.669</w:t>
            </w:r>
          </w:p>
        </w:tc>
      </w:tr>
      <w:tr w14:paraId="012E2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B294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E354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CM65360728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9640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21A3D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流水段-梅仔坝</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400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9DA86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0.479</w:t>
            </w:r>
          </w:p>
        </w:tc>
      </w:tr>
      <w:tr w14:paraId="42129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55094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B9E4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CM70360728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4BD38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6DEF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坝上-湾子</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59DB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ECF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0.348</w:t>
            </w:r>
          </w:p>
        </w:tc>
      </w:tr>
      <w:tr w14:paraId="2B30EB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668F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07AF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CM78360728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D8FA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9E041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安定路口—新围组</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A666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8AB0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0.466</w:t>
            </w:r>
          </w:p>
        </w:tc>
      </w:tr>
      <w:tr w14:paraId="0984BE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1698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F5F2B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CM88360728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EDE7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5797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桐广公路-锦背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7FFE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80339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0.423</w:t>
            </w:r>
          </w:p>
        </w:tc>
      </w:tr>
      <w:tr w14:paraId="2924A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BC31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A18F6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CMB5360728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773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772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长部-寒段</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919F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5836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1.002</w:t>
            </w:r>
          </w:p>
        </w:tc>
      </w:tr>
      <w:tr w14:paraId="7003C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ED39D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C720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CMC2360728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61D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422F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洪洲小学-老屋组</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81E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ABB3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0.923</w:t>
            </w:r>
          </w:p>
        </w:tc>
      </w:tr>
      <w:tr w14:paraId="5344A2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8C21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56</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BB19CF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CMC6360728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C2E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41F094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中村-坑尾</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1F38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62EBD7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3.106</w:t>
            </w:r>
          </w:p>
        </w:tc>
      </w:tr>
      <w:tr w14:paraId="3BEE5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095A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585F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CMI1360728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4112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8291C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上围-镇里坪</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3616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4D23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1.178</w:t>
            </w:r>
          </w:p>
        </w:tc>
      </w:tr>
      <w:tr w14:paraId="343FD6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7A752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53EFD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CMI2360728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D065A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E065F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社背-黄砂坑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84F0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3FCC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2.015</w:t>
            </w:r>
          </w:p>
        </w:tc>
      </w:tr>
      <w:tr w14:paraId="0E17C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D047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59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5591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CML5360728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CD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B43FC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禾场-新圩</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E4E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96C5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1.504</w:t>
            </w:r>
          </w:p>
        </w:tc>
      </w:tr>
      <w:tr w14:paraId="23400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68511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60</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8D53C9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CMM5360728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2A61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D6A6C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安定公路-围上</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FA9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A6B4E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0.314</w:t>
            </w:r>
          </w:p>
        </w:tc>
      </w:tr>
      <w:tr w14:paraId="6BFCE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78C08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E3A4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CMN6360728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F422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5851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下社背-大浪高</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C719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323F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0.281</w:t>
            </w:r>
          </w:p>
        </w:tc>
      </w:tr>
      <w:tr w14:paraId="2FFD50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09CF5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C0E3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CMN8360728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EBC0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7C02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朝阳-新屋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9FF7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D47D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0.849</w:t>
            </w:r>
          </w:p>
        </w:tc>
      </w:tr>
      <w:tr w14:paraId="60324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145B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5C16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CMP8360728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9730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CDB03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岽下-坪阳山</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0F7A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1403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2.648</w:t>
            </w:r>
          </w:p>
        </w:tc>
      </w:tr>
      <w:tr w14:paraId="27653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F581B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D6BE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CMQ3360728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1135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73E95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龙塘新村-朱坑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6F07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EFD6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3.112</w:t>
            </w:r>
          </w:p>
        </w:tc>
      </w:tr>
      <w:tr w14:paraId="04371C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A9C0B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B0C9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CMS8360728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9359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8C8AD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窝里-吴屋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FE77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D4416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1.568</w:t>
            </w:r>
          </w:p>
        </w:tc>
      </w:tr>
      <w:tr w14:paraId="6137B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8234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659A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CMT3360728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2C9A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EC276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桐广路口-老屋下</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8E6E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AA13F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0.494</w:t>
            </w:r>
          </w:p>
        </w:tc>
      </w:tr>
      <w:tr w14:paraId="3343ED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48FC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058F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CMU4360728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2209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FD7C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梅仔—细岗</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DDA9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8AD4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0.345</w:t>
            </w:r>
          </w:p>
        </w:tc>
      </w:tr>
      <w:tr w14:paraId="05E0C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4F42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A6C8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CMV4360728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8035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7539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岗背-江碓含</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83BF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0784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0.818</w:t>
            </w:r>
          </w:p>
        </w:tc>
      </w:tr>
      <w:tr w14:paraId="58E5F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96EA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69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40D2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CMX1360728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7B74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573D1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段上-锦口</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C360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FB0C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0.647</w:t>
            </w:r>
          </w:p>
        </w:tc>
      </w:tr>
      <w:tr w14:paraId="786CA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ABB84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5C1C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CMZ0360728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5246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7CC6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老屋-上隘</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6C800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C760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0.423</w:t>
            </w:r>
          </w:p>
        </w:tc>
      </w:tr>
      <w:tr w14:paraId="5B26B6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090F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00B2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CMZ1360728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59AD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633D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朱坑-长富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6A10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CD8E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3.387</w:t>
            </w:r>
          </w:p>
        </w:tc>
      </w:tr>
      <w:tr w14:paraId="01F0B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55A1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8E2D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CMZ6360728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3315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CFF5B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村部-尚围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BB17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6FBB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0.462</w:t>
            </w:r>
          </w:p>
        </w:tc>
      </w:tr>
      <w:tr w14:paraId="294E7E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8EFB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0B4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CN24360728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536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467B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桐广线入口-双头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8451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91EC7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0.367</w:t>
            </w:r>
          </w:p>
        </w:tc>
      </w:tr>
      <w:tr w14:paraId="644802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0791A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BFE1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CN26360728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F55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58D1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下围-上围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6E29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16D9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1.702</w:t>
            </w:r>
          </w:p>
        </w:tc>
      </w:tr>
      <w:tr w14:paraId="0D40E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D756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6BB6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CV21360728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9DA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97D3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水库至大山</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6C37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BCE3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0.631</w:t>
            </w:r>
          </w:p>
        </w:tc>
      </w:tr>
      <w:tr w14:paraId="7D579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843E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76</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75D5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CV22360728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296B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2533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忠诚桥至硅谷</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FFAF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C69F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1.352</w:t>
            </w:r>
          </w:p>
        </w:tc>
      </w:tr>
      <w:tr w14:paraId="6BAA7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5799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77</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B4E30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Cv73360728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3576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3D6A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猪坑-坑尾</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D215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9595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0.308</w:t>
            </w:r>
          </w:p>
        </w:tc>
      </w:tr>
      <w:tr w14:paraId="18D87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019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78</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C363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Cv74360728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733E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3932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长富-富坑</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CB008">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73A9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0.572</w:t>
            </w:r>
          </w:p>
        </w:tc>
      </w:tr>
      <w:tr w14:paraId="1CBE7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3C0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79</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4E54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Cv75360728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D822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0730B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黄泥丘-黄泥</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9756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0602B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0.301</w:t>
            </w:r>
          </w:p>
        </w:tc>
      </w:tr>
      <w:tr w14:paraId="602B7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E7FA3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80</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82FAA">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Cv97360728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21F6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C6A67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窝里-上围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19F8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05508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0.499</w:t>
            </w:r>
          </w:p>
        </w:tc>
      </w:tr>
      <w:tr w14:paraId="066F7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815D4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81</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682A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Cv99360728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309F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690F8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百移圳-山头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515D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99CC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0.71</w:t>
            </w:r>
          </w:p>
        </w:tc>
      </w:tr>
      <w:tr w14:paraId="69A456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E4AD4">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82</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A3ADC5">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Cy03360728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2BC8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465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长富-高头</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5FBC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ECE77">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0.398</w:t>
            </w:r>
          </w:p>
        </w:tc>
      </w:tr>
      <w:tr w14:paraId="03D760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54C7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83</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A621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CZ54360728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E8A8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955440">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园延山-朝背</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6BD5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6BC51">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1.42</w:t>
            </w:r>
          </w:p>
        </w:tc>
      </w:tr>
      <w:tr w14:paraId="63AC1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8B96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84</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AA2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CZ55360728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1748C">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79A09">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朝背-沙罗岽</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AEA86">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3B0B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0.957</w:t>
            </w:r>
          </w:p>
        </w:tc>
      </w:tr>
      <w:tr w14:paraId="52C21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F100BE">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85</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A14BF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CZ56360728</w:t>
            </w:r>
          </w:p>
        </w:tc>
        <w:tc>
          <w:tcPr>
            <w:tcW w:w="14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C8FDF">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村道</w:t>
            </w:r>
          </w:p>
        </w:tc>
        <w:tc>
          <w:tcPr>
            <w:tcW w:w="245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3D99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老屋-水库</w:t>
            </w:r>
          </w:p>
        </w:tc>
        <w:tc>
          <w:tcPr>
            <w:tcW w:w="12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A843">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龙塘镇</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ECBDD">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0.339</w:t>
            </w:r>
          </w:p>
        </w:tc>
      </w:tr>
      <w:tr w14:paraId="141B7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7643"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C2008B">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合计</w:t>
            </w:r>
          </w:p>
        </w:tc>
        <w:tc>
          <w:tcPr>
            <w:tcW w:w="117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9279F2">
            <w:pPr>
              <w:keepNext w:val="0"/>
              <w:keepLines w:val="0"/>
              <w:widowControl/>
              <w:suppressLineNumbers w:val="0"/>
              <w:jc w:val="center"/>
              <w:textAlignment w:val="center"/>
              <w:rPr>
                <w:rFonts w:hint="eastAsia" w:ascii="仿宋" w:hAnsi="仿宋" w:eastAsia="仿宋" w:cs="仿宋"/>
                <w:i w:val="0"/>
                <w:iCs w:val="0"/>
                <w:snapToGrid w:val="0"/>
                <w:color w:val="auto"/>
                <w:kern w:val="0"/>
                <w:sz w:val="27"/>
                <w:szCs w:val="27"/>
                <w:u w:val="none"/>
                <w:lang w:val="en-US" w:eastAsia="zh-CN" w:bidi="ar"/>
              </w:rPr>
            </w:pPr>
            <w:r>
              <w:rPr>
                <w:rFonts w:hint="eastAsia" w:ascii="仿宋" w:hAnsi="仿宋" w:eastAsia="仿宋" w:cs="仿宋"/>
                <w:i w:val="0"/>
                <w:iCs w:val="0"/>
                <w:snapToGrid w:val="0"/>
                <w:color w:val="auto"/>
                <w:kern w:val="0"/>
                <w:sz w:val="27"/>
                <w:szCs w:val="27"/>
                <w:u w:val="none"/>
                <w:lang w:val="en-US" w:eastAsia="zh-CN" w:bidi="ar"/>
              </w:rPr>
              <w:t>85.997</w:t>
            </w:r>
          </w:p>
        </w:tc>
      </w:tr>
    </w:tbl>
    <w:p w14:paraId="6223FD0F">
      <w:pPr>
        <w:pStyle w:val="2"/>
        <w:numPr>
          <w:ilvl w:val="0"/>
          <w:numId w:val="0"/>
        </w:numPr>
        <w:rPr>
          <w:rFonts w:hint="eastAsia"/>
          <w:lang w:eastAsia="zh-CN"/>
        </w:rPr>
      </w:pPr>
    </w:p>
    <w:p w14:paraId="6E4CD1EF">
      <w:pPr>
        <w:pageBreakBefore w:val="0"/>
        <w:widowControl w:val="0"/>
        <w:wordWrap/>
        <w:overflowPunct/>
        <w:topLinePunct w:val="0"/>
        <w:bidi w:val="0"/>
        <w:spacing w:line="242" w:lineRule="auto"/>
        <w:rPr>
          <w:color w:val="auto"/>
          <w:highlight w:val="none"/>
        </w:rPr>
      </w:pPr>
    </w:p>
    <w:p w14:paraId="54F783B9">
      <w:pPr>
        <w:pageBreakBefore w:val="0"/>
        <w:widowControl w:val="0"/>
        <w:wordWrap/>
        <w:overflowPunct/>
        <w:topLinePunct w:val="0"/>
        <w:bidi w:val="0"/>
        <w:spacing w:line="243" w:lineRule="auto"/>
        <w:rPr>
          <w:color w:val="auto"/>
          <w:highlight w:val="none"/>
        </w:rPr>
      </w:pPr>
    </w:p>
    <w:p w14:paraId="79FEC323">
      <w:pPr>
        <w:pageBreakBefore w:val="0"/>
        <w:widowControl w:val="0"/>
        <w:wordWrap/>
        <w:overflowPunct/>
        <w:topLinePunct w:val="0"/>
        <w:bidi w:val="0"/>
        <w:spacing w:line="243" w:lineRule="auto"/>
        <w:rPr>
          <w:color w:val="auto"/>
          <w:highlight w:val="none"/>
        </w:rPr>
      </w:pPr>
    </w:p>
    <w:p w14:paraId="10542B01">
      <w:pPr>
        <w:pageBreakBefore w:val="0"/>
        <w:widowControl w:val="0"/>
        <w:wordWrap/>
        <w:overflowPunct/>
        <w:topLinePunct w:val="0"/>
        <w:bidi w:val="0"/>
        <w:spacing w:line="245" w:lineRule="auto"/>
        <w:rPr>
          <w:color w:val="auto"/>
          <w:highlight w:val="none"/>
          <w:lang w:eastAsia="zh-CN"/>
        </w:rPr>
      </w:pPr>
    </w:p>
    <w:p w14:paraId="57DEC146">
      <w:pPr>
        <w:pageBreakBefore w:val="0"/>
        <w:widowControl w:val="0"/>
        <w:wordWrap/>
        <w:overflowPunct/>
        <w:topLinePunct w:val="0"/>
        <w:bidi w:val="0"/>
        <w:spacing w:line="245" w:lineRule="auto"/>
        <w:rPr>
          <w:color w:val="auto"/>
          <w:highlight w:val="none"/>
          <w:lang w:eastAsia="zh-CN"/>
        </w:rPr>
      </w:pPr>
    </w:p>
    <w:p w14:paraId="3DABB84C">
      <w:pPr>
        <w:pageBreakBefore w:val="0"/>
        <w:widowControl w:val="0"/>
        <w:wordWrap/>
        <w:overflowPunct/>
        <w:topLinePunct w:val="0"/>
        <w:bidi w:val="0"/>
        <w:spacing w:line="245" w:lineRule="auto"/>
        <w:rPr>
          <w:color w:val="auto"/>
          <w:highlight w:val="none"/>
          <w:lang w:eastAsia="zh-CN"/>
        </w:rPr>
      </w:pPr>
    </w:p>
    <w:p w14:paraId="04DFEFCE">
      <w:pPr>
        <w:pageBreakBefore w:val="0"/>
        <w:widowControl w:val="0"/>
        <w:wordWrap/>
        <w:overflowPunct/>
        <w:topLinePunct w:val="0"/>
        <w:bidi w:val="0"/>
        <w:spacing w:line="245" w:lineRule="auto"/>
        <w:rPr>
          <w:color w:val="auto"/>
          <w:highlight w:val="none"/>
          <w:lang w:eastAsia="zh-CN"/>
        </w:rPr>
      </w:pPr>
    </w:p>
    <w:p w14:paraId="618A2F14">
      <w:pPr>
        <w:pageBreakBefore w:val="0"/>
        <w:widowControl w:val="0"/>
        <w:wordWrap/>
        <w:overflowPunct/>
        <w:topLinePunct w:val="0"/>
        <w:bidi w:val="0"/>
        <w:spacing w:line="245" w:lineRule="auto"/>
        <w:rPr>
          <w:color w:val="auto"/>
          <w:highlight w:val="none"/>
          <w:lang w:eastAsia="zh-CN"/>
        </w:rPr>
      </w:pPr>
    </w:p>
    <w:p w14:paraId="1E419952">
      <w:pPr>
        <w:rPr>
          <w:rFonts w:ascii="宋体" w:hAnsi="宋体" w:eastAsia="宋体" w:cs="宋体"/>
          <w:color w:val="auto"/>
          <w:spacing w:val="-6"/>
          <w:sz w:val="24"/>
          <w:szCs w:val="24"/>
          <w:highlight w:val="none"/>
          <w:lang w:eastAsia="zh-CN"/>
        </w:rPr>
      </w:pPr>
      <w:r>
        <w:rPr>
          <w:rFonts w:ascii="宋体" w:hAnsi="宋体" w:eastAsia="宋体" w:cs="宋体"/>
          <w:color w:val="auto"/>
          <w:spacing w:val="-6"/>
          <w:sz w:val="24"/>
          <w:szCs w:val="24"/>
          <w:highlight w:val="none"/>
          <w:lang w:eastAsia="zh-CN"/>
        </w:rPr>
        <w:br w:type="page"/>
      </w:r>
    </w:p>
    <w:p w14:paraId="040A7716">
      <w:pPr>
        <w:rPr>
          <w:rFonts w:ascii="宋体" w:hAnsi="宋体" w:eastAsia="宋体" w:cs="宋体"/>
          <w:color w:val="auto"/>
          <w:spacing w:val="-6"/>
          <w:sz w:val="24"/>
          <w:szCs w:val="24"/>
          <w:highlight w:val="none"/>
          <w:lang w:eastAsia="zh-CN"/>
        </w:rPr>
      </w:pPr>
    </w:p>
    <w:p w14:paraId="396ABFCE">
      <w:pPr>
        <w:rPr>
          <w:rFonts w:hint="eastAsia" w:ascii="仿宋" w:hAnsi="仿宋" w:eastAsia="仿宋" w:cs="仿宋"/>
          <w:b/>
          <w:bCs/>
          <w:sz w:val="27"/>
          <w:szCs w:val="27"/>
          <w:lang w:val="en-US" w:eastAsia="zh-CN"/>
        </w:rPr>
      </w:pPr>
      <w:r>
        <w:rPr>
          <w:rFonts w:hint="eastAsia" w:ascii="仿宋" w:hAnsi="仿宋" w:eastAsia="仿宋" w:cs="仿宋"/>
          <w:b/>
          <w:bCs/>
          <w:color w:val="auto"/>
          <w:spacing w:val="-6"/>
          <w:sz w:val="27"/>
          <w:szCs w:val="27"/>
          <w:highlight w:val="none"/>
          <w:lang w:val="en-US" w:eastAsia="zh-CN"/>
        </w:rPr>
        <w:t>附件：考核评标表</w:t>
      </w:r>
    </w:p>
    <w:tbl>
      <w:tblPr>
        <w:tblStyle w:val="3"/>
        <w:tblW w:w="502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3"/>
        <w:gridCol w:w="2376"/>
        <w:gridCol w:w="3731"/>
        <w:gridCol w:w="934"/>
        <w:gridCol w:w="891"/>
      </w:tblGrid>
      <w:tr w14:paraId="66D7A3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 w:hRule="atLeast"/>
          <w:jc w:val="center"/>
        </w:trPr>
        <w:tc>
          <w:tcPr>
            <w:tcW w:w="5000" w:type="pct"/>
            <w:gridSpan w:val="5"/>
            <w:shd w:val="clear" w:color="auto" w:fill="auto"/>
            <w:noWrap/>
            <w:vAlign w:val="center"/>
          </w:tcPr>
          <w:p w14:paraId="196B1BBF">
            <w:pPr>
              <w:pStyle w:val="5"/>
              <w:pageBreakBefore w:val="0"/>
              <w:kinsoku/>
              <w:wordWrap/>
              <w:overflowPunct/>
              <w:topLinePunct w:val="0"/>
              <w:bidi w:val="0"/>
              <w:snapToGrid/>
              <w:spacing w:line="400" w:lineRule="exact"/>
              <w:ind w:left="0" w:leftChars="0" w:right="0" w:firstLine="540"/>
              <w:jc w:val="center"/>
              <w:textAlignment w:val="auto"/>
              <w:rPr>
                <w:rFonts w:hint="eastAsia" w:ascii="仿宋" w:hAnsi="仿宋" w:eastAsia="仿宋" w:cs="仿宋"/>
                <w:b/>
                <w:sz w:val="27"/>
                <w:szCs w:val="27"/>
              </w:rPr>
            </w:pPr>
            <w:r>
              <w:rPr>
                <w:rFonts w:hint="eastAsia" w:ascii="仿宋" w:hAnsi="仿宋" w:eastAsia="仿宋" w:cs="仿宋"/>
                <w:bCs/>
                <w:sz w:val="27"/>
                <w:szCs w:val="27"/>
              </w:rPr>
              <w:t>年度</w:t>
            </w:r>
            <w:r>
              <w:rPr>
                <w:rFonts w:hint="eastAsia" w:ascii="仿宋" w:hAnsi="仿宋" w:eastAsia="仿宋" w:cs="仿宋"/>
                <w:bCs/>
                <w:sz w:val="27"/>
                <w:szCs w:val="27"/>
                <w:u w:val="single"/>
              </w:rPr>
              <w:t xml:space="preserve">    </w:t>
            </w:r>
            <w:r>
              <w:rPr>
                <w:rFonts w:hint="eastAsia" w:ascii="仿宋" w:hAnsi="仿宋" w:eastAsia="仿宋" w:cs="仿宋"/>
                <w:bCs/>
                <w:sz w:val="27"/>
                <w:szCs w:val="27"/>
              </w:rPr>
              <w:t>月份公路养护工作考核评分表</w:t>
            </w:r>
          </w:p>
        </w:tc>
      </w:tr>
      <w:tr w14:paraId="6B4E33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1757" w:type="pct"/>
            <w:gridSpan w:val="2"/>
            <w:shd w:val="clear" w:color="auto" w:fill="auto"/>
            <w:noWrap/>
            <w:vAlign w:val="center"/>
          </w:tcPr>
          <w:p w14:paraId="34A0801A">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xml:space="preserve">   考核单位：</w:t>
            </w:r>
          </w:p>
        </w:tc>
        <w:tc>
          <w:tcPr>
            <w:tcW w:w="2178" w:type="pct"/>
            <w:shd w:val="clear" w:color="auto" w:fill="auto"/>
            <w:noWrap/>
            <w:vAlign w:val="center"/>
          </w:tcPr>
          <w:p w14:paraId="5BB5771A">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xml:space="preserve">       考核日期：</w:t>
            </w:r>
          </w:p>
        </w:tc>
        <w:tc>
          <w:tcPr>
            <w:tcW w:w="1064" w:type="pct"/>
            <w:gridSpan w:val="2"/>
            <w:shd w:val="clear" w:color="auto" w:fill="auto"/>
            <w:noWrap/>
            <w:vAlign w:val="center"/>
          </w:tcPr>
          <w:p w14:paraId="044A7879">
            <w:pPr>
              <w:pageBreakBefore w:val="0"/>
              <w:kinsoku/>
              <w:wordWrap/>
              <w:overflowPunct/>
              <w:topLinePunct w:val="0"/>
              <w:bidi w:val="0"/>
              <w:snapToGrid/>
              <w:spacing w:line="400" w:lineRule="exact"/>
              <w:ind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年  月   日</w:t>
            </w:r>
          </w:p>
        </w:tc>
      </w:tr>
      <w:tr w14:paraId="667FF8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370" w:type="pct"/>
            <w:shd w:val="clear" w:color="auto" w:fill="auto"/>
            <w:vAlign w:val="center"/>
          </w:tcPr>
          <w:p w14:paraId="7E2C2D88">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序号</w:t>
            </w:r>
          </w:p>
        </w:tc>
        <w:tc>
          <w:tcPr>
            <w:tcW w:w="1387" w:type="pct"/>
            <w:shd w:val="clear" w:color="auto" w:fill="auto"/>
            <w:noWrap/>
            <w:vAlign w:val="center"/>
          </w:tcPr>
          <w:p w14:paraId="0FAB5C56">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考核内容</w:t>
            </w:r>
          </w:p>
        </w:tc>
        <w:tc>
          <w:tcPr>
            <w:tcW w:w="2178" w:type="pct"/>
            <w:shd w:val="clear" w:color="auto" w:fill="auto"/>
            <w:noWrap/>
            <w:vAlign w:val="center"/>
          </w:tcPr>
          <w:p w14:paraId="256457AF">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评分标准</w:t>
            </w:r>
          </w:p>
        </w:tc>
        <w:tc>
          <w:tcPr>
            <w:tcW w:w="545" w:type="pct"/>
            <w:shd w:val="clear" w:color="auto" w:fill="auto"/>
            <w:noWrap/>
            <w:vAlign w:val="center"/>
          </w:tcPr>
          <w:p w14:paraId="22C1B072">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分值</w:t>
            </w:r>
          </w:p>
        </w:tc>
        <w:tc>
          <w:tcPr>
            <w:tcW w:w="518" w:type="pct"/>
            <w:shd w:val="clear" w:color="auto" w:fill="auto"/>
            <w:noWrap/>
            <w:vAlign w:val="center"/>
          </w:tcPr>
          <w:p w14:paraId="32A4815D">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得分</w:t>
            </w:r>
          </w:p>
        </w:tc>
      </w:tr>
      <w:tr w14:paraId="545853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atLeast"/>
          <w:jc w:val="center"/>
        </w:trPr>
        <w:tc>
          <w:tcPr>
            <w:tcW w:w="370" w:type="pct"/>
            <w:vMerge w:val="restart"/>
            <w:shd w:val="clear" w:color="auto" w:fill="auto"/>
            <w:noWrap/>
            <w:vAlign w:val="center"/>
          </w:tcPr>
          <w:p w14:paraId="2A91935E">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1</w:t>
            </w:r>
          </w:p>
        </w:tc>
        <w:tc>
          <w:tcPr>
            <w:tcW w:w="1387" w:type="pct"/>
            <w:shd w:val="clear" w:color="auto" w:fill="auto"/>
            <w:vAlign w:val="center"/>
          </w:tcPr>
          <w:p w14:paraId="67AD8355">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办公场地和管理人员（满分5分）</w:t>
            </w:r>
          </w:p>
        </w:tc>
        <w:tc>
          <w:tcPr>
            <w:tcW w:w="2178" w:type="pct"/>
            <w:shd w:val="clear" w:color="auto" w:fill="auto"/>
            <w:vAlign w:val="center"/>
          </w:tcPr>
          <w:p w14:paraId="3C27419E">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落实具体办公场所，办公室配备2人以上的专职管理人员得4分。专职人员少1人扣1分，养护人员少1人扣1分，日常管理、养护等工作制度未上墙扣2分。</w:t>
            </w:r>
          </w:p>
        </w:tc>
        <w:tc>
          <w:tcPr>
            <w:tcW w:w="545" w:type="pct"/>
            <w:shd w:val="clear" w:color="auto" w:fill="auto"/>
            <w:noWrap/>
            <w:vAlign w:val="center"/>
          </w:tcPr>
          <w:p w14:paraId="165176A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3C4D315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66456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8" w:hRule="atLeast"/>
          <w:jc w:val="center"/>
        </w:trPr>
        <w:tc>
          <w:tcPr>
            <w:tcW w:w="370" w:type="pct"/>
            <w:vMerge w:val="continue"/>
            <w:vAlign w:val="center"/>
          </w:tcPr>
          <w:p w14:paraId="2E3C6B8E">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shd w:val="clear" w:color="auto" w:fill="auto"/>
            <w:vAlign w:val="center"/>
          </w:tcPr>
          <w:p w14:paraId="2FF3F91B">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养护计划方案（3分）</w:t>
            </w:r>
          </w:p>
        </w:tc>
        <w:tc>
          <w:tcPr>
            <w:tcW w:w="2178" w:type="pct"/>
            <w:shd w:val="clear" w:color="auto" w:fill="auto"/>
            <w:vAlign w:val="center"/>
          </w:tcPr>
          <w:p w14:paraId="158F43DB">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应将每季度的养护计划方案以公司文件的形式报送一份至甲方备查。（以书面材料为准），方案不合格或未及时提交不得分</w:t>
            </w:r>
          </w:p>
        </w:tc>
        <w:tc>
          <w:tcPr>
            <w:tcW w:w="545" w:type="pct"/>
            <w:shd w:val="clear" w:color="auto" w:fill="auto"/>
            <w:noWrap/>
            <w:vAlign w:val="center"/>
          </w:tcPr>
          <w:p w14:paraId="424C3450">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7A6D9688">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7865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370" w:type="pct"/>
            <w:vMerge w:val="restart"/>
            <w:shd w:val="clear" w:color="auto" w:fill="auto"/>
            <w:noWrap/>
            <w:vAlign w:val="center"/>
          </w:tcPr>
          <w:p w14:paraId="708DBCA7">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2</w:t>
            </w:r>
          </w:p>
        </w:tc>
        <w:tc>
          <w:tcPr>
            <w:tcW w:w="1387" w:type="pct"/>
            <w:vMerge w:val="restart"/>
            <w:shd w:val="clear" w:color="auto" w:fill="auto"/>
            <w:vAlign w:val="center"/>
          </w:tcPr>
          <w:p w14:paraId="75ACD78F">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日常养护、公路小修维护</w:t>
            </w:r>
          </w:p>
          <w:p w14:paraId="43A84DD2">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（满分40分）</w:t>
            </w:r>
          </w:p>
        </w:tc>
        <w:tc>
          <w:tcPr>
            <w:tcW w:w="2178" w:type="pct"/>
            <w:shd w:val="clear" w:color="auto" w:fill="auto"/>
            <w:vAlign w:val="center"/>
          </w:tcPr>
          <w:p w14:paraId="5055D00B">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不定期整修路肩、路面保洁、边沟及排水系统的疏通，保障路容整洁，割除路肩及后边坡的长草。路肩未及时整理、存在高路肩、路肩冲沟，每公里3处扣1分；路肩上有垃圾或堆积物每处扣1分</w:t>
            </w:r>
          </w:p>
        </w:tc>
        <w:tc>
          <w:tcPr>
            <w:tcW w:w="545" w:type="pct"/>
            <w:shd w:val="clear" w:color="auto" w:fill="auto"/>
            <w:noWrap/>
            <w:vAlign w:val="center"/>
          </w:tcPr>
          <w:p w14:paraId="648A4C05">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p w14:paraId="1F17D1C3">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p>
        </w:tc>
        <w:tc>
          <w:tcPr>
            <w:tcW w:w="518" w:type="pct"/>
            <w:shd w:val="clear" w:color="auto" w:fill="auto"/>
            <w:noWrap/>
            <w:vAlign w:val="center"/>
          </w:tcPr>
          <w:p w14:paraId="23C984CA">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040E8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370" w:type="pct"/>
            <w:vMerge w:val="continue"/>
            <w:shd w:val="clear" w:color="auto" w:fill="auto"/>
            <w:noWrap/>
            <w:vAlign w:val="center"/>
          </w:tcPr>
          <w:p w14:paraId="2F11F6B2">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shd w:val="clear" w:color="auto" w:fill="auto"/>
            <w:vAlign w:val="center"/>
          </w:tcPr>
          <w:p w14:paraId="180C3C15">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4A2FDA35">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每处超过5</w:t>
            </w:r>
            <w:r>
              <w:rPr>
                <w:rFonts w:hint="eastAsia" w:ascii="仿宋" w:hAnsi="仿宋" w:eastAsia="仿宋" w:cs="仿宋"/>
                <w:bCs/>
                <w:sz w:val="27"/>
                <w:szCs w:val="27"/>
                <w:lang w:eastAsia="zh-CN"/>
              </w:rPr>
              <w:t>平方</w:t>
            </w:r>
            <w:r>
              <w:rPr>
                <w:rFonts w:hint="eastAsia" w:ascii="仿宋" w:hAnsi="仿宋" w:eastAsia="仿宋" w:cs="仿宋"/>
                <w:bCs/>
                <w:sz w:val="27"/>
                <w:szCs w:val="27"/>
              </w:rPr>
              <w:t>米的路面维修、20方以上碎石等材料进行路基路面整修、20方以上的公路塌方清理、桥涵水沟维修、路基修复未达到质量、安全要求的发现一处扣3分，并进行返工或整改直到符合要求</w:t>
            </w:r>
          </w:p>
        </w:tc>
        <w:tc>
          <w:tcPr>
            <w:tcW w:w="545" w:type="pct"/>
            <w:shd w:val="clear" w:color="auto" w:fill="auto"/>
            <w:noWrap/>
            <w:vAlign w:val="center"/>
          </w:tcPr>
          <w:p w14:paraId="71277EE4">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p>
        </w:tc>
        <w:tc>
          <w:tcPr>
            <w:tcW w:w="518" w:type="pct"/>
            <w:shd w:val="clear" w:color="auto" w:fill="auto"/>
            <w:noWrap/>
            <w:vAlign w:val="center"/>
          </w:tcPr>
          <w:p w14:paraId="415771E8">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p>
        </w:tc>
      </w:tr>
      <w:tr w14:paraId="6A87F4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4" w:hRule="atLeast"/>
          <w:jc w:val="center"/>
        </w:trPr>
        <w:tc>
          <w:tcPr>
            <w:tcW w:w="370" w:type="pct"/>
            <w:vMerge w:val="continue"/>
            <w:vAlign w:val="center"/>
          </w:tcPr>
          <w:p w14:paraId="4A51598A">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0455198E">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0ED32DD0">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定期（每月一次）对公路及设施进行预防性保养和轻微损坏的修复，主要包括路面轻微受损修复、路面坑槽修补、边沟及排水系统的疏通。发现未处理或处理不及时的，每公里3处扣1分；路肩上有垃圾或堆积物每处扣1分</w:t>
            </w:r>
          </w:p>
        </w:tc>
        <w:tc>
          <w:tcPr>
            <w:tcW w:w="545" w:type="pct"/>
            <w:shd w:val="clear" w:color="auto" w:fill="auto"/>
            <w:noWrap/>
            <w:vAlign w:val="center"/>
          </w:tcPr>
          <w:p w14:paraId="15F25166">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7D8B88D0">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6680D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370" w:type="pct"/>
            <w:vMerge w:val="continue"/>
            <w:vAlign w:val="center"/>
          </w:tcPr>
          <w:p w14:paraId="013A1E51">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632B7ABD">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411B518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水泥路面清扫不彻底，存在砂土等杂物，路容不整洁，每公里3处扣2分</w:t>
            </w:r>
          </w:p>
        </w:tc>
        <w:tc>
          <w:tcPr>
            <w:tcW w:w="545" w:type="pct"/>
            <w:shd w:val="clear" w:color="auto" w:fill="auto"/>
            <w:noWrap/>
            <w:vAlign w:val="center"/>
          </w:tcPr>
          <w:p w14:paraId="30D19413">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62FF6EB6">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3424D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370" w:type="pct"/>
            <w:vMerge w:val="continue"/>
            <w:vAlign w:val="center"/>
          </w:tcPr>
          <w:p w14:paraId="208184BA">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761870FB">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3A30FFE6">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边沟清理不干净、有杂物未达到要求每20延米长扣1分；边沟淤塞每处扣1分</w:t>
            </w:r>
          </w:p>
        </w:tc>
        <w:tc>
          <w:tcPr>
            <w:tcW w:w="545" w:type="pct"/>
            <w:shd w:val="clear" w:color="auto" w:fill="auto"/>
            <w:noWrap/>
            <w:vAlign w:val="center"/>
          </w:tcPr>
          <w:p w14:paraId="016EDB8A">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1936A4A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3D3B6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4" w:hRule="atLeast"/>
          <w:jc w:val="center"/>
        </w:trPr>
        <w:tc>
          <w:tcPr>
            <w:tcW w:w="370" w:type="pct"/>
            <w:shd w:val="clear" w:color="auto" w:fill="auto"/>
            <w:noWrap/>
            <w:vAlign w:val="center"/>
          </w:tcPr>
          <w:p w14:paraId="7F2B5166">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3</w:t>
            </w:r>
          </w:p>
        </w:tc>
        <w:tc>
          <w:tcPr>
            <w:tcW w:w="1387" w:type="pct"/>
            <w:shd w:val="clear" w:color="auto" w:fill="auto"/>
            <w:vAlign w:val="center"/>
          </w:tcPr>
          <w:p w14:paraId="45974E15">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按《公路桥涵养护规范》（JTG5120-2021）要求，对沿线桥梁与其他公路附属设施的日常检查保养。（满分15分）</w:t>
            </w:r>
          </w:p>
        </w:tc>
        <w:tc>
          <w:tcPr>
            <w:tcW w:w="2178" w:type="pct"/>
            <w:shd w:val="clear" w:color="000000" w:fill="FFFFFF"/>
            <w:vAlign w:val="center"/>
          </w:tcPr>
          <w:p w14:paraId="7C31F02E">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按《公路桥涵养护规范》（JTG5120-2021）要求，对沿线桥涵与其他公路附属设施的日常检查保养，并于下月2日前报公路站备查，并落实桥梁检查责任人。未提供合格检查记录或提供虚假记录的扣5分</w:t>
            </w:r>
          </w:p>
        </w:tc>
        <w:tc>
          <w:tcPr>
            <w:tcW w:w="545" w:type="pct"/>
            <w:shd w:val="clear" w:color="auto" w:fill="auto"/>
            <w:noWrap/>
            <w:vAlign w:val="center"/>
          </w:tcPr>
          <w:p w14:paraId="774610E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2785B189">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6D89F0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370" w:type="pct"/>
            <w:vMerge w:val="restart"/>
            <w:shd w:val="clear" w:color="auto" w:fill="auto"/>
            <w:noWrap/>
            <w:vAlign w:val="center"/>
          </w:tcPr>
          <w:p w14:paraId="016BCAFD">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4</w:t>
            </w:r>
          </w:p>
        </w:tc>
        <w:tc>
          <w:tcPr>
            <w:tcW w:w="1387" w:type="pct"/>
            <w:vMerge w:val="restart"/>
            <w:shd w:val="clear" w:color="auto" w:fill="auto"/>
            <w:vAlign w:val="center"/>
          </w:tcPr>
          <w:p w14:paraId="0D896D43">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养护巡查（满分10分）</w:t>
            </w:r>
          </w:p>
        </w:tc>
        <w:tc>
          <w:tcPr>
            <w:tcW w:w="2178" w:type="pct"/>
            <w:shd w:val="clear" w:color="auto" w:fill="auto"/>
            <w:vAlign w:val="center"/>
          </w:tcPr>
          <w:p w14:paraId="4D4FCE4E">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养护企业应成立养护巡查组，实行每周巡查频率不少于一次，并及时填写公路养护巡查记录及安全隐患、公路水毁巡查记录，并于下月2日前报送公路站备查。每周巡查频率少一次扣2分</w:t>
            </w:r>
          </w:p>
        </w:tc>
        <w:tc>
          <w:tcPr>
            <w:tcW w:w="545" w:type="pct"/>
            <w:shd w:val="clear" w:color="auto" w:fill="auto"/>
            <w:noWrap/>
            <w:vAlign w:val="center"/>
          </w:tcPr>
          <w:p w14:paraId="6D2DDB8C">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6C579810">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683E6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370" w:type="pct"/>
            <w:vMerge w:val="continue"/>
            <w:vAlign w:val="center"/>
          </w:tcPr>
          <w:p w14:paraId="01D7395B">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7DC222CF">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11A1CAB4">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存在安全隐患、公路水毁未及时上报的一处扣2分；被相关部门反映或群众信访投诉的一次扣3分</w:t>
            </w:r>
          </w:p>
        </w:tc>
        <w:tc>
          <w:tcPr>
            <w:tcW w:w="545" w:type="pct"/>
            <w:shd w:val="clear" w:color="auto" w:fill="auto"/>
            <w:noWrap/>
            <w:vAlign w:val="center"/>
          </w:tcPr>
          <w:p w14:paraId="55A4527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4CB5367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53053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370" w:type="pct"/>
            <w:vMerge w:val="restart"/>
            <w:shd w:val="clear" w:color="auto" w:fill="auto"/>
            <w:noWrap/>
            <w:vAlign w:val="center"/>
          </w:tcPr>
          <w:p w14:paraId="47F5F569">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5</w:t>
            </w:r>
          </w:p>
        </w:tc>
        <w:tc>
          <w:tcPr>
            <w:tcW w:w="1387" w:type="pct"/>
            <w:vMerge w:val="restart"/>
            <w:shd w:val="clear" w:color="auto" w:fill="auto"/>
            <w:vAlign w:val="center"/>
          </w:tcPr>
          <w:p w14:paraId="23EEE1B5">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lang w:eastAsia="zh-CN"/>
              </w:rPr>
              <w:t>应急抢险物资</w:t>
            </w:r>
            <w:r>
              <w:rPr>
                <w:rFonts w:hint="eastAsia" w:ascii="仿宋" w:hAnsi="仿宋" w:eastAsia="仿宋" w:cs="仿宋"/>
                <w:bCs/>
                <w:sz w:val="27"/>
                <w:szCs w:val="27"/>
              </w:rPr>
              <w:t>（如安全警示牌、交通锥、彩色警示带、爆闪灯、编织袋、</w:t>
            </w:r>
            <w:r>
              <w:rPr>
                <w:rFonts w:hint="eastAsia" w:ascii="仿宋" w:hAnsi="仿宋" w:eastAsia="仿宋" w:cs="仿宋"/>
                <w:bCs/>
                <w:sz w:val="27"/>
                <w:szCs w:val="27"/>
                <w:lang w:eastAsia="zh-CN"/>
              </w:rPr>
              <w:t>沙包</w:t>
            </w:r>
            <w:r>
              <w:rPr>
                <w:rFonts w:hint="eastAsia" w:ascii="仿宋" w:hAnsi="仿宋" w:eastAsia="仿宋" w:cs="仿宋"/>
                <w:bCs/>
                <w:sz w:val="27"/>
                <w:szCs w:val="27"/>
              </w:rPr>
              <w:t>等）应自行配备，应急处置中标准设置（满分10分）</w:t>
            </w:r>
          </w:p>
        </w:tc>
        <w:tc>
          <w:tcPr>
            <w:tcW w:w="2178" w:type="pct"/>
            <w:shd w:val="clear" w:color="auto" w:fill="auto"/>
            <w:vAlign w:val="center"/>
          </w:tcPr>
          <w:p w14:paraId="018E7EA7">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应急物资不齐全无法满足养护安全需求的，扣5分</w:t>
            </w:r>
          </w:p>
        </w:tc>
        <w:tc>
          <w:tcPr>
            <w:tcW w:w="545" w:type="pct"/>
            <w:shd w:val="clear" w:color="auto" w:fill="auto"/>
            <w:noWrap/>
            <w:vAlign w:val="center"/>
          </w:tcPr>
          <w:p w14:paraId="0BBBBCE1">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51287AE5">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53A124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370" w:type="pct"/>
            <w:vMerge w:val="continue"/>
            <w:vAlign w:val="center"/>
          </w:tcPr>
          <w:p w14:paraId="1705AFD9">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767516DF">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6EA0DB2E">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发生险情灾情时，应急处置中未按要求设置临时防护设施的一处扣2分</w:t>
            </w:r>
          </w:p>
        </w:tc>
        <w:tc>
          <w:tcPr>
            <w:tcW w:w="545" w:type="pct"/>
            <w:shd w:val="clear" w:color="auto" w:fill="auto"/>
            <w:noWrap/>
            <w:vAlign w:val="center"/>
          </w:tcPr>
          <w:p w14:paraId="6F8E30D4">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5F87FCF5">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152F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6" w:hRule="atLeast"/>
          <w:jc w:val="center"/>
        </w:trPr>
        <w:tc>
          <w:tcPr>
            <w:tcW w:w="370" w:type="pct"/>
            <w:vMerge w:val="continue"/>
            <w:vAlign w:val="center"/>
          </w:tcPr>
          <w:p w14:paraId="554B38C1">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177A4BEB">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2FDF0FF8">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因养护企业日常工作管理不到位，某项具体工作被相关媒体、部门反映，群众投诉举报的一次扣4分</w:t>
            </w:r>
          </w:p>
        </w:tc>
        <w:tc>
          <w:tcPr>
            <w:tcW w:w="545" w:type="pct"/>
            <w:shd w:val="clear" w:color="auto" w:fill="auto"/>
            <w:noWrap/>
            <w:vAlign w:val="center"/>
          </w:tcPr>
          <w:p w14:paraId="1E9A92BA">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4E939C7B">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24DC0D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370" w:type="pct"/>
            <w:vMerge w:val="restart"/>
            <w:shd w:val="clear" w:color="auto" w:fill="auto"/>
            <w:noWrap/>
            <w:vAlign w:val="center"/>
          </w:tcPr>
          <w:p w14:paraId="7A07154F">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6</w:t>
            </w:r>
          </w:p>
        </w:tc>
        <w:tc>
          <w:tcPr>
            <w:tcW w:w="1387" w:type="pct"/>
            <w:vMerge w:val="restart"/>
            <w:shd w:val="clear" w:color="auto" w:fill="auto"/>
            <w:vAlign w:val="center"/>
          </w:tcPr>
          <w:p w14:paraId="5ED05C44">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清理20m³以下的小塌方，发生险情时应立即采取措施消除安全隐患，不能立即消除的及时设立安全警示警告标志、疏导交通。不在本协议内的大中修、超过小修约定数量的水毁及路面大面积修补由甲方另行安排实施。（满分15分）</w:t>
            </w:r>
          </w:p>
        </w:tc>
        <w:tc>
          <w:tcPr>
            <w:tcW w:w="2178" w:type="pct"/>
            <w:shd w:val="clear" w:color="auto" w:fill="auto"/>
            <w:vAlign w:val="center"/>
          </w:tcPr>
          <w:p w14:paraId="2E305161">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未能及时清理20m³以下的小塌方一次扣3分</w:t>
            </w:r>
          </w:p>
        </w:tc>
        <w:tc>
          <w:tcPr>
            <w:tcW w:w="545" w:type="pct"/>
            <w:shd w:val="clear" w:color="auto" w:fill="auto"/>
            <w:noWrap/>
            <w:vAlign w:val="center"/>
          </w:tcPr>
          <w:p w14:paraId="7632A328">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2E9E41C2">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5063C9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8" w:hRule="atLeast"/>
          <w:jc w:val="center"/>
        </w:trPr>
        <w:tc>
          <w:tcPr>
            <w:tcW w:w="370" w:type="pct"/>
            <w:vMerge w:val="continue"/>
            <w:vAlign w:val="center"/>
          </w:tcPr>
          <w:p w14:paraId="28A0DCE8">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1387" w:type="pct"/>
            <w:vMerge w:val="continue"/>
            <w:vAlign w:val="center"/>
          </w:tcPr>
          <w:p w14:paraId="7F035B7C">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p>
        </w:tc>
        <w:tc>
          <w:tcPr>
            <w:tcW w:w="2178" w:type="pct"/>
            <w:shd w:val="clear" w:color="auto" w:fill="auto"/>
            <w:vAlign w:val="center"/>
          </w:tcPr>
          <w:p w14:paraId="195007B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未及时设立安全警示警告标志、疏导交通的一次扣3分</w:t>
            </w:r>
          </w:p>
        </w:tc>
        <w:tc>
          <w:tcPr>
            <w:tcW w:w="545" w:type="pct"/>
            <w:shd w:val="clear" w:color="auto" w:fill="auto"/>
            <w:noWrap/>
            <w:vAlign w:val="center"/>
          </w:tcPr>
          <w:p w14:paraId="310037A6">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6005ACD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r w14:paraId="746C4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9" w:hRule="atLeast"/>
          <w:jc w:val="center"/>
        </w:trPr>
        <w:tc>
          <w:tcPr>
            <w:tcW w:w="370" w:type="pct"/>
            <w:shd w:val="clear" w:color="auto" w:fill="auto"/>
            <w:noWrap/>
            <w:vAlign w:val="center"/>
          </w:tcPr>
          <w:p w14:paraId="0F51BE34">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7</w:t>
            </w:r>
          </w:p>
        </w:tc>
        <w:tc>
          <w:tcPr>
            <w:tcW w:w="1387" w:type="pct"/>
            <w:shd w:val="clear" w:color="auto" w:fill="auto"/>
            <w:vAlign w:val="center"/>
          </w:tcPr>
          <w:p w14:paraId="2BBB25C0">
            <w:pPr>
              <w:pageBreakBefore w:val="0"/>
              <w:kinsoku/>
              <w:wordWrap/>
              <w:overflowPunct/>
              <w:topLinePunct w:val="0"/>
              <w:bidi w:val="0"/>
              <w:snapToGrid/>
              <w:spacing w:line="400" w:lineRule="exact"/>
              <w:ind w:left="0" w:leftChars="0" w:right="0"/>
              <w:jc w:val="center"/>
              <w:textAlignment w:val="auto"/>
              <w:rPr>
                <w:rFonts w:hint="eastAsia" w:ascii="仿宋" w:hAnsi="仿宋" w:eastAsia="仿宋" w:cs="仿宋"/>
                <w:bCs/>
                <w:sz w:val="27"/>
                <w:szCs w:val="27"/>
              </w:rPr>
            </w:pPr>
            <w:r>
              <w:rPr>
                <w:rFonts w:hint="eastAsia" w:ascii="仿宋" w:hAnsi="仿宋" w:eastAsia="仿宋" w:cs="仿宋"/>
                <w:bCs/>
                <w:sz w:val="27"/>
                <w:szCs w:val="27"/>
              </w:rPr>
              <w:t>每个养护工人上路应穿着统一养护服装（符合农村公路养护管理规定（满分2分）</w:t>
            </w:r>
          </w:p>
        </w:tc>
        <w:tc>
          <w:tcPr>
            <w:tcW w:w="2178" w:type="pct"/>
            <w:shd w:val="clear" w:color="auto" w:fill="auto"/>
            <w:vAlign w:val="center"/>
          </w:tcPr>
          <w:p w14:paraId="27A9ACB5">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每个养护（班组）工人上路应穿着统一养护服装，每一人未按规定着装扣1分</w:t>
            </w:r>
          </w:p>
        </w:tc>
        <w:tc>
          <w:tcPr>
            <w:tcW w:w="545" w:type="pct"/>
            <w:shd w:val="clear" w:color="auto" w:fill="auto"/>
            <w:noWrap/>
            <w:vAlign w:val="center"/>
          </w:tcPr>
          <w:p w14:paraId="35E723CF">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c>
          <w:tcPr>
            <w:tcW w:w="518" w:type="pct"/>
            <w:shd w:val="clear" w:color="auto" w:fill="auto"/>
            <w:noWrap/>
            <w:vAlign w:val="center"/>
          </w:tcPr>
          <w:p w14:paraId="2AEEFF57">
            <w:pPr>
              <w:pageBreakBefore w:val="0"/>
              <w:kinsoku/>
              <w:wordWrap/>
              <w:overflowPunct/>
              <w:topLinePunct w:val="0"/>
              <w:bidi w:val="0"/>
              <w:snapToGrid/>
              <w:spacing w:line="400" w:lineRule="exact"/>
              <w:ind w:left="0" w:leftChars="0" w:right="0"/>
              <w:jc w:val="both"/>
              <w:textAlignment w:val="auto"/>
              <w:rPr>
                <w:rFonts w:hint="eastAsia" w:ascii="仿宋" w:hAnsi="仿宋" w:eastAsia="仿宋" w:cs="仿宋"/>
                <w:bCs/>
                <w:sz w:val="27"/>
                <w:szCs w:val="27"/>
              </w:rPr>
            </w:pPr>
            <w:r>
              <w:rPr>
                <w:rFonts w:hint="eastAsia" w:ascii="仿宋" w:hAnsi="仿宋" w:eastAsia="仿宋" w:cs="仿宋"/>
                <w:bCs/>
                <w:sz w:val="27"/>
                <w:szCs w:val="27"/>
              </w:rPr>
              <w:t>　</w:t>
            </w:r>
          </w:p>
        </w:tc>
      </w:tr>
    </w:tbl>
    <w:p w14:paraId="6B82A924">
      <w:pPr>
        <w:pStyle w:val="2"/>
        <w:rPr>
          <w:rFonts w:hint="default"/>
          <w:lang w:val="en-US" w:eastAsia="zh-CN"/>
        </w:rPr>
      </w:pPr>
    </w:p>
    <w:p w14:paraId="1E99F26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58AA28"/>
    <w:multiLevelType w:val="singleLevel"/>
    <w:tmpl w:val="4158AA28"/>
    <w:lvl w:ilvl="0" w:tentative="0">
      <w:start w:val="10"/>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CC614A3"/>
    <w:rsid w:val="03F24430"/>
    <w:rsid w:val="174806A1"/>
    <w:rsid w:val="177E5132"/>
    <w:rsid w:val="1DC54A94"/>
    <w:rsid w:val="1E803E86"/>
    <w:rsid w:val="247B052C"/>
    <w:rsid w:val="3CC614A3"/>
    <w:rsid w:val="52FE559C"/>
    <w:rsid w:val="7FDD5B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正文"/>
    <w:basedOn w:val="1"/>
    <w:autoRedefine/>
    <w:qFormat/>
    <w:uiPriority w:val="99"/>
    <w:pPr>
      <w:spacing w:line="360" w:lineRule="auto"/>
      <w:ind w:firstLine="200" w:firstLineChars="200"/>
    </w:pPr>
    <w:rPr>
      <w:rFonts w:ascii="宋体" w:hAnsi="宋体" w:cs="宋体"/>
      <w:sz w:val="22"/>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4762</Words>
  <Characters>6088</Characters>
  <Lines>0</Lines>
  <Paragraphs>0</Paragraphs>
  <TotalTime>33</TotalTime>
  <ScaleCrop>false</ScaleCrop>
  <LinksUpToDate>false</LinksUpToDate>
  <CharactersWithSpaces>6140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2026-03-03T08:33:00Z</dcterms:created>
  <dc:creator>admin</dc:creator>
  <cp:lastModifiedBy>lenovo</cp:lastModifiedBy>
  <dcterms:modified xsi:type="dcterms:W3CDTF">2026-05-11T02:03:45Z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075CD9AD71E14252B205EBBCC29EBF63_11</vt:lpwstr>
  </property>
  <property fmtid="{D5CDD505-2E9C-101B-9397-08002B2CF9AE}" pid="4" name="KSOTemplateDocerSaveRecord">
    <vt:lpwstr>eyJoZGlkIjoiYjY0ZmE0NjBiZDgzNWM5MTI4ZTFmZjIyMzc3MmUyOGYiLCJ1c2VySWQiOiIzOTk4NDA0MDQifQ==</vt:lpwstr>
  </property>
</Properties>
</file>