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358AE">
      <w:pPr>
        <w:widowControl w:val="0"/>
        <w:spacing w:before="47" w:line="219" w:lineRule="auto"/>
        <w:ind w:left="3805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38EDD698">
      <w:pPr>
        <w:widowControl w:val="0"/>
        <w:spacing w:line="257" w:lineRule="auto"/>
        <w:rPr>
          <w:color w:val="auto"/>
          <w:highlight w:val="none"/>
        </w:rPr>
      </w:pPr>
    </w:p>
    <w:p w14:paraId="174E455C">
      <w:pPr>
        <w:widowControl w:val="0"/>
        <w:spacing w:line="258" w:lineRule="auto"/>
        <w:rPr>
          <w:color w:val="auto"/>
          <w:highlight w:val="none"/>
        </w:rPr>
      </w:pPr>
    </w:p>
    <w:p w14:paraId="30C7A07B">
      <w:pPr>
        <w:widowControl w:val="0"/>
        <w:spacing w:line="258" w:lineRule="auto"/>
        <w:rPr>
          <w:color w:val="auto"/>
          <w:highlight w:val="none"/>
        </w:rPr>
      </w:pPr>
    </w:p>
    <w:p w14:paraId="75646227">
      <w:pPr>
        <w:widowControl w:val="0"/>
        <w:spacing w:before="78" w:line="219" w:lineRule="auto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eastAsia="zh-CN"/>
        </w:rPr>
        <w:t>服务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要求</w:t>
      </w:r>
    </w:p>
    <w:p w14:paraId="27165959">
      <w:pPr>
        <w:widowControl w:val="0"/>
        <w:spacing w:line="242" w:lineRule="auto"/>
        <w:rPr>
          <w:color w:val="auto"/>
          <w:highlight w:val="none"/>
        </w:rPr>
      </w:pPr>
    </w:p>
    <w:p w14:paraId="1F6E6375">
      <w:pPr>
        <w:pStyle w:val="2"/>
        <w:spacing w:before="202" w:line="222" w:lineRule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</w:rPr>
        <w:t>一、项目概况</w:t>
      </w:r>
    </w:p>
    <w:p w14:paraId="68EA34DA">
      <w:pPr>
        <w:pStyle w:val="2"/>
        <w:spacing w:before="190" w:line="345" w:lineRule="auto"/>
        <w:ind w:left="33" w:firstLine="573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“十五五</w:t>
      </w:r>
      <w:r>
        <w:rPr>
          <w:rFonts w:hint="eastAsia" w:ascii="宋体" w:hAnsi="宋体" w:eastAsia="宋体" w:cs="宋体"/>
          <w:color w:val="auto"/>
          <w:spacing w:val="-108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”时期是我国全面建设社会主义现代化国家的关键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阶段，城市更新作为转换城市发展动能、优化城市空间布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局、提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升城市功能品质、增强城市治理效能的重要举措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，是建设创新、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宜居、美丽、韧性、文明、智慧的现代化人民城市的新途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径，对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于满足人民群众美好生活需要、促进城市可持续发展、提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升经济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发展内生动力具有重要意义。弋阳县作为江西省</w:t>
      </w:r>
      <w:r>
        <w:rPr>
          <w:rFonts w:hint="eastAsia" w:ascii="宋体" w:hAnsi="宋体" w:eastAsia="宋体" w:cs="宋体"/>
          <w:color w:val="auto"/>
          <w:spacing w:val="-7"/>
          <w:sz w:val="24"/>
          <w:szCs w:val="24"/>
          <w:highlight w:val="none"/>
          <w:lang w:eastAsia="zh-CN"/>
        </w:rPr>
        <w:t>区域性中心城市，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在“十四五</w:t>
      </w:r>
      <w:r>
        <w:rPr>
          <w:rFonts w:hint="eastAsia" w:ascii="宋体" w:hAnsi="宋体" w:eastAsia="宋体" w:cs="宋体"/>
          <w:color w:val="auto"/>
          <w:spacing w:val="-97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”期间已开展多项城市更新实践，积累了经验，也面临新的挑战，“十五五</w:t>
      </w:r>
      <w:r>
        <w:rPr>
          <w:rFonts w:hint="eastAsia" w:ascii="宋体" w:hAnsi="宋体" w:eastAsia="宋体" w:cs="宋体"/>
          <w:color w:val="auto"/>
          <w:spacing w:val="-97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”时期，需进一步系统谋划、统筹推进城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市更新，以适应新发展阶段的要求，助力城市治理现代化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和经济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社会持续健康发展。</w:t>
      </w:r>
    </w:p>
    <w:p w14:paraId="7BFA759E">
      <w:pPr>
        <w:pStyle w:val="2"/>
        <w:spacing w:before="10" w:line="344" w:lineRule="auto"/>
        <w:ind w:left="23" w:right="100" w:firstLine="621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为认真贯彻落实中央城市工作会议、中共中央、国务院《关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于推动城市高质量发展的意见》和中共中央办公厅、国务院办公厅《关于持续推进城市更新行动的意见》精神，根据住建部办公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厅《关于印发城市更新规划编制导则的通知》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（建办科〔2025〕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46</w:t>
      </w:r>
      <w:r>
        <w:rPr>
          <w:rFonts w:hint="eastAsia" w:ascii="宋体" w:hAnsi="宋体" w:eastAsia="宋体" w:cs="宋体"/>
          <w:color w:val="auto"/>
          <w:spacing w:val="-30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号）《江西省城市更新条例》和省、市“十五五</w:t>
      </w:r>
      <w:r>
        <w:rPr>
          <w:rFonts w:hint="eastAsia" w:ascii="宋体" w:hAnsi="宋体" w:eastAsia="宋体" w:cs="宋体"/>
          <w:color w:val="auto"/>
          <w:spacing w:val="-105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”专项规划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编制有关要求，经请示县政府同意，结合我县实际，由弋阳县住房和城乡建设局</w:t>
      </w: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highlight w:val="none"/>
          <w:lang w:eastAsia="zh-CN"/>
        </w:rPr>
        <w:t>牵头组织开展《2026年城市体检》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和《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 w:bidi="ar"/>
        </w:rPr>
        <w:t>“十五五”城市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更新专项规划》的编制工作。</w:t>
      </w:r>
    </w:p>
    <w:p w14:paraId="527F3A37">
      <w:pPr>
        <w:pStyle w:val="2"/>
        <w:spacing w:line="222" w:lineRule="auto"/>
        <w:ind w:left="643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eastAsia="zh-CN"/>
        </w:rPr>
        <w:t>二、人员要求</w:t>
      </w:r>
    </w:p>
    <w:p w14:paraId="2B94863B">
      <w:pPr>
        <w:pStyle w:val="2"/>
        <w:spacing w:before="10" w:line="344" w:lineRule="auto"/>
        <w:ind w:left="23" w:right="100" w:firstLine="621"/>
        <w:jc w:val="both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 xml:space="preserve">拟派本项目团队人员提供不少于5 人（含项目负责人）的专业团队人员。 </w:t>
      </w:r>
    </w:p>
    <w:p w14:paraId="79221C61">
      <w:pPr>
        <w:pStyle w:val="2"/>
        <w:spacing w:before="10" w:line="344" w:lineRule="auto"/>
        <w:ind w:left="23" w:right="100" w:firstLine="621"/>
        <w:jc w:val="both"/>
        <w:rPr>
          <w:rFonts w:hint="default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2.项目负责人：具备城乡规划类专业中级及以上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技术职称。</w:t>
      </w:r>
    </w:p>
    <w:p w14:paraId="4DC723CA">
      <w:pPr>
        <w:pStyle w:val="2"/>
        <w:spacing w:before="10" w:line="344" w:lineRule="auto"/>
        <w:ind w:left="23" w:right="100" w:firstLine="621"/>
        <w:jc w:val="both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项目团队人员(不含项目负责人)：具备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相关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专业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中级及以上技术职称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 xml:space="preserve">。 </w:t>
      </w:r>
    </w:p>
    <w:p w14:paraId="0CA5B296">
      <w:pPr>
        <w:pStyle w:val="2"/>
        <w:spacing w:line="220" w:lineRule="auto"/>
        <w:ind w:left="64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三、编制工作内容</w:t>
      </w:r>
    </w:p>
    <w:p w14:paraId="4BC0D7F8">
      <w:pPr>
        <w:pStyle w:val="2"/>
        <w:spacing w:before="202" w:line="220" w:lineRule="auto"/>
        <w:ind w:left="638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11"/>
          <w:sz w:val="24"/>
          <w:szCs w:val="24"/>
          <w:highlight w:val="none"/>
          <w:lang w:eastAsia="zh-CN"/>
        </w:rPr>
        <w:t>（一）《城市体检》编制工作内容</w:t>
      </w:r>
    </w:p>
    <w:p w14:paraId="402A16C4">
      <w:pPr>
        <w:pStyle w:val="2"/>
        <w:spacing w:before="202" w:line="222" w:lineRule="auto"/>
        <w:ind w:left="646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eastAsia="zh-CN"/>
        </w:rPr>
        <w:t>1.规划背景</w:t>
      </w:r>
    </w:p>
    <w:p w14:paraId="29B83698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（1）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工作背景</w:t>
      </w:r>
    </w:p>
    <w:p w14:paraId="47004E2B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（2）编制依据</w:t>
      </w:r>
    </w:p>
    <w:p w14:paraId="435F7EA8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（3）编制原则</w:t>
      </w:r>
    </w:p>
    <w:p w14:paraId="4FE23DBC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（4）体检对象与范围</w:t>
      </w:r>
    </w:p>
    <w:p w14:paraId="758CD0F2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（5）数据采集与汇总</w:t>
      </w:r>
    </w:p>
    <w:p w14:paraId="079110E6">
      <w:pPr>
        <w:pStyle w:val="2"/>
        <w:spacing w:before="200" w:line="224" w:lineRule="auto"/>
        <w:ind w:left="638"/>
        <w:rPr>
          <w:rFonts w:hint="default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（6）工作方法</w:t>
      </w:r>
    </w:p>
    <w:p w14:paraId="252B08C6">
      <w:pPr>
        <w:pStyle w:val="2"/>
        <w:spacing w:before="202" w:line="222" w:lineRule="auto"/>
        <w:ind w:left="646"/>
        <w:rPr>
          <w:rFonts w:hint="default"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eastAsia="zh-CN"/>
        </w:rPr>
        <w:t>2.</w:t>
      </w:r>
      <w:r>
        <w:rPr>
          <w:rFonts w:hint="eastAsia"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val="en-US" w:eastAsia="zh-CN"/>
        </w:rPr>
        <w:t>城市体检指标体系构建与评价</w:t>
      </w:r>
    </w:p>
    <w:p w14:paraId="6530BDD1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（1）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体检指标体系构建</w:t>
      </w:r>
    </w:p>
    <w:p w14:paraId="7198FD9B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（2）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val="en-US" w:eastAsia="zh-CN"/>
        </w:rPr>
        <w:t>体检评价方法</w:t>
      </w:r>
    </w:p>
    <w:p w14:paraId="4CEC7DE5">
      <w:pPr>
        <w:pStyle w:val="2"/>
        <w:spacing w:before="200" w:line="224" w:lineRule="auto"/>
        <w:ind w:left="638"/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（3）</w:t>
      </w:r>
      <w:bookmarkStart w:id="0" w:name="_Toc23890"/>
      <w:bookmarkStart w:id="1" w:name="_Toc8227"/>
      <w:bookmarkStart w:id="2" w:name="_Toc24890"/>
      <w:bookmarkStart w:id="3" w:name="_Toc22343"/>
      <w:bookmarkStart w:id="4" w:name="_Toc16431"/>
      <w:bookmarkStart w:id="5" w:name="_Toc28264"/>
      <w:bookmarkStart w:id="6" w:name="_Toc4269"/>
      <w:bookmarkStart w:id="7" w:name="_Toc2309"/>
      <w:bookmarkStart w:id="8" w:name="_Toc9971"/>
      <w:bookmarkStart w:id="9" w:name="_Toc30144"/>
      <w:bookmarkStart w:id="10" w:name="_Toc28560"/>
      <w:bookmarkStart w:id="11" w:name="_Toc6878"/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城区维度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综合研判</w:t>
      </w:r>
      <w:bookmarkEnd w:id="8"/>
      <w:bookmarkEnd w:id="9"/>
      <w:bookmarkEnd w:id="10"/>
      <w:bookmarkEnd w:id="11"/>
    </w:p>
    <w:p w14:paraId="32DCB5D7">
      <w:pPr>
        <w:pStyle w:val="2"/>
        <w:spacing w:before="199" w:line="223" w:lineRule="auto"/>
        <w:ind w:left="630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3.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val="en-US" w:eastAsia="zh-CN"/>
        </w:rPr>
        <w:t>成效与问题清单</w:t>
      </w:r>
    </w:p>
    <w:p w14:paraId="5838D57E">
      <w:pPr>
        <w:pStyle w:val="2"/>
        <w:spacing w:before="199" w:line="345" w:lineRule="auto"/>
        <w:ind w:left="33" w:right="255" w:firstLine="600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围绕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生态宜居、历史文化保护利用、产城融合与职住平衡、安全韧性、智慧高效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等六个方面提出弋阳县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城市建设成效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和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问题短板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。</w:t>
      </w:r>
    </w:p>
    <w:p w14:paraId="17631B31">
      <w:pPr>
        <w:pStyle w:val="2"/>
        <w:spacing w:before="1" w:line="220" w:lineRule="auto"/>
        <w:ind w:left="623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4"/>
          <w:sz w:val="24"/>
          <w:szCs w:val="24"/>
          <w:highlight w:val="none"/>
          <w:lang w:eastAsia="zh-CN"/>
        </w:rPr>
        <w:t>4.</w:t>
      </w:r>
      <w:r>
        <w:rPr>
          <w:rFonts w:hint="eastAsia" w:ascii="宋体" w:hAnsi="宋体" w:eastAsia="宋体" w:cs="宋体"/>
          <w:b/>
          <w:bCs/>
          <w:color w:val="auto"/>
          <w:spacing w:val="-4"/>
          <w:sz w:val="24"/>
          <w:szCs w:val="24"/>
          <w:highlight w:val="none"/>
          <w:lang w:val="en-US" w:eastAsia="zh-CN"/>
        </w:rPr>
        <w:t>治理对策与行动建议</w:t>
      </w:r>
    </w:p>
    <w:p w14:paraId="5016E72A">
      <w:pPr>
        <w:pStyle w:val="2"/>
        <w:spacing w:before="199" w:line="345" w:lineRule="auto"/>
        <w:ind w:left="33" w:right="255" w:firstLine="600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结合弋阳县城市体检中反映出在城区维度上的短板和问题，提出针对性的行动计划建议。</w:t>
      </w:r>
    </w:p>
    <w:p w14:paraId="19AF1139">
      <w:pPr>
        <w:pStyle w:val="2"/>
        <w:spacing w:line="223" w:lineRule="auto"/>
        <w:ind w:left="63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  <w:lang w:eastAsia="zh-CN"/>
        </w:rPr>
        <w:t>5.附图</w:t>
      </w:r>
    </w:p>
    <w:p w14:paraId="6C347ED0">
      <w:pPr>
        <w:pStyle w:val="2"/>
        <w:spacing w:before="196" w:line="345" w:lineRule="auto"/>
        <w:ind w:left="39" w:right="103" w:firstLine="593"/>
        <w:jc w:val="both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包括城市体检范围示意图、现状道路交通分析图、现状居住用地分析图、绿道服务半径覆盖率分析图、现状公园服务半径覆盖率分析图、医疗设施服务半径覆盖率分析图、中学服务半径覆盖率分析图、小学服务半径覆盖率分析图、公共厕所服务半径覆盖率分析图、公交站点服务半径覆盖率分析图、易涝点分布图等。</w:t>
      </w:r>
    </w:p>
    <w:p w14:paraId="34F1D9DD">
      <w:pPr>
        <w:pStyle w:val="2"/>
        <w:spacing w:before="203" w:line="224" w:lineRule="auto"/>
        <w:ind w:left="626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6.附表</w:t>
      </w:r>
    </w:p>
    <w:p w14:paraId="3D3FC721">
      <w:pPr>
        <w:pStyle w:val="2"/>
        <w:spacing w:before="197" w:line="222" w:lineRule="auto"/>
        <w:ind w:left="645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包括城区维度城市体检综合诊断结果表、项目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</w:rPr>
        <w:t>建议清单一览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等。</w:t>
      </w:r>
    </w:p>
    <w:p w14:paraId="52C720A4">
      <w:pPr>
        <w:pStyle w:val="2"/>
        <w:spacing w:before="197" w:line="345" w:lineRule="auto"/>
        <w:ind w:left="36" w:right="123" w:firstLine="60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20"/>
          <w:sz w:val="24"/>
          <w:szCs w:val="24"/>
          <w:highlight w:val="none"/>
          <w:lang w:eastAsia="zh-CN"/>
        </w:rPr>
        <w:t>（二）《</w:t>
      </w:r>
      <w:r>
        <w:rPr>
          <w:rFonts w:hint="eastAsia" w:ascii="宋体" w:hAnsi="宋体" w:eastAsia="宋体" w:cs="宋体"/>
          <w:b/>
          <w:bCs/>
          <w:color w:val="auto"/>
          <w:spacing w:val="-11"/>
          <w:sz w:val="24"/>
          <w:szCs w:val="24"/>
          <w:highlight w:val="none"/>
          <w:lang w:eastAsia="zh-CN"/>
        </w:rPr>
        <w:t>“十五五”城市更新专项规划</w:t>
      </w:r>
      <w:r>
        <w:rPr>
          <w:rFonts w:hint="eastAsia" w:ascii="宋体" w:hAnsi="宋体" w:eastAsia="宋体" w:cs="宋体"/>
          <w:b/>
          <w:bCs/>
          <w:color w:val="auto"/>
          <w:spacing w:val="-20"/>
          <w:sz w:val="24"/>
          <w:szCs w:val="24"/>
          <w:highlight w:val="none"/>
          <w:lang w:eastAsia="zh-CN"/>
        </w:rPr>
        <w:t>》</w:t>
      </w:r>
      <w:r>
        <w:rPr>
          <w:rFonts w:hint="eastAsia"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  <w:lang w:eastAsia="zh-CN"/>
        </w:rPr>
        <w:t>编制工作内容</w:t>
      </w:r>
    </w:p>
    <w:p w14:paraId="0924E6DB">
      <w:pPr>
        <w:pStyle w:val="2"/>
        <w:spacing w:before="196" w:line="345" w:lineRule="auto"/>
        <w:ind w:left="39" w:right="103" w:firstLine="593"/>
        <w:jc w:val="both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以城市建在区为规划对象，以城市体检评估为基础，对城市更新作出的综合性、系统性安排部署。明确十五五期间城市更新的主要目标定位和战略方向，识别出的城市更新存量资源和重点区域，以问题导向、目标导向和需求导向相结合，有侧重地</w:t>
      </w:r>
      <w:r>
        <w:rPr>
          <w:rFonts w:hint="default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提出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系统性更新策略。以城市更新目标和策略为指引，谋划城市更新专项行动方案，明确城市更新重点区域、重点任务、片区指引、项目库等内容，对重点更新区域进行片区策划指引，将城市更新年度计划分解为可操作的年度任务，明确近期的实施项目、建设时序和资金来源、实施主体。解读国家、省各级各部门相关政策要求，结合本县实际，研究提出城市更新的实施机制和配套政策建议。</w:t>
      </w:r>
    </w:p>
    <w:p w14:paraId="316CDCB0">
      <w:pPr>
        <w:pStyle w:val="2"/>
        <w:spacing w:before="201" w:line="222" w:lineRule="auto"/>
        <w:ind w:left="669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  <w:lang w:eastAsia="zh-CN"/>
        </w:rPr>
        <w:t>四、最终提交成果形式要求</w:t>
      </w:r>
    </w:p>
    <w:p w14:paraId="385B1D03">
      <w:pPr>
        <w:pStyle w:val="2"/>
        <w:spacing w:before="198" w:line="222" w:lineRule="auto"/>
        <w:ind w:left="646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1.全套纸质成果，包括A4</w:t>
      </w:r>
      <w:r>
        <w:rPr>
          <w:rFonts w:hint="eastAsia" w:ascii="宋体" w:hAnsi="宋体" w:eastAsia="宋体" w:cs="宋体"/>
          <w:color w:val="auto"/>
          <w:spacing w:val="-38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或</w:t>
      </w:r>
      <w:r>
        <w:rPr>
          <w:rFonts w:hint="eastAsia" w:ascii="宋体" w:hAnsi="宋体" w:eastAsia="宋体" w:cs="宋体"/>
          <w:color w:val="auto"/>
          <w:spacing w:val="-72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A3</w:t>
      </w:r>
      <w:r>
        <w:rPr>
          <w:rFonts w:hint="eastAsia" w:ascii="宋体" w:hAnsi="宋体" w:eastAsia="宋体" w:cs="宋体"/>
          <w:color w:val="auto"/>
          <w:spacing w:val="-48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幅面的文本和图册；</w:t>
      </w:r>
    </w:p>
    <w:p w14:paraId="1A74C419">
      <w:pPr>
        <w:pStyle w:val="2"/>
        <w:spacing w:before="197" w:line="345" w:lineRule="auto"/>
        <w:ind w:left="29" w:right="238" w:firstLine="598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2.汇报文件可编辑</w:t>
      </w:r>
      <w:r>
        <w:rPr>
          <w:rFonts w:hint="eastAsia" w:ascii="宋体" w:hAnsi="宋体" w:eastAsia="宋体" w:cs="宋体"/>
          <w:color w:val="auto"/>
          <w:spacing w:val="-58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PPT，文本为</w:t>
      </w:r>
      <w:r>
        <w:rPr>
          <w:rFonts w:hint="eastAsia" w:ascii="宋体" w:hAnsi="宋体" w:eastAsia="宋体" w:cs="宋体"/>
          <w:color w:val="auto"/>
          <w:spacing w:val="-70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DOC</w:t>
      </w:r>
      <w:r>
        <w:rPr>
          <w:rFonts w:hint="eastAsia" w:ascii="宋体" w:hAnsi="宋体" w:eastAsia="宋体" w:cs="宋体"/>
          <w:color w:val="auto"/>
          <w:spacing w:val="-44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等可编译格式，图纸为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JPG</w:t>
      </w:r>
      <w:r>
        <w:rPr>
          <w:rFonts w:hint="eastAsia" w:ascii="宋体" w:hAnsi="宋体" w:eastAsia="宋体" w:cs="宋体"/>
          <w:color w:val="auto"/>
          <w:spacing w:val="-55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格式；</w:t>
      </w:r>
    </w:p>
    <w:p w14:paraId="0C93BBEA">
      <w:pPr>
        <w:pStyle w:val="2"/>
        <w:spacing w:before="2" w:line="344" w:lineRule="auto"/>
        <w:ind w:left="35" w:right="445" w:firstLine="595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3.以上全部内容的全套成果电子版须提供电子</w:t>
      </w:r>
      <w:r>
        <w:rPr>
          <w:rFonts w:hint="eastAsia" w:ascii="宋体" w:hAnsi="宋体" w:eastAsia="宋体" w:cs="宋体"/>
          <w:color w:val="auto"/>
          <w:spacing w:val="-72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U</w:t>
      </w:r>
      <w:r>
        <w:rPr>
          <w:rFonts w:hint="eastAsia" w:ascii="宋体" w:hAnsi="宋体" w:eastAsia="宋体" w:cs="宋体"/>
          <w:color w:val="auto"/>
          <w:spacing w:val="-44"/>
          <w:sz w:val="24"/>
          <w:szCs w:val="24"/>
          <w:highlight w:val="none"/>
          <w:lang w:eastAsia="zh-CN"/>
        </w:rPr>
        <w:t xml:space="preserve"> 盘</w:t>
      </w:r>
      <w:r>
        <w:rPr>
          <w:rFonts w:hint="eastAsia" w:ascii="宋体" w:hAnsi="宋体" w:eastAsia="宋体" w:cs="宋体"/>
          <w:color w:val="auto"/>
          <w:spacing w:val="-19"/>
          <w:sz w:val="24"/>
          <w:szCs w:val="24"/>
          <w:highlight w:val="none"/>
          <w:lang w:eastAsia="zh-CN"/>
        </w:rPr>
        <w:t>。</w:t>
      </w:r>
    </w:p>
    <w:p w14:paraId="401107E8">
      <w:bookmarkStart w:id="12" w:name="_GoBack"/>
      <w:bookmarkEnd w:id="1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363644"/>
    <w:rsid w:val="4BE80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toc 2"/>
    <w:basedOn w:val="1"/>
    <w:next w:val="1"/>
    <w:qFormat/>
    <w:uiPriority w:val="39"/>
    <w:pPr>
      <w:tabs>
        <w:tab w:val="left" w:pos="1680"/>
        <w:tab w:val="right" w:leader="dot" w:pos="9060"/>
      </w:tabs>
      <w:ind w:firstLine="560"/>
      <w:jc w:val="left"/>
    </w:pPr>
    <w:rPr>
      <w:rFonts w:ascii="黑体" w:hAnsi="黑体" w:eastAsia="黑体"/>
      <w:smallCaps/>
      <w:sz w:val="28"/>
      <w:szCs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2064</Words>
  <Characters>2095</Characters>
  <Lines>0</Lines>
  <Paragraphs>0</Paragraphs>
  <TotalTime>0</TotalTime>
  <ScaleCrop>false</ScaleCrop>
  <LinksUpToDate>false</LinksUpToDate>
  <CharactersWithSpaces>2120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2026-04-27T23:49:00Z</dcterms:created>
  <dc:creator>Administrator</dc:creator>
  <cp:lastModifiedBy>程云</cp:lastModifiedBy>
  <dcterms:modified xsi:type="dcterms:W3CDTF">2026-05-12T09:24:39Z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eyJoZGlkIjoiZDIyOWU3N2VlZDliODJhNTkxZDkwZDQ4OGMzMzdlMjkiLCJ1c2VySWQiOiIxNjU3NDAwNDM0In0=</vt:lpwstr>
  </property>
  <property fmtid="{D5CDD505-2E9C-101B-9397-08002B2CF9AE}" pid="4" name="ICV">
    <vt:lpwstr>764154BCA89D4734AC2142D79A8D24E1_12</vt:lpwstr>
  </property>
</Properties>
</file>