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B8642C">
      <w:pPr>
        <w:widowControl w:val="0"/>
        <w:spacing w:before="47" w:line="219" w:lineRule="auto"/>
        <w:ind w:left="3805"/>
        <w:outlineLvl w:val="1"/>
        <w:rPr>
          <w:color w:val="auto"/>
        </w:rPr>
      </w:pPr>
      <w:bookmarkStart w:id="0" w:name="_Toc24968"/>
      <w:r>
        <w:rPr>
          <w:rFonts w:ascii="宋体" w:hAnsi="宋体" w:eastAsia="宋体" w:cs="宋体"/>
          <w:color w:val="auto"/>
          <w:spacing w:val="-2"/>
          <w:sz w:val="24"/>
          <w:szCs w:val="24"/>
          <w14:textOutline w14:w="4356" w14:cap="sq" w14:cmpd="sng" w14:algn="ctr">
            <w14:solidFill>
              <w14:srgbClr w14:val="000000"/>
            </w14:solidFill>
            <w14:prstDash w14:val="solid"/>
            <w14:bevel/>
          </w14:textOutline>
        </w:rPr>
        <w:t>二、采购需求</w:t>
      </w:r>
      <w:bookmarkEnd w:id="0"/>
    </w:p>
    <w:p w14:paraId="309003A3">
      <w:pPr>
        <w:keepNext w:val="0"/>
        <w:keepLines w:val="0"/>
        <w:pageBreakBefore w:val="0"/>
        <w:widowControl w:val="0"/>
        <w:kinsoku w:val="0"/>
        <w:wordWrap/>
        <w:overflowPunct/>
        <w:topLinePunct w:val="0"/>
        <w:autoSpaceDE w:val="0"/>
        <w:autoSpaceDN w:val="0"/>
        <w:bidi w:val="0"/>
        <w:adjustRightInd w:val="0"/>
        <w:snapToGrid w:val="0"/>
        <w:spacing w:before="60" w:line="360" w:lineRule="auto"/>
        <w:ind w:firstLine="420" w:firstLineChars="200"/>
        <w:textAlignment w:val="baseline"/>
        <w:rPr>
          <w:rFonts w:ascii="宋体" w:hAnsi="宋体" w:eastAsia="宋体" w:cs="宋体"/>
          <w:b/>
          <w:bCs/>
          <w:color w:val="auto"/>
          <w:sz w:val="24"/>
          <w:szCs w:val="24"/>
        </w:rPr>
      </w:pPr>
      <w:r>
        <w:rPr>
          <w:rFonts w:hint="eastAsia" w:ascii="宋体" w:hAnsi="宋体" w:eastAsia="宋体" w:cs="宋体"/>
          <w:color w:val="auto"/>
          <w:szCs w:val="24"/>
          <w:lang w:eastAsia="zh-CN"/>
        </w:rPr>
        <w:t>★</w:t>
      </w:r>
      <w:r>
        <w:rPr>
          <w:rFonts w:hint="eastAsia" w:ascii="宋体" w:hAnsi="宋体" w:eastAsia="宋体" w:cs="宋体"/>
          <w:b/>
          <w:bCs/>
          <w:color w:val="auto"/>
          <w:spacing w:val="-5"/>
          <w:sz w:val="24"/>
          <w:szCs w:val="24"/>
          <w:lang w:val="en-US" w:eastAsia="zh-CN"/>
        </w:rPr>
        <w:t>一、</w:t>
      </w:r>
      <w:r>
        <w:rPr>
          <w:rFonts w:hint="eastAsia" w:ascii="宋体" w:hAnsi="宋体" w:eastAsia="宋体" w:cs="宋体"/>
          <w:b/>
          <w:bCs/>
          <w:color w:val="auto"/>
          <w:spacing w:val="-5"/>
          <w:sz w:val="24"/>
          <w:szCs w:val="24"/>
          <w:lang w:eastAsia="zh-CN"/>
        </w:rPr>
        <w:t>服务</w:t>
      </w:r>
      <w:r>
        <w:rPr>
          <w:rFonts w:ascii="宋体" w:hAnsi="宋体" w:eastAsia="宋体" w:cs="宋体"/>
          <w:b/>
          <w:bCs/>
          <w:color w:val="auto"/>
          <w:spacing w:val="-5"/>
          <w:sz w:val="24"/>
          <w:szCs w:val="24"/>
        </w:rPr>
        <w:t>需求</w:t>
      </w:r>
    </w:p>
    <w:p w14:paraId="7632CB38">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zh-CN" w:eastAsia="zh-CN" w:bidi="ar-SA"/>
        </w:rPr>
      </w:pPr>
      <w:r>
        <w:rPr>
          <w:rFonts w:hint="eastAsia" w:ascii="宋体" w:hAnsi="宋体" w:eastAsia="宋体" w:cs="宋体"/>
          <w:b w:val="0"/>
          <w:bCs w:val="0"/>
          <w:strike w:val="0"/>
          <w:dstrike w:val="0"/>
          <w:color w:val="auto"/>
          <w:spacing w:val="-6"/>
          <w:kern w:val="0"/>
          <w:sz w:val="24"/>
          <w:szCs w:val="24"/>
          <w:highlight w:val="none"/>
          <w:u w:val="none"/>
          <w:lang w:val="zh-CN" w:eastAsia="zh-CN" w:bidi="ar-SA"/>
        </w:rPr>
        <w:t>（1）样本运输要求：</w:t>
      </w:r>
    </w:p>
    <w:p w14:paraId="5E4C8D0D">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zh-CN" w:eastAsia="zh-CN" w:bidi="ar-SA"/>
        </w:rPr>
      </w:pPr>
      <w:r>
        <w:rPr>
          <w:rFonts w:hint="eastAsia" w:ascii="宋体" w:hAnsi="宋体" w:eastAsia="宋体" w:cs="宋体"/>
          <w:b w:val="0"/>
          <w:bCs w:val="0"/>
          <w:strike w:val="0"/>
          <w:dstrike w:val="0"/>
          <w:color w:val="auto"/>
          <w:spacing w:val="-6"/>
          <w:kern w:val="0"/>
          <w:sz w:val="24"/>
          <w:szCs w:val="24"/>
          <w:highlight w:val="none"/>
          <w:u w:val="none"/>
          <w:lang w:val="zh-CN" w:eastAsia="zh-CN" w:bidi="ar-SA"/>
        </w:rPr>
        <w:t>①供应商派专人到指定地点接收并保证受委托检验标本冷链物流运输，若发现问题需及时与采购人沟通解决。</w:t>
      </w:r>
    </w:p>
    <w:p w14:paraId="1EE0AB45">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zh-CN" w:eastAsia="zh-CN" w:bidi="ar-SA"/>
        </w:rPr>
      </w:pPr>
      <w:r>
        <w:rPr>
          <w:rFonts w:hint="eastAsia" w:ascii="宋体" w:hAnsi="宋体" w:eastAsia="宋体" w:cs="宋体"/>
          <w:b w:val="0"/>
          <w:bCs w:val="0"/>
          <w:strike w:val="0"/>
          <w:dstrike w:val="0"/>
          <w:color w:val="auto"/>
          <w:spacing w:val="-6"/>
          <w:kern w:val="0"/>
          <w:sz w:val="24"/>
          <w:szCs w:val="24"/>
          <w:highlight w:val="none"/>
          <w:u w:val="none"/>
          <w:lang w:val="zh-CN" w:eastAsia="zh-CN" w:bidi="ar-SA"/>
        </w:rPr>
        <w:t>②一般样本72小时内送达委托检测机构，供应商上门收取标本。特殊项目按采购人要求时间运输到委托机构，具体按项目协商。</w:t>
      </w:r>
    </w:p>
    <w:p w14:paraId="1455A2B3">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zh-CN" w:eastAsia="zh-CN" w:bidi="ar-SA"/>
        </w:rPr>
      </w:pPr>
      <w:r>
        <w:rPr>
          <w:rFonts w:hint="eastAsia" w:ascii="宋体" w:hAnsi="宋体" w:eastAsia="宋体" w:cs="宋体"/>
          <w:b w:val="0"/>
          <w:bCs w:val="0"/>
          <w:strike w:val="0"/>
          <w:dstrike w:val="0"/>
          <w:color w:val="auto"/>
          <w:spacing w:val="-6"/>
          <w:kern w:val="0"/>
          <w:sz w:val="24"/>
          <w:szCs w:val="24"/>
          <w:highlight w:val="none"/>
          <w:u w:val="none"/>
          <w:lang w:val="zh-CN" w:eastAsia="zh-CN" w:bidi="ar-SA"/>
        </w:rPr>
        <w:t>③样本运输要求直立、冷藏、封闭，符合</w:t>
      </w:r>
      <w:r>
        <w:rPr>
          <w:rFonts w:hint="eastAsia" w:ascii="宋体" w:hAnsi="宋体" w:eastAsia="宋体" w:cs="宋体"/>
          <w:color w:val="auto"/>
          <w:spacing w:val="-6"/>
          <w:sz w:val="24"/>
          <w:szCs w:val="24"/>
          <w:highlight w:val="none"/>
          <w:u w:val="none"/>
          <w:lang w:val="zh-CN" w:eastAsia="zh-CN"/>
        </w:rPr>
        <w:t>《GB/T45743-2025生物样本细胞运输通用要求》</w:t>
      </w:r>
      <w:r>
        <w:rPr>
          <w:rFonts w:hint="eastAsia" w:ascii="宋体" w:hAnsi="宋体" w:eastAsia="宋体" w:cs="宋体"/>
          <w:b w:val="0"/>
          <w:bCs w:val="0"/>
          <w:strike w:val="0"/>
          <w:dstrike w:val="0"/>
          <w:color w:val="auto"/>
          <w:spacing w:val="-6"/>
          <w:kern w:val="0"/>
          <w:sz w:val="24"/>
          <w:szCs w:val="24"/>
          <w:highlight w:val="none"/>
          <w:u w:val="none"/>
          <w:lang w:val="zh-CN" w:eastAsia="zh-CN" w:bidi="ar-SA"/>
        </w:rPr>
        <w:t>与生物安全要求，确保运输过程中样品质量和环境安全。可保证冷藏、冷冻、常温三种温度的运输要求。同时设有温度监视装置，实时监测箱内温度，保证样本检测前的运输质量控制。对于有特殊要求的样本视具体项目与采购人商定。</w:t>
      </w:r>
    </w:p>
    <w:p w14:paraId="3909659C">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zh-CN" w:eastAsia="zh-CN" w:bidi="ar-SA"/>
        </w:rPr>
      </w:pPr>
      <w:r>
        <w:rPr>
          <w:rFonts w:hint="eastAsia" w:ascii="宋体" w:hAnsi="宋体" w:eastAsia="宋体" w:cs="宋体"/>
          <w:b w:val="0"/>
          <w:bCs w:val="0"/>
          <w:strike w:val="0"/>
          <w:dstrike w:val="0"/>
          <w:color w:val="auto"/>
          <w:spacing w:val="-6"/>
          <w:kern w:val="0"/>
          <w:sz w:val="24"/>
          <w:szCs w:val="24"/>
          <w:highlight w:val="none"/>
          <w:u w:val="none"/>
          <w:lang w:val="zh-CN" w:eastAsia="zh-CN" w:bidi="ar-SA"/>
        </w:rPr>
        <w:t>④供应商应提供PGT资质评审协助支持：</w:t>
      </w:r>
    </w:p>
    <w:p w14:paraId="046491EF">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zh-CN" w:eastAsia="zh-CN" w:bidi="ar-SA"/>
        </w:rPr>
      </w:pPr>
      <w:r>
        <w:rPr>
          <w:rFonts w:hint="eastAsia" w:ascii="宋体" w:hAnsi="宋体" w:eastAsia="宋体" w:cs="宋体"/>
          <w:b w:val="0"/>
          <w:bCs w:val="0"/>
          <w:strike w:val="0"/>
          <w:dstrike w:val="0"/>
          <w:color w:val="auto"/>
          <w:spacing w:val="-6"/>
          <w:kern w:val="0"/>
          <w:sz w:val="24"/>
          <w:szCs w:val="24"/>
          <w:highlight w:val="none"/>
          <w:u w:val="none"/>
          <w:lang w:val="zh-CN" w:eastAsia="zh-CN" w:bidi="ar-SA"/>
        </w:rPr>
        <w:t>中标人协助采购人进行质量控制</w:t>
      </w:r>
      <w:r>
        <w:rPr>
          <w:rFonts w:hint="eastAsia" w:ascii="宋体" w:hAnsi="宋体" w:eastAsia="宋体" w:cs="宋体"/>
          <w:b w:val="0"/>
          <w:bCs w:val="0"/>
          <w:strike w:val="0"/>
          <w:dstrike w:val="0"/>
          <w:color w:val="auto"/>
          <w:spacing w:val="-6"/>
          <w:kern w:val="0"/>
          <w:sz w:val="24"/>
          <w:szCs w:val="24"/>
          <w:highlight w:val="none"/>
          <w:u w:val="none"/>
          <w:lang w:val="en-US" w:eastAsia="zh-CN" w:bidi="ar-SA"/>
        </w:rPr>
        <w:t>管理</w:t>
      </w:r>
      <w:r>
        <w:rPr>
          <w:rFonts w:hint="eastAsia" w:ascii="宋体" w:hAnsi="宋体" w:eastAsia="宋体" w:cs="宋体"/>
          <w:b w:val="0"/>
          <w:bCs w:val="0"/>
          <w:strike w:val="0"/>
          <w:dstrike w:val="0"/>
          <w:color w:val="auto"/>
          <w:spacing w:val="-6"/>
          <w:kern w:val="0"/>
          <w:sz w:val="24"/>
          <w:szCs w:val="24"/>
          <w:highlight w:val="none"/>
          <w:u w:val="none"/>
          <w:lang w:val="zh-CN" w:eastAsia="zh-CN" w:bidi="ar-SA"/>
        </w:rPr>
        <w:t>，辅助采购人顺利通过正式运行评审；试运行期间与中标人标准实验室平行进行预实验样本检测对比，保证两批样本检测结果一致，协助采购人做好室内、室间质量控制，配合采购人实验室完成后续试运行评审、正式运行评审的相关工作。</w:t>
      </w:r>
    </w:p>
    <w:p w14:paraId="6E93725A">
      <w:pPr>
        <w:keepNext w:val="0"/>
        <w:keepLines w:val="0"/>
        <w:pageBreakBefore w:val="0"/>
        <w:widowControl/>
        <w:kinsoku w:val="0"/>
        <w:wordWrap/>
        <w:overflowPunct/>
        <w:topLinePunct w:val="0"/>
        <w:autoSpaceDE w:val="0"/>
        <w:autoSpaceDN w:val="0"/>
        <w:bidi w:val="0"/>
        <w:adjustRightInd w:val="0"/>
        <w:snapToGrid w:val="0"/>
        <w:spacing w:line="360" w:lineRule="auto"/>
        <w:ind w:firstLine="456" w:firstLineChars="200"/>
        <w:textAlignment w:val="baseline"/>
        <w:rPr>
          <w:rFonts w:hint="eastAsia" w:ascii="宋体" w:hAnsi="宋体" w:eastAsia="宋体" w:cs="宋体"/>
          <w:b w:val="0"/>
          <w:bCs w:val="0"/>
          <w:strike w:val="0"/>
          <w:dstrike w:val="0"/>
          <w:color w:val="auto"/>
          <w:spacing w:val="-6"/>
          <w:kern w:val="0"/>
          <w:sz w:val="24"/>
          <w:szCs w:val="24"/>
          <w:highlight w:val="none"/>
          <w:u w:val="none"/>
          <w:lang w:val="zh-CN" w:eastAsia="zh-CN" w:bidi="ar-SA"/>
        </w:rPr>
      </w:pPr>
      <w:r>
        <w:rPr>
          <w:rFonts w:hint="eastAsia" w:ascii="宋体" w:hAnsi="宋体" w:eastAsia="宋体" w:cs="宋体"/>
          <w:b w:val="0"/>
          <w:bCs w:val="0"/>
          <w:strike w:val="0"/>
          <w:dstrike w:val="0"/>
          <w:color w:val="auto"/>
          <w:spacing w:val="-6"/>
          <w:kern w:val="0"/>
          <w:sz w:val="24"/>
          <w:szCs w:val="24"/>
          <w:highlight w:val="none"/>
          <w:u w:val="none"/>
          <w:lang w:val="zh-CN" w:eastAsia="zh-CN" w:bidi="ar-SA"/>
        </w:rPr>
        <w:t>针对采购人临床遗传咨询，中标人定期邀请专家进行授课培训，</w:t>
      </w:r>
      <w:r>
        <w:rPr>
          <w:rFonts w:hint="eastAsia" w:ascii="宋体" w:hAnsi="宋体" w:eastAsia="宋体" w:cs="宋体"/>
          <w:b w:val="0"/>
          <w:bCs w:val="0"/>
          <w:strike w:val="0"/>
          <w:dstrike w:val="0"/>
          <w:color w:val="auto"/>
          <w:spacing w:val="-6"/>
          <w:kern w:val="0"/>
          <w:sz w:val="24"/>
          <w:szCs w:val="24"/>
          <w:highlight w:val="none"/>
          <w:u w:val="none"/>
          <w:lang w:val="en-US" w:eastAsia="zh-CN" w:bidi="ar-SA"/>
        </w:rPr>
        <w:t>培训每年不少于4次</w:t>
      </w:r>
      <w:r>
        <w:rPr>
          <w:rFonts w:hint="eastAsia" w:ascii="宋体" w:hAnsi="宋体" w:eastAsia="宋体" w:cs="宋体"/>
          <w:b w:val="0"/>
          <w:bCs w:val="0"/>
          <w:strike w:val="0"/>
          <w:dstrike w:val="0"/>
          <w:color w:val="auto"/>
          <w:spacing w:val="-6"/>
          <w:kern w:val="0"/>
          <w:sz w:val="24"/>
          <w:szCs w:val="24"/>
          <w:highlight w:val="none"/>
          <w:u w:val="none"/>
          <w:lang w:val="zh-CN" w:eastAsia="zh-CN" w:bidi="ar-SA"/>
        </w:rPr>
        <w:t>，加强临床与实验的沟通，避免不必要的医患纠纷。</w:t>
      </w:r>
    </w:p>
    <w:p w14:paraId="06C8D2AF">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zh-CN" w:eastAsia="zh-CN" w:bidi="ar-SA"/>
        </w:rPr>
      </w:pPr>
      <w:r>
        <w:rPr>
          <w:rFonts w:hint="eastAsia" w:ascii="宋体" w:hAnsi="宋体" w:eastAsia="宋体" w:cs="宋体"/>
          <w:b w:val="0"/>
          <w:bCs w:val="0"/>
          <w:strike w:val="0"/>
          <w:dstrike w:val="0"/>
          <w:color w:val="auto"/>
          <w:spacing w:val="-6"/>
          <w:kern w:val="0"/>
          <w:sz w:val="24"/>
          <w:szCs w:val="24"/>
          <w:highlight w:val="none"/>
          <w:u w:val="none"/>
          <w:lang w:val="zh-CN" w:eastAsia="zh-CN" w:bidi="ar-SA"/>
        </w:rPr>
        <w:t>（2）样本周转时间（TAT）要求：</w:t>
      </w:r>
    </w:p>
    <w:p w14:paraId="53D570ED">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zh-CN" w:eastAsia="zh-CN" w:bidi="ar-SA"/>
        </w:rPr>
      </w:pPr>
      <w:r>
        <w:rPr>
          <w:rFonts w:hint="eastAsia" w:ascii="宋体" w:hAnsi="宋体" w:eastAsia="宋体" w:cs="宋体"/>
          <w:b w:val="0"/>
          <w:bCs w:val="0"/>
          <w:strike w:val="0"/>
          <w:dstrike w:val="0"/>
          <w:color w:val="auto"/>
          <w:spacing w:val="-6"/>
          <w:kern w:val="0"/>
          <w:sz w:val="24"/>
          <w:szCs w:val="24"/>
          <w:highlight w:val="none"/>
          <w:u w:val="none"/>
          <w:lang w:val="zh-CN" w:eastAsia="zh-CN" w:bidi="ar-SA"/>
        </w:rPr>
        <w:t>①样本周转时间起点为供应商接收样本，检验样本终点为采购人收到检验数据或报告。</w:t>
      </w:r>
    </w:p>
    <w:p w14:paraId="3429C7C0">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zh-CN" w:eastAsia="zh-CN" w:bidi="ar-SA"/>
        </w:rPr>
      </w:pPr>
      <w:r>
        <w:rPr>
          <w:rFonts w:hint="eastAsia" w:ascii="宋体" w:hAnsi="宋体" w:eastAsia="宋体" w:cs="宋体"/>
          <w:b w:val="0"/>
          <w:bCs w:val="0"/>
          <w:strike w:val="0"/>
          <w:dstrike w:val="0"/>
          <w:color w:val="auto"/>
          <w:spacing w:val="-6"/>
          <w:kern w:val="0"/>
          <w:sz w:val="24"/>
          <w:szCs w:val="24"/>
          <w:highlight w:val="none"/>
          <w:u w:val="none"/>
          <w:lang w:val="zh-CN" w:eastAsia="zh-CN" w:bidi="ar-SA"/>
        </w:rPr>
        <w:t>②分子生物学项目检测TAT时间不长于10个工作日，有特殊要求的项目、检测周期较长的项目视具体情况与采购人协商。</w:t>
      </w:r>
    </w:p>
    <w:p w14:paraId="11732296">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zh-CN" w:eastAsia="zh-CN" w:bidi="ar-SA"/>
        </w:rPr>
      </w:pPr>
      <w:r>
        <w:rPr>
          <w:rFonts w:hint="eastAsia" w:ascii="宋体" w:hAnsi="宋体" w:eastAsia="宋体" w:cs="宋体"/>
          <w:b w:val="0"/>
          <w:bCs w:val="0"/>
          <w:strike w:val="0"/>
          <w:dstrike w:val="0"/>
          <w:color w:val="auto"/>
          <w:spacing w:val="-6"/>
          <w:kern w:val="0"/>
          <w:sz w:val="24"/>
          <w:szCs w:val="24"/>
          <w:highlight w:val="none"/>
          <w:u w:val="none"/>
          <w:lang w:val="zh-CN" w:eastAsia="zh-CN" w:bidi="ar-SA"/>
        </w:rPr>
        <w:t>③报告延误率＜1/1000。</w:t>
      </w:r>
    </w:p>
    <w:p w14:paraId="15E8D769">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zh-CN" w:eastAsia="zh-CN" w:bidi="ar-SA"/>
        </w:rPr>
      </w:pPr>
      <w:r>
        <w:rPr>
          <w:rFonts w:hint="eastAsia" w:ascii="宋体" w:hAnsi="宋体" w:eastAsia="宋体" w:cs="宋体"/>
          <w:b w:val="0"/>
          <w:bCs w:val="0"/>
          <w:strike w:val="0"/>
          <w:dstrike w:val="0"/>
          <w:color w:val="auto"/>
          <w:spacing w:val="-6"/>
          <w:kern w:val="0"/>
          <w:sz w:val="24"/>
          <w:szCs w:val="24"/>
          <w:highlight w:val="none"/>
          <w:u w:val="none"/>
          <w:lang w:val="zh-CN" w:eastAsia="zh-CN" w:bidi="ar-SA"/>
        </w:rPr>
        <w:t>④按采购人要求，供应商随时提供委托项目的样本周转时间（TAT）分析，对于采购人提出的要求及时反馈并更正。</w:t>
      </w:r>
    </w:p>
    <w:p w14:paraId="2F61FDCA">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zh-CN" w:eastAsia="zh-CN" w:bidi="ar-SA"/>
        </w:rPr>
      </w:pPr>
      <w:r>
        <w:rPr>
          <w:rFonts w:hint="eastAsia" w:ascii="宋体" w:hAnsi="宋体" w:eastAsia="宋体" w:cs="宋体"/>
          <w:b w:val="0"/>
          <w:bCs w:val="0"/>
          <w:strike w:val="0"/>
          <w:dstrike w:val="0"/>
          <w:color w:val="auto"/>
          <w:spacing w:val="-6"/>
          <w:kern w:val="0"/>
          <w:sz w:val="24"/>
          <w:szCs w:val="24"/>
          <w:highlight w:val="none"/>
          <w:u w:val="none"/>
          <w:lang w:val="zh-CN" w:eastAsia="zh-CN" w:bidi="ar-SA"/>
        </w:rPr>
        <w:t>（3）标本保存要求：</w:t>
      </w:r>
    </w:p>
    <w:p w14:paraId="5612817C">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zh-CN" w:eastAsia="zh-CN" w:bidi="ar-SA"/>
        </w:rPr>
        <w:t>供应商具有符合生物安全管理标准的标本储存冷库，能够按采购人要求妥善保存、追溯及销毁检验后样本；所有送测标本需保存不少于7天备查。</w:t>
      </w:r>
    </w:p>
    <w:p w14:paraId="45BA07CD">
      <w:pPr>
        <w:keepNext w:val="0"/>
        <w:keepLines w:val="0"/>
        <w:pageBreakBefore w:val="0"/>
        <w:widowControl w:val="0"/>
        <w:kinsoku/>
        <w:wordWrap/>
        <w:overflowPunct/>
        <w:topLinePunct w:val="0"/>
        <w:autoSpaceDE/>
        <w:autoSpaceDN/>
        <w:bidi w:val="0"/>
        <w:adjustRightInd/>
        <w:snapToGrid/>
        <w:spacing w:before="60" w:line="360" w:lineRule="auto"/>
        <w:ind w:firstLine="420" w:firstLineChars="200"/>
        <w:jc w:val="both"/>
        <w:textAlignment w:val="auto"/>
        <w:rPr>
          <w:rFonts w:hint="eastAsia" w:ascii="宋体" w:hAnsi="宋体" w:eastAsia="宋体" w:cs="宋体"/>
          <w:b/>
          <w:bCs/>
          <w:color w:val="auto"/>
          <w:sz w:val="24"/>
          <w:szCs w:val="24"/>
          <w:lang w:eastAsia="zh-CN" w:bidi="ar"/>
        </w:rPr>
      </w:pPr>
      <w:r>
        <w:rPr>
          <w:rFonts w:hint="eastAsia" w:ascii="宋体" w:hAnsi="宋体" w:eastAsia="宋体" w:cs="宋体"/>
          <w:color w:val="auto"/>
          <w:szCs w:val="24"/>
          <w:lang w:eastAsia="zh-CN"/>
        </w:rPr>
        <w:t>★</w:t>
      </w:r>
      <w:r>
        <w:rPr>
          <w:rFonts w:hint="eastAsia" w:ascii="宋体" w:hAnsi="宋体" w:eastAsia="宋体" w:cs="宋体"/>
          <w:b/>
          <w:bCs/>
          <w:color w:val="auto"/>
          <w:sz w:val="24"/>
          <w:szCs w:val="24"/>
          <w:lang w:eastAsia="zh-CN" w:bidi="ar"/>
        </w:rPr>
        <w:t>二、技术需求</w:t>
      </w:r>
    </w:p>
    <w:p w14:paraId="2ADC623F">
      <w:pPr>
        <w:spacing w:line="360" w:lineRule="auto"/>
        <w:ind w:firstLine="458" w:firstLineChars="200"/>
        <w:rPr>
          <w:rFonts w:hint="eastAsia" w:ascii="宋体" w:hAnsi="宋体" w:eastAsia="宋体" w:cs="宋体"/>
          <w:b/>
          <w:bCs/>
          <w:strike w:val="0"/>
          <w:dstrike w:val="0"/>
          <w:color w:val="auto"/>
          <w:spacing w:val="-6"/>
          <w:kern w:val="0"/>
          <w:sz w:val="24"/>
          <w:szCs w:val="24"/>
          <w:highlight w:val="none"/>
          <w:u w:val="none"/>
          <w:lang w:val="en-US" w:eastAsia="zh-CN" w:bidi="ar-SA"/>
        </w:rPr>
      </w:pPr>
      <w:r>
        <w:rPr>
          <w:rFonts w:hint="eastAsia" w:ascii="宋体" w:hAnsi="宋体" w:eastAsia="宋体" w:cs="宋体"/>
          <w:b/>
          <w:bCs/>
          <w:strike w:val="0"/>
          <w:dstrike w:val="0"/>
          <w:color w:val="auto"/>
          <w:spacing w:val="-6"/>
          <w:kern w:val="0"/>
          <w:sz w:val="24"/>
          <w:szCs w:val="24"/>
          <w:highlight w:val="none"/>
          <w:u w:val="none"/>
          <w:lang w:val="en-US" w:eastAsia="zh-CN" w:bidi="ar-SA"/>
        </w:rPr>
        <w:t>（一）PGT-A胚胎植入前遗传学筛查项目参数要求</w:t>
      </w:r>
    </w:p>
    <w:p w14:paraId="11C55F1B">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1．检测内容及分辨率：</w:t>
      </w:r>
    </w:p>
    <w:p w14:paraId="10654E89">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（1）检测内容：</w:t>
      </w:r>
    </w:p>
    <w:p w14:paraId="68FA6FED">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① 对胚胎23对染色体进行非整倍体筛查。</w:t>
      </w:r>
    </w:p>
    <w:p w14:paraId="106EF4D3">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（2）检测分辨率：</w:t>
      </w:r>
    </w:p>
    <w:p w14:paraId="73555643">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① 报告≥4Mb的片段缺失和重复。</w:t>
      </w:r>
    </w:p>
    <w:p w14:paraId="061939B4">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② 对于10Mb以上，≥30%的嵌合异常可有效检出（备注：可检测更低比例嵌合异常，性能更优）。</w:t>
      </w:r>
    </w:p>
    <w:p w14:paraId="557FE62A">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2．检测技术：</w:t>
      </w:r>
    </w:p>
    <w:p w14:paraId="0FBF948B">
      <w:pPr>
        <w:spacing w:line="360" w:lineRule="auto"/>
        <w:ind w:firstLine="228" w:firstLineChars="1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（1）检测技术可检测的样本类型：</w:t>
      </w:r>
    </w:p>
    <w:p w14:paraId="05CA6E41">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① 卵裂球。</w:t>
      </w:r>
    </w:p>
    <w:p w14:paraId="5C21B83C">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② 囊胚外滋养层细胞。</w:t>
      </w:r>
    </w:p>
    <w:p w14:paraId="33E69D80">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（2）技术性能：</w:t>
      </w:r>
    </w:p>
    <w:p w14:paraId="55559D20">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① 单细胞扩增技术，扩增成功率≥95%。</w:t>
      </w:r>
    </w:p>
    <w:p w14:paraId="7E7C907C">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② 单细胞扩增脱扣率低&lt;10%，覆盖度高≥93%，均一性好CV≤0.25。</w:t>
      </w:r>
    </w:p>
    <w:p w14:paraId="636B4F10">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③ 具备提供分析胚胎全三倍体、染色体臂水平的单亲二倍体UPD的检测方案的能力。</w:t>
      </w:r>
    </w:p>
    <w:p w14:paraId="534315F1">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④ 具备能够进行样本间亲源关系及外源污染的区别的能力。</w:t>
      </w:r>
    </w:p>
    <w:p w14:paraId="5F606F13">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⑤ 服务过程中提供的</w:t>
      </w:r>
      <w:r>
        <w:rPr>
          <w:rFonts w:hint="eastAsia" w:ascii="宋体" w:hAnsi="宋体" w:eastAsia="宋体" w:cs="宋体"/>
          <w:color w:val="auto"/>
          <w:spacing w:val="-6"/>
          <w:sz w:val="24"/>
          <w:szCs w:val="24"/>
          <w:highlight w:val="none"/>
          <w:u w:val="none"/>
          <w:lang w:eastAsia="zh-CN"/>
        </w:rPr>
        <w:t>染色体非整倍体检测试剂盒须获得国家药监局颁发的III类医疗器械注册证。</w:t>
      </w:r>
    </w:p>
    <w:p w14:paraId="6408677A">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⑥能提供配套的胚胎植入前染色体非整倍体分析软件。</w:t>
      </w:r>
    </w:p>
    <w:p w14:paraId="1D4C4F20">
      <w:pPr>
        <w:spacing w:line="360" w:lineRule="auto"/>
        <w:ind w:firstLine="458" w:firstLineChars="200"/>
        <w:rPr>
          <w:rFonts w:hint="eastAsia" w:ascii="宋体" w:hAnsi="宋体" w:eastAsia="宋体" w:cs="宋体"/>
          <w:b/>
          <w:bCs/>
          <w:strike w:val="0"/>
          <w:dstrike w:val="0"/>
          <w:color w:val="auto"/>
          <w:spacing w:val="-6"/>
          <w:kern w:val="0"/>
          <w:sz w:val="24"/>
          <w:szCs w:val="24"/>
          <w:highlight w:val="none"/>
          <w:u w:val="none"/>
          <w:lang w:val="en-US" w:eastAsia="zh-CN" w:bidi="ar-SA"/>
        </w:rPr>
      </w:pPr>
      <w:r>
        <w:rPr>
          <w:rFonts w:hint="eastAsia" w:ascii="宋体" w:hAnsi="宋体" w:eastAsia="宋体" w:cs="宋体"/>
          <w:b/>
          <w:bCs/>
          <w:strike w:val="0"/>
          <w:dstrike w:val="0"/>
          <w:color w:val="auto"/>
          <w:spacing w:val="-6"/>
          <w:kern w:val="0"/>
          <w:sz w:val="24"/>
          <w:szCs w:val="24"/>
          <w:highlight w:val="none"/>
          <w:u w:val="none"/>
          <w:lang w:val="en-US" w:eastAsia="zh-CN" w:bidi="ar-SA"/>
        </w:rPr>
        <w:t>（二）PGT-SR胚胎植入前染色体分子遗传学检测项目参数要求</w:t>
      </w:r>
    </w:p>
    <w:p w14:paraId="427EB1BA">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1．检测内容及分辨率：</w:t>
      </w:r>
    </w:p>
    <w:p w14:paraId="62295519">
      <w:pPr>
        <w:spacing w:line="360" w:lineRule="auto"/>
        <w:ind w:firstLine="228" w:firstLineChars="1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（1）检测内容：</w:t>
      </w:r>
    </w:p>
    <w:p w14:paraId="2C47BCE6">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① 区分染色体拷贝数正常和异常胚胎。</w:t>
      </w:r>
    </w:p>
    <w:p w14:paraId="599B1880">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② 区分染色体易位或倒位携带者与染色体结构正常胚胎</w:t>
      </w:r>
    </w:p>
    <w:p w14:paraId="3D748897">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（2）检测分辨率：</w:t>
      </w:r>
    </w:p>
    <w:p w14:paraId="5786C0EE">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① 检测胚胎易位相关染色体≥1Mb的缺失、重复，其他染色体≥4Mb的片段缺失和重复；</w:t>
      </w:r>
    </w:p>
    <w:p w14:paraId="766DF24A">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 xml:space="preserve">② 对于10Mb以上，≥30%的嵌合异常可有效检出（备注：可检测更低比例嵌合异常，性能更优）。 </w:t>
      </w:r>
    </w:p>
    <w:p w14:paraId="3694585C">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2．检测技术：</w:t>
      </w:r>
    </w:p>
    <w:p w14:paraId="15CC23F1">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（1）检测技术可检测的样本类型：</w:t>
      </w:r>
    </w:p>
    <w:p w14:paraId="0012D639">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① 卵裂球。</w:t>
      </w:r>
    </w:p>
    <w:p w14:paraId="53928FB7">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② 囊胚外滋养层细胞。</w:t>
      </w:r>
    </w:p>
    <w:p w14:paraId="0C24C04F">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（2）技术性能：</w:t>
      </w:r>
    </w:p>
    <w:p w14:paraId="05F0CB6F">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① 单细胞扩增技术，扩增成功率≥95%。</w:t>
      </w:r>
    </w:p>
    <w:p w14:paraId="15EC38B7">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② 单细胞扩增脱扣率低&lt;10%，覆盖度高≥93%，均一性好CV≤0.25。</w:t>
      </w:r>
    </w:p>
    <w:p w14:paraId="28985623">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③ 具备提供分析胚胎全三倍体、染色体臂水平的单亲二倍体UPD的检测方案的能力。</w:t>
      </w:r>
    </w:p>
    <w:p w14:paraId="592C7BB1">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④ 具备能够进行样本间亲源关系及外源污染的区别的能力。</w:t>
      </w:r>
    </w:p>
    <w:p w14:paraId="518FCA00">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⑤ 对于新发易位(包括罗氏易位)或家系不全的家系能通过检测单精子、极体或其他特殊样本提供解决方案。</w:t>
      </w:r>
    </w:p>
    <w:p w14:paraId="344E2302">
      <w:pPr>
        <w:spacing w:line="360" w:lineRule="auto"/>
        <w:ind w:firstLine="0" w:firstLineChars="0"/>
        <w:rPr>
          <w:rFonts w:hint="eastAsia" w:ascii="宋体" w:hAnsi="宋体" w:eastAsia="宋体" w:cs="宋体"/>
          <w:b/>
          <w:bCs/>
          <w:strike w:val="0"/>
          <w:dstrike w:val="0"/>
          <w:color w:val="auto"/>
          <w:spacing w:val="-6"/>
          <w:kern w:val="0"/>
          <w:sz w:val="24"/>
          <w:szCs w:val="24"/>
          <w:highlight w:val="none"/>
          <w:u w:val="none"/>
          <w:lang w:val="en-US" w:eastAsia="zh-CN" w:bidi="ar-SA"/>
        </w:rPr>
      </w:pPr>
      <w:r>
        <w:rPr>
          <w:rFonts w:hint="eastAsia" w:ascii="宋体" w:hAnsi="宋体" w:eastAsia="宋体" w:cs="宋体"/>
          <w:b/>
          <w:bCs/>
          <w:strike w:val="0"/>
          <w:dstrike w:val="0"/>
          <w:color w:val="auto"/>
          <w:spacing w:val="-6"/>
          <w:kern w:val="0"/>
          <w:sz w:val="24"/>
          <w:szCs w:val="24"/>
          <w:highlight w:val="none"/>
          <w:u w:val="none"/>
          <w:lang w:val="en-US" w:eastAsia="zh-CN" w:bidi="ar-SA"/>
        </w:rPr>
        <w:t>（三）PGT-M胚胎植入前单基因遗传病分子遗传学检测项目参数要求</w:t>
      </w:r>
    </w:p>
    <w:p w14:paraId="6D016612">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1．检测内容及分辨率：</w:t>
      </w:r>
    </w:p>
    <w:p w14:paraId="7CAC0448">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（1）检测内容：</w:t>
      </w:r>
    </w:p>
    <w:p w14:paraId="4BBEDC81">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① 家系预实验分析：提供男女双方及先证者或男女双方及其双方父母样本进行致病位点的验证并利用单核苷酸多态性（SNP）构建单倍型</w:t>
      </w:r>
    </w:p>
    <w:p w14:paraId="3A0E0FA3">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 xml:space="preserve">② 胚胎单基因病分子遗传检测：可对胚胎样本进行致病位点直接检测，检测胚胎样本是否携带致病位点；并可对胚胎样本进行SNP连锁分析，以判断胚胎样本是否携带致病位点；确保结果的准确性。 </w:t>
      </w:r>
    </w:p>
    <w:p w14:paraId="031A7943">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（2）检测分辨率：</w:t>
      </w:r>
    </w:p>
    <w:p w14:paraId="25322D55">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① 同时检测胚胎样本23对染色体的数目异常及4Mb以上的缺失、重复，对于10Mb以上，≥30%的嵌合异常可有效检出（备注：可检测更低比例嵌合异常，性能更优）。</w:t>
      </w:r>
    </w:p>
    <w:p w14:paraId="2FA21C1B">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2．检测技术：</w:t>
      </w:r>
    </w:p>
    <w:p w14:paraId="652380AF">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（1）检测技术可实现的样本类型：</w:t>
      </w:r>
    </w:p>
    <w:p w14:paraId="3CC735D9">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① 囊胚外滋养层细胞</w:t>
      </w:r>
    </w:p>
    <w:p w14:paraId="362A35A1">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（2）技术性能：</w:t>
      </w:r>
    </w:p>
    <w:p w14:paraId="04D1A430">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①能够提供分析胚胎全三倍体、染色体臂水平的单亲二倍体UPD的检测方案。</w:t>
      </w:r>
    </w:p>
    <w:p w14:paraId="2763E3C5">
      <w:pPr>
        <w:spacing w:line="360" w:lineRule="auto"/>
        <w:ind w:firstLine="456" w:firstLineChars="200"/>
        <w:rPr>
          <w:rFonts w:hint="eastAsia"/>
          <w:lang w:val="en-US" w:eastAsia="zh-CN"/>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②具备构建单体型的技术</w:t>
      </w:r>
      <w:r>
        <w:rPr>
          <w:rFonts w:hint="eastAsia" w:ascii="宋体" w:hAnsi="宋体" w:eastAsia="宋体" w:cs="宋体"/>
          <w:b/>
          <w:bCs/>
          <w:strike w:val="0"/>
          <w:dstrike w:val="0"/>
          <w:color w:val="auto"/>
          <w:spacing w:val="-6"/>
          <w:kern w:val="0"/>
          <w:sz w:val="24"/>
          <w:szCs w:val="24"/>
          <w:highlight w:val="none"/>
          <w:u w:val="none"/>
          <w:lang w:val="en-US" w:eastAsia="zh-CN" w:bidi="ar-SA"/>
        </w:rPr>
        <w:t>。</w:t>
      </w:r>
    </w:p>
    <w:p w14:paraId="5A736827">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③单细胞扩增技术，扩增成功率≥95%。</w:t>
      </w:r>
    </w:p>
    <w:p w14:paraId="56DA5AA7">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color w:val="auto"/>
          <w:spacing w:val="-6"/>
          <w:kern w:val="0"/>
          <w:sz w:val="24"/>
          <w:szCs w:val="24"/>
          <w:highlight w:val="none"/>
          <w:u w:val="none"/>
          <w:lang w:val="en-US" w:eastAsia="zh-CN" w:bidi="ar-SA"/>
        </w:rPr>
        <w:t>④单细胞扩增脱扣率低&lt;10%，覆盖度高≥93%，均一性好CV≤0.25；</w:t>
      </w:r>
    </w:p>
    <w:p w14:paraId="24BB83FF">
      <w:pPr>
        <w:spacing w:line="360" w:lineRule="auto"/>
        <w:ind w:firstLine="456" w:firstLineChars="200"/>
        <w:rPr>
          <w:rFonts w:hint="eastAsia" w:ascii="宋体" w:hAnsi="宋体" w:eastAsia="宋体" w:cs="宋体"/>
          <w:b w:val="0"/>
          <w:bCs w:val="0"/>
          <w:strike w:val="0"/>
          <w:dstrike w:val="0"/>
          <w:color w:val="auto"/>
          <w:spacing w:val="-6"/>
          <w:kern w:val="0"/>
          <w:sz w:val="24"/>
          <w:szCs w:val="24"/>
          <w:highlight w:val="none"/>
          <w:u w:val="none"/>
          <w:lang w:val="en-US" w:eastAsia="zh-CN" w:bidi="ar-SA"/>
        </w:rPr>
      </w:pPr>
    </w:p>
    <w:p w14:paraId="7C2ACF35">
      <w:pPr>
        <w:pStyle w:val="9"/>
        <w:spacing w:line="360" w:lineRule="auto"/>
        <w:rPr>
          <w:rFonts w:hint="eastAsia" w:ascii="宋体" w:hAnsi="宋体" w:eastAsia="宋体" w:cs="宋体"/>
          <w:b/>
          <w:bCs/>
          <w:strike w:val="0"/>
          <w:dstrike w:val="0"/>
          <w:color w:val="auto"/>
          <w:spacing w:val="-6"/>
          <w:kern w:val="0"/>
          <w:sz w:val="24"/>
          <w:szCs w:val="24"/>
          <w:highlight w:val="none"/>
          <w:u w:val="none"/>
          <w:lang w:val="en-US" w:eastAsia="zh-CN" w:bidi="ar-SA"/>
        </w:rPr>
      </w:pPr>
      <w:r>
        <w:rPr>
          <w:rFonts w:hint="eastAsia" w:ascii="宋体" w:hAnsi="宋体" w:eastAsia="宋体" w:cs="宋体"/>
          <w:b/>
          <w:bCs/>
          <w:strike w:val="0"/>
          <w:dstrike w:val="0"/>
          <w:color w:val="auto"/>
          <w:spacing w:val="-6"/>
          <w:kern w:val="0"/>
          <w:sz w:val="24"/>
          <w:szCs w:val="24"/>
          <w:highlight w:val="none"/>
          <w:u w:val="none"/>
          <w:lang w:val="en-US" w:eastAsia="zh-CN" w:bidi="ar-SA"/>
        </w:rPr>
        <w:t>三、项目清单</w:t>
      </w:r>
    </w:p>
    <w:tbl>
      <w:tblPr>
        <w:tblStyle w:val="7"/>
        <w:tblW w:w="950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08"/>
        <w:gridCol w:w="4271"/>
        <w:gridCol w:w="1838"/>
        <w:gridCol w:w="2184"/>
      </w:tblGrid>
      <w:tr w14:paraId="17249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C436F">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序号</w:t>
            </w:r>
          </w:p>
        </w:tc>
        <w:tc>
          <w:tcPr>
            <w:tcW w:w="4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BEB85">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项目名称</w:t>
            </w:r>
          </w:p>
        </w:tc>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37937">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w:t>
            </w:r>
          </w:p>
        </w:tc>
        <w:tc>
          <w:tcPr>
            <w:tcW w:w="21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1DCD5">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预算单价（元）</w:t>
            </w:r>
          </w:p>
        </w:tc>
      </w:tr>
      <w:tr w14:paraId="16CDD3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 w:hRule="atLeast"/>
        </w:trPr>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5DD21">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F3098">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PGT-A分子遗传检测</w:t>
            </w:r>
          </w:p>
        </w:tc>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F9D40">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180个样本</w:t>
            </w:r>
          </w:p>
        </w:tc>
        <w:tc>
          <w:tcPr>
            <w:tcW w:w="21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8F107">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1050/样本</w:t>
            </w:r>
          </w:p>
        </w:tc>
      </w:tr>
      <w:tr w14:paraId="478A6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7" w:hRule="atLeast"/>
        </w:trPr>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DFEB4">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4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1BCD7">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PGT-SR染色体分子遗传检测</w:t>
            </w:r>
          </w:p>
        </w:tc>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46AA0">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360个样本</w:t>
            </w:r>
          </w:p>
        </w:tc>
        <w:tc>
          <w:tcPr>
            <w:tcW w:w="21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3BB88">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1050/样本</w:t>
            </w:r>
          </w:p>
        </w:tc>
      </w:tr>
      <w:tr w14:paraId="773AF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9" w:hRule="atLeast"/>
        </w:trPr>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AF3A4">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4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64F07">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PGT-SR家系分析</w:t>
            </w:r>
          </w:p>
        </w:tc>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1E34A">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270个样本</w:t>
            </w:r>
          </w:p>
        </w:tc>
        <w:tc>
          <w:tcPr>
            <w:tcW w:w="21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E2971">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1500/样本</w:t>
            </w:r>
          </w:p>
        </w:tc>
      </w:tr>
      <w:tr w14:paraId="20AD3C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9" w:hRule="atLeast"/>
        </w:trPr>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32F01">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4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AA35A">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PGT-M胚胎检测</w:t>
            </w:r>
          </w:p>
        </w:tc>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3A589">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360个样本</w:t>
            </w:r>
          </w:p>
        </w:tc>
        <w:tc>
          <w:tcPr>
            <w:tcW w:w="21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C43FC">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2100/样本</w:t>
            </w:r>
          </w:p>
        </w:tc>
      </w:tr>
      <w:tr w14:paraId="144E32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1" w:hRule="atLeast"/>
        </w:trPr>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7AA1C">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4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CA51C">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PGT-M家系预实验</w:t>
            </w:r>
          </w:p>
        </w:tc>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86B31">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540个样本</w:t>
            </w:r>
          </w:p>
        </w:tc>
        <w:tc>
          <w:tcPr>
            <w:tcW w:w="21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ADE8C">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1500元/样本</w:t>
            </w:r>
          </w:p>
        </w:tc>
      </w:tr>
      <w:tr w14:paraId="54060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CE48D">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42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DF3EC">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PGT-M家系预实验（三代测序）</w:t>
            </w:r>
          </w:p>
        </w:tc>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C357C">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30个家系</w:t>
            </w:r>
          </w:p>
        </w:tc>
        <w:tc>
          <w:tcPr>
            <w:tcW w:w="21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80888">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10500元/家系</w:t>
            </w:r>
          </w:p>
        </w:tc>
      </w:tr>
      <w:tr w14:paraId="74A31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731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6CEDD1">
            <w:pPr>
              <w:keepNext w:val="0"/>
              <w:keepLines w:val="0"/>
              <w:widowControl/>
              <w:suppressLineNumbers w:val="0"/>
              <w:spacing w:line="36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合计（元）</w:t>
            </w:r>
          </w:p>
        </w:tc>
        <w:tc>
          <w:tcPr>
            <w:tcW w:w="21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62585">
            <w:pPr>
              <w:keepNext w:val="0"/>
              <w:keepLines w:val="0"/>
              <w:widowControl/>
              <w:suppressLineNumbers w:val="0"/>
              <w:spacing w:line="36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2853000</w:t>
            </w:r>
          </w:p>
        </w:tc>
      </w:tr>
    </w:tbl>
    <w:p w14:paraId="30C98528">
      <w:pPr>
        <w:pStyle w:val="2"/>
        <w:spacing w:line="360" w:lineRule="auto"/>
        <w:rPr>
          <w:rFonts w:hint="eastAsia" w:ascii="宋体" w:hAnsi="宋体" w:eastAsia="宋体" w:cs="宋体"/>
          <w:b w:val="0"/>
          <w:bCs w:val="0"/>
          <w:strike w:val="0"/>
          <w:dstrike w:val="0"/>
          <w:snapToGrid w:val="0"/>
          <w:color w:val="auto"/>
          <w:spacing w:val="-6"/>
          <w:kern w:val="0"/>
          <w:sz w:val="24"/>
          <w:szCs w:val="24"/>
          <w:highlight w:val="none"/>
          <w:u w:val="none"/>
          <w:lang w:val="en-US" w:eastAsia="zh-CN" w:bidi="ar-SA"/>
        </w:rPr>
      </w:pPr>
      <w:r>
        <w:rPr>
          <w:rFonts w:hint="eastAsia" w:ascii="宋体" w:hAnsi="宋体" w:eastAsia="宋体" w:cs="宋体"/>
          <w:b w:val="0"/>
          <w:bCs w:val="0"/>
          <w:strike w:val="0"/>
          <w:dstrike w:val="0"/>
          <w:snapToGrid w:val="0"/>
          <w:color w:val="auto"/>
          <w:spacing w:val="-6"/>
          <w:kern w:val="0"/>
          <w:sz w:val="24"/>
          <w:szCs w:val="24"/>
          <w:highlight w:val="none"/>
          <w:u w:val="none"/>
          <w:lang w:val="en-US" w:eastAsia="zh-CN" w:bidi="ar-SA"/>
        </w:rPr>
        <w:t>上表中的数量仅为统计预算金额的参考数量，最终的数量在不超出合同金额范围内，以采购单位实际需要为准</w:t>
      </w:r>
    </w:p>
    <w:p w14:paraId="3801BDB1">
      <w:pPr>
        <w:keepNext w:val="0"/>
        <w:keepLines w:val="0"/>
        <w:pageBreakBefore w:val="0"/>
        <w:widowControl w:val="0"/>
        <w:kinsoku/>
        <w:wordWrap/>
        <w:overflowPunct/>
        <w:topLinePunct w:val="0"/>
        <w:autoSpaceDE/>
        <w:autoSpaceDN/>
        <w:bidi w:val="0"/>
        <w:adjustRightInd/>
        <w:snapToGrid/>
        <w:spacing w:before="60" w:line="360" w:lineRule="auto"/>
        <w:ind w:firstLine="420" w:firstLineChars="200"/>
        <w:textAlignment w:val="auto"/>
        <w:rPr>
          <w:rFonts w:hint="eastAsia" w:ascii="宋体" w:hAnsi="宋体" w:eastAsia="宋体" w:cs="宋体"/>
          <w:b/>
          <w:bCs/>
          <w:color w:val="auto"/>
          <w:spacing w:val="-5"/>
          <w:sz w:val="24"/>
          <w:szCs w:val="24"/>
          <w:lang w:eastAsia="zh-CN"/>
        </w:rPr>
      </w:pPr>
      <w:r>
        <w:rPr>
          <w:rFonts w:hint="eastAsia" w:ascii="宋体" w:hAnsi="宋体" w:eastAsia="宋体" w:cs="宋体"/>
          <w:color w:val="auto"/>
          <w:szCs w:val="24"/>
          <w:lang w:eastAsia="zh-CN"/>
        </w:rPr>
        <w:t>★</w:t>
      </w:r>
      <w:r>
        <w:rPr>
          <w:rFonts w:hint="eastAsia" w:ascii="宋体" w:hAnsi="宋体" w:eastAsia="宋体" w:cs="宋体"/>
          <w:b/>
          <w:bCs/>
          <w:color w:val="auto"/>
          <w:spacing w:val="-5"/>
          <w:sz w:val="24"/>
          <w:szCs w:val="24"/>
          <w:lang w:eastAsia="zh-CN"/>
        </w:rPr>
        <w:t>四、其他要求</w:t>
      </w:r>
    </w:p>
    <w:p w14:paraId="76F6193D">
      <w:pPr>
        <w:keepNext w:val="0"/>
        <w:keepLines w:val="0"/>
        <w:pageBreakBefore w:val="0"/>
        <w:widowControl w:val="0"/>
        <w:kinsoku/>
        <w:wordWrap/>
        <w:overflowPunct/>
        <w:topLinePunct w:val="0"/>
        <w:autoSpaceDE/>
        <w:autoSpaceDN/>
        <w:bidi w:val="0"/>
        <w:adjustRightInd/>
        <w:snapToGrid/>
        <w:spacing w:before="60" w:line="360" w:lineRule="auto"/>
        <w:ind w:firstLine="462" w:firstLineChars="200"/>
        <w:textAlignment w:val="auto"/>
        <w:rPr>
          <w:rFonts w:hint="eastAsia" w:ascii="宋体" w:hAnsi="宋体" w:eastAsia="宋体" w:cs="宋体"/>
          <w:b/>
          <w:bCs/>
          <w:color w:val="auto"/>
          <w:spacing w:val="-5"/>
          <w:sz w:val="24"/>
          <w:szCs w:val="24"/>
          <w:lang w:eastAsia="zh-CN"/>
        </w:rPr>
      </w:pPr>
      <w:r>
        <w:rPr>
          <w:rFonts w:hint="eastAsia" w:ascii="宋体" w:hAnsi="宋体" w:eastAsia="宋体" w:cs="宋体"/>
          <w:b/>
          <w:bCs/>
          <w:color w:val="auto"/>
          <w:spacing w:val="-5"/>
          <w:sz w:val="24"/>
          <w:szCs w:val="24"/>
          <w:lang w:eastAsia="zh-CN"/>
        </w:rPr>
        <w:t>（</w:t>
      </w:r>
      <w:r>
        <w:rPr>
          <w:rFonts w:hint="eastAsia" w:ascii="宋体" w:hAnsi="宋体" w:eastAsia="宋体" w:cs="宋体"/>
          <w:b/>
          <w:bCs/>
          <w:color w:val="auto"/>
          <w:spacing w:val="-5"/>
          <w:sz w:val="24"/>
          <w:szCs w:val="24"/>
          <w:lang w:val="en-US" w:eastAsia="zh-CN"/>
        </w:rPr>
        <w:t>一</w:t>
      </w:r>
      <w:r>
        <w:rPr>
          <w:rFonts w:hint="eastAsia" w:ascii="宋体" w:hAnsi="宋体" w:eastAsia="宋体" w:cs="宋体"/>
          <w:b/>
          <w:bCs/>
          <w:color w:val="auto"/>
          <w:spacing w:val="-5"/>
          <w:sz w:val="24"/>
          <w:szCs w:val="24"/>
          <w:lang w:eastAsia="zh-CN"/>
        </w:rPr>
        <w:t>）专业技术服务团队：</w:t>
      </w:r>
    </w:p>
    <w:p w14:paraId="1584FAA1">
      <w:pPr>
        <w:keepNext w:val="0"/>
        <w:keepLines w:val="0"/>
        <w:pageBreakBefore w:val="0"/>
        <w:widowControl w:val="0"/>
        <w:kinsoku/>
        <w:wordWrap/>
        <w:overflowPunct/>
        <w:topLinePunct w:val="0"/>
        <w:autoSpaceDE/>
        <w:autoSpaceDN/>
        <w:bidi w:val="0"/>
        <w:adjustRightInd/>
        <w:snapToGrid/>
        <w:spacing w:before="60"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投标人须拟派至少1名项目负责人及</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名团队成员（项目负责人除外），拟派本项目的项目负责人及团队成员均应具备对应工作能力：</w:t>
      </w:r>
    </w:p>
    <w:p w14:paraId="7AEF6339">
      <w:pPr>
        <w:keepNext w:val="0"/>
        <w:keepLines w:val="0"/>
        <w:pageBreakBefore w:val="0"/>
        <w:widowControl w:val="0"/>
        <w:numPr>
          <w:ilvl w:val="0"/>
          <w:numId w:val="0"/>
        </w:numPr>
        <w:kinsoku/>
        <w:wordWrap/>
        <w:overflowPunct/>
        <w:topLinePunct w:val="0"/>
        <w:autoSpaceDE/>
        <w:autoSpaceDN/>
        <w:bidi w:val="0"/>
        <w:adjustRightInd/>
        <w:snapToGrid/>
        <w:spacing w:before="60"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snapToGrid w:val="0"/>
          <w:color w:val="auto"/>
          <w:sz w:val="24"/>
          <w:szCs w:val="24"/>
          <w:lang w:val="en-US" w:eastAsia="zh-CN" w:bidi="ar-SA"/>
        </w:rPr>
        <w:t>1、</w:t>
      </w:r>
      <w:r>
        <w:rPr>
          <w:rFonts w:hint="eastAsia" w:ascii="宋体" w:hAnsi="宋体" w:eastAsia="宋体" w:cs="宋体"/>
          <w:color w:val="auto"/>
          <w:sz w:val="24"/>
          <w:szCs w:val="24"/>
          <w:highlight w:val="none"/>
          <w:lang w:eastAsia="zh-CN"/>
        </w:rPr>
        <w:t>项目负责人</w:t>
      </w:r>
    </w:p>
    <w:p w14:paraId="5B5EB886">
      <w:pPr>
        <w:keepNext w:val="0"/>
        <w:keepLines w:val="0"/>
        <w:pageBreakBefore w:val="0"/>
        <w:widowControl w:val="0"/>
        <w:numPr>
          <w:ilvl w:val="0"/>
          <w:numId w:val="0"/>
        </w:numPr>
        <w:kinsoku/>
        <w:wordWrap/>
        <w:overflowPunct/>
        <w:topLinePunct w:val="0"/>
        <w:autoSpaceDE/>
        <w:autoSpaceDN/>
        <w:bidi w:val="0"/>
        <w:adjustRightInd/>
        <w:snapToGrid/>
        <w:spacing w:before="6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snapToGrid w:val="0"/>
          <w:color w:val="auto"/>
          <w:sz w:val="24"/>
          <w:szCs w:val="24"/>
          <w:lang w:val="en-US" w:eastAsia="zh-CN" w:bidi="ar-SA"/>
        </w:rPr>
        <w:t>（1）</w:t>
      </w:r>
      <w:r>
        <w:rPr>
          <w:rFonts w:hint="eastAsia" w:ascii="宋体" w:hAnsi="宋体" w:eastAsia="宋体" w:cs="宋体"/>
          <w:color w:val="auto"/>
          <w:sz w:val="24"/>
          <w:szCs w:val="24"/>
          <w:highlight w:val="none"/>
          <w:lang w:eastAsia="zh-CN"/>
        </w:rPr>
        <w:t>具有医学检验相关职</w:t>
      </w:r>
      <w:r>
        <w:rPr>
          <w:rFonts w:hint="eastAsia" w:ascii="宋体" w:hAnsi="宋体" w:eastAsia="宋体" w:cs="宋体"/>
          <w:color w:val="auto"/>
          <w:sz w:val="24"/>
          <w:szCs w:val="24"/>
          <w:highlight w:val="none"/>
          <w:lang w:val="en-US" w:eastAsia="zh-CN"/>
        </w:rPr>
        <w:t>称。</w:t>
      </w:r>
    </w:p>
    <w:p w14:paraId="02CF317E">
      <w:pPr>
        <w:keepNext w:val="0"/>
        <w:keepLines w:val="0"/>
        <w:pageBreakBefore w:val="0"/>
        <w:widowControl w:val="0"/>
        <w:numPr>
          <w:ilvl w:val="0"/>
          <w:numId w:val="0"/>
        </w:numPr>
        <w:kinsoku/>
        <w:wordWrap/>
        <w:overflowPunct/>
        <w:topLinePunct w:val="0"/>
        <w:autoSpaceDE/>
        <w:autoSpaceDN/>
        <w:bidi w:val="0"/>
        <w:adjustRightInd/>
        <w:snapToGrid/>
        <w:spacing w:before="60"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snapToGrid w:val="0"/>
          <w:color w:val="auto"/>
          <w:sz w:val="24"/>
          <w:szCs w:val="24"/>
          <w:lang w:val="en-US" w:eastAsia="zh-CN" w:bidi="ar-SA"/>
        </w:rPr>
        <w:t>（2）</w:t>
      </w:r>
      <w:r>
        <w:rPr>
          <w:rFonts w:hint="eastAsia" w:ascii="宋体" w:hAnsi="宋体" w:eastAsia="宋体" w:cs="宋体"/>
          <w:color w:val="auto"/>
          <w:sz w:val="24"/>
          <w:szCs w:val="24"/>
          <w:highlight w:val="none"/>
          <w:lang w:eastAsia="zh-CN"/>
        </w:rPr>
        <w:t>具备3年及以上医疗检测类项目管理经验，熟悉PGT检测全流程（样本运输、实验室检测、报告出具等）。</w:t>
      </w:r>
    </w:p>
    <w:p w14:paraId="6F6DCD53">
      <w:pPr>
        <w:keepNext w:val="0"/>
        <w:keepLines w:val="0"/>
        <w:pageBreakBefore w:val="0"/>
        <w:widowControl w:val="0"/>
        <w:numPr>
          <w:ilvl w:val="0"/>
          <w:numId w:val="0"/>
        </w:numPr>
        <w:kinsoku/>
        <w:wordWrap/>
        <w:overflowPunct/>
        <w:topLinePunct w:val="0"/>
        <w:autoSpaceDE/>
        <w:autoSpaceDN/>
        <w:bidi w:val="0"/>
        <w:adjustRightInd/>
        <w:snapToGrid/>
        <w:spacing w:before="60"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具备良好沟通协调能力，能高效对接采购人与内部团队，及时解决项目履约中的问题。</w:t>
      </w:r>
    </w:p>
    <w:p w14:paraId="4C86646B">
      <w:pPr>
        <w:keepNext w:val="0"/>
        <w:keepLines w:val="0"/>
        <w:pageBreakBefore w:val="0"/>
        <w:widowControl w:val="0"/>
        <w:numPr>
          <w:ilvl w:val="0"/>
          <w:numId w:val="0"/>
        </w:numPr>
        <w:kinsoku/>
        <w:wordWrap/>
        <w:overflowPunct/>
        <w:topLinePunct w:val="0"/>
        <w:autoSpaceDE/>
        <w:autoSpaceDN/>
        <w:bidi w:val="0"/>
        <w:adjustRightInd/>
        <w:snapToGrid/>
        <w:spacing w:before="60"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熟悉《GB/T45743-2025生物样本细胞运输通用要求》《医疗器械监督管理条例》等相关法规标准。</w:t>
      </w:r>
    </w:p>
    <w:p w14:paraId="1F6587B2">
      <w:pPr>
        <w:keepNext w:val="0"/>
        <w:keepLines w:val="0"/>
        <w:pageBreakBefore w:val="0"/>
        <w:widowControl w:val="0"/>
        <w:numPr>
          <w:ilvl w:val="0"/>
          <w:numId w:val="0"/>
        </w:numPr>
        <w:kinsoku/>
        <w:wordWrap/>
        <w:overflowPunct/>
        <w:topLinePunct w:val="0"/>
        <w:autoSpaceDE/>
        <w:autoSpaceDN/>
        <w:bidi w:val="0"/>
        <w:adjustRightInd/>
        <w:snapToGrid/>
        <w:spacing w:before="60"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lang w:eastAsia="zh-CN"/>
        </w:rPr>
        <w:t>具备应对突发情况（如样本运输延误、检测结果异常）的应急处理能力，能制定合理应急预案并落地</w:t>
      </w:r>
      <w:r>
        <w:rPr>
          <w:rFonts w:hint="eastAsia" w:ascii="宋体" w:hAnsi="宋体" w:eastAsia="宋体" w:cs="宋体"/>
          <w:color w:val="auto"/>
          <w:sz w:val="24"/>
          <w:szCs w:val="24"/>
          <w:highlight w:val="none"/>
          <w:lang w:val="en-US" w:eastAsia="zh-CN"/>
        </w:rPr>
        <w:t>。</w:t>
      </w:r>
    </w:p>
    <w:p w14:paraId="0DCC063F">
      <w:pPr>
        <w:keepNext w:val="0"/>
        <w:keepLines w:val="0"/>
        <w:pageBreakBefore w:val="0"/>
        <w:widowControl w:val="0"/>
        <w:kinsoku/>
        <w:wordWrap/>
        <w:overflowPunct/>
        <w:topLinePunct w:val="0"/>
        <w:autoSpaceDE/>
        <w:autoSpaceDN/>
        <w:bidi w:val="0"/>
        <w:adjustRightInd/>
        <w:snapToGrid/>
        <w:spacing w:before="60"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团队成员（</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名及以上）：</w:t>
      </w:r>
    </w:p>
    <w:p w14:paraId="578C7149">
      <w:pPr>
        <w:keepNext w:val="0"/>
        <w:keepLines w:val="0"/>
        <w:pageBreakBefore w:val="0"/>
        <w:widowControl w:val="0"/>
        <w:kinsoku/>
        <w:wordWrap/>
        <w:overflowPunct/>
        <w:topLinePunct w:val="0"/>
        <w:autoSpaceDE/>
        <w:autoSpaceDN/>
        <w:bidi w:val="0"/>
        <w:adjustRightInd/>
        <w:snapToGrid/>
        <w:spacing w:before="60"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至少1名具备医学检验相关专业本科及以上学历，熟悉PGT-A/PGT-SR/PGT-M检测技术操作规范。</w:t>
      </w:r>
    </w:p>
    <w:p w14:paraId="582E40ED">
      <w:pPr>
        <w:keepNext w:val="0"/>
        <w:keepLines w:val="0"/>
        <w:pageBreakBefore w:val="0"/>
        <w:widowControl w:val="0"/>
        <w:kinsoku/>
        <w:wordWrap/>
        <w:overflowPunct/>
        <w:topLinePunct w:val="0"/>
        <w:autoSpaceDE/>
        <w:autoSpaceDN/>
        <w:bidi w:val="0"/>
        <w:adjustRightInd/>
        <w:snapToGrid/>
        <w:spacing w:before="60"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至少1名具备冷链物流管理经验，熟悉生物样本运输的生物安全要求及温度监控操作。</w:t>
      </w:r>
    </w:p>
    <w:p w14:paraId="77AF8840">
      <w:pPr>
        <w:keepNext w:val="0"/>
        <w:keepLines w:val="0"/>
        <w:pageBreakBefore w:val="0"/>
        <w:widowControl w:val="0"/>
        <w:kinsoku/>
        <w:wordWrap/>
        <w:overflowPunct/>
        <w:topLinePunct w:val="0"/>
        <w:autoSpaceDE/>
        <w:autoSpaceDN/>
        <w:bidi w:val="0"/>
        <w:adjustRightInd/>
        <w:snapToGrid/>
        <w:spacing w:before="60" w:line="360" w:lineRule="auto"/>
        <w:ind w:firstLine="480" w:firstLineChars="200"/>
        <w:textAlignment w:val="auto"/>
        <w:rPr>
          <w:rFonts w:hint="default" w:ascii="宋体" w:hAnsi="宋体" w:eastAsia="宋体" w:cs="宋体"/>
          <w:strike w:val="0"/>
          <w:color w:val="auto"/>
          <w:sz w:val="24"/>
          <w:szCs w:val="24"/>
          <w:highlight w:val="none"/>
          <w:lang w:val="en-US" w:eastAsia="zh-CN"/>
        </w:rPr>
      </w:pPr>
      <w:r>
        <w:rPr>
          <w:rFonts w:hint="eastAsia" w:ascii="宋体" w:hAnsi="宋体" w:eastAsia="宋体" w:cs="宋体"/>
          <w:strike w:val="0"/>
          <w:color w:val="auto"/>
          <w:sz w:val="24"/>
          <w:szCs w:val="24"/>
          <w:highlight w:val="none"/>
          <w:lang w:eastAsia="zh-CN"/>
        </w:rPr>
        <w:t>（</w:t>
      </w:r>
      <w:r>
        <w:rPr>
          <w:rFonts w:hint="eastAsia" w:ascii="宋体" w:hAnsi="宋体" w:eastAsia="宋体" w:cs="宋体"/>
          <w:strike w:val="0"/>
          <w:color w:val="auto"/>
          <w:sz w:val="24"/>
          <w:szCs w:val="24"/>
          <w:highlight w:val="none"/>
          <w:lang w:val="en-US" w:eastAsia="zh-CN"/>
        </w:rPr>
        <w:t>3）至少1名技术人员具生物信息学专业</w:t>
      </w:r>
      <w:r>
        <w:rPr>
          <w:rFonts w:hint="eastAsia" w:ascii="宋体" w:hAnsi="宋体" w:eastAsia="宋体" w:cs="宋体"/>
          <w:color w:val="auto"/>
          <w:sz w:val="24"/>
          <w:szCs w:val="24"/>
          <w:highlight w:val="none"/>
          <w:lang w:eastAsia="zh-CN"/>
        </w:rPr>
        <w:t>本科及以上学历。</w:t>
      </w:r>
    </w:p>
    <w:p w14:paraId="2EC0408C">
      <w:pPr>
        <w:keepNext w:val="0"/>
        <w:keepLines w:val="0"/>
        <w:pageBreakBefore w:val="0"/>
        <w:widowControl w:val="0"/>
        <w:kinsoku/>
        <w:wordWrap/>
        <w:overflowPunct/>
        <w:topLinePunct w:val="0"/>
        <w:autoSpaceDE/>
        <w:autoSpaceDN/>
        <w:bidi w:val="0"/>
        <w:adjustRightInd/>
        <w:snapToGrid/>
        <w:spacing w:before="60" w:line="360" w:lineRule="auto"/>
        <w:ind w:firstLine="480" w:firstLineChars="200"/>
        <w:textAlignment w:val="auto"/>
        <w:rPr>
          <w:rFonts w:hint="eastAsia" w:ascii="宋体" w:hAnsi="宋体" w:eastAsia="宋体" w:cs="宋体"/>
          <w:strike w:val="0"/>
          <w:color w:val="auto"/>
          <w:sz w:val="24"/>
          <w:szCs w:val="24"/>
          <w:highlight w:val="none"/>
          <w:lang w:val="en-US" w:eastAsia="zh-CN"/>
        </w:rPr>
      </w:pPr>
      <w:r>
        <w:rPr>
          <w:rFonts w:hint="eastAsia" w:ascii="宋体" w:hAnsi="宋体" w:eastAsia="宋体" w:cs="宋体"/>
          <w:strike w:val="0"/>
          <w:color w:val="auto"/>
          <w:sz w:val="24"/>
          <w:szCs w:val="24"/>
          <w:highlight w:val="none"/>
          <w:lang w:eastAsia="zh-CN"/>
        </w:rPr>
        <w:t>（</w:t>
      </w:r>
      <w:r>
        <w:rPr>
          <w:rFonts w:hint="eastAsia" w:ascii="宋体" w:hAnsi="宋体" w:eastAsia="宋体" w:cs="宋体"/>
          <w:strike w:val="0"/>
          <w:color w:val="auto"/>
          <w:sz w:val="24"/>
          <w:szCs w:val="24"/>
          <w:highlight w:val="none"/>
          <w:lang w:val="en-US" w:eastAsia="zh-CN"/>
        </w:rPr>
        <w:t>4）至少1报告</w:t>
      </w:r>
      <w:r>
        <w:rPr>
          <w:rFonts w:hint="eastAsia" w:ascii="宋体" w:hAnsi="宋体" w:eastAsia="宋体" w:cs="宋体"/>
          <w:bCs/>
          <w:sz w:val="24"/>
          <w:szCs w:val="24"/>
          <w:lang w:eastAsia="zh-CN"/>
        </w:rPr>
        <w:t>签发</w:t>
      </w:r>
      <w:r>
        <w:rPr>
          <w:rFonts w:hint="eastAsia" w:ascii="宋体" w:hAnsi="宋体" w:eastAsia="宋体" w:cs="宋体"/>
          <w:bCs/>
          <w:sz w:val="24"/>
          <w:szCs w:val="24"/>
          <w:lang w:val="en-US" w:eastAsia="zh-CN"/>
        </w:rPr>
        <w:t>人员具有中</w:t>
      </w:r>
      <w:r>
        <w:rPr>
          <w:rFonts w:hint="eastAsia" w:ascii="宋体" w:hAnsi="宋体" w:eastAsia="宋体" w:cs="宋体"/>
          <w:bCs/>
          <w:sz w:val="24"/>
          <w:szCs w:val="24"/>
          <w:lang w:eastAsia="zh-CN"/>
        </w:rPr>
        <w:t>级职称</w:t>
      </w:r>
      <w:r>
        <w:rPr>
          <w:rFonts w:hint="eastAsia" w:ascii="宋体" w:hAnsi="宋体" w:eastAsia="宋体" w:cs="宋体"/>
          <w:bCs/>
          <w:sz w:val="24"/>
          <w:szCs w:val="24"/>
          <w:lang w:val="en-US" w:eastAsia="zh-CN"/>
        </w:rPr>
        <w:t>及以上的</w:t>
      </w:r>
      <w:r>
        <w:rPr>
          <w:rFonts w:hint="eastAsia" w:ascii="宋体" w:hAnsi="宋体" w:eastAsia="宋体" w:cs="宋体"/>
          <w:bCs/>
          <w:sz w:val="24"/>
          <w:szCs w:val="24"/>
          <w:lang w:eastAsia="zh-CN"/>
        </w:rPr>
        <w:t>检验技师</w:t>
      </w:r>
      <w:r>
        <w:rPr>
          <w:rFonts w:hint="eastAsia" w:ascii="宋体" w:hAnsi="宋体" w:eastAsia="宋体" w:cs="宋体"/>
          <w:strike w:val="0"/>
          <w:color w:val="auto"/>
          <w:sz w:val="24"/>
          <w:szCs w:val="24"/>
          <w:highlight w:val="none"/>
          <w:lang w:val="en-US" w:eastAsia="zh-CN"/>
        </w:rPr>
        <w:t>。</w:t>
      </w:r>
    </w:p>
    <w:p w14:paraId="5DC58097">
      <w:pPr>
        <w:pStyle w:val="2"/>
        <w:keepNext w:val="0"/>
        <w:keepLines w:val="0"/>
        <w:pageBreakBefore w:val="0"/>
        <w:widowControl/>
        <w:kinsoku w:val="0"/>
        <w:wordWrap/>
        <w:overflowPunct/>
        <w:topLinePunct w:val="0"/>
        <w:autoSpaceDE w:val="0"/>
        <w:autoSpaceDN w:val="0"/>
        <w:bidi w:val="0"/>
        <w:adjustRightInd w:val="0"/>
        <w:snapToGrid w:val="0"/>
        <w:spacing w:before="0" w:after="0" w:line="360" w:lineRule="auto"/>
        <w:ind w:left="0" w:leftChars="0" w:firstLine="482" w:firstLineChars="200"/>
        <w:textAlignment w:val="baseline"/>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二</w:t>
      </w:r>
      <w:r>
        <w:rPr>
          <w:rFonts w:hint="eastAsia" w:ascii="宋体" w:hAnsi="宋体" w:eastAsia="宋体" w:cs="宋体"/>
          <w:b/>
          <w:bCs/>
          <w:color w:val="auto"/>
          <w:sz w:val="24"/>
          <w:szCs w:val="24"/>
          <w:highlight w:val="none"/>
          <w:lang w:eastAsia="zh-CN"/>
        </w:rPr>
        <w:t>）实验室资质实力：</w:t>
      </w:r>
    </w:p>
    <w:p w14:paraId="507EA406">
      <w:pPr>
        <w:pStyle w:val="2"/>
        <w:keepNext w:val="0"/>
        <w:keepLines w:val="0"/>
        <w:pageBreakBefore w:val="0"/>
        <w:widowControl/>
        <w:kinsoku w:val="0"/>
        <w:wordWrap/>
        <w:overflowPunct/>
        <w:topLinePunct w:val="0"/>
        <w:autoSpaceDE w:val="0"/>
        <w:autoSpaceDN w:val="0"/>
        <w:bidi w:val="0"/>
        <w:adjustRightInd w:val="0"/>
        <w:snapToGrid w:val="0"/>
        <w:spacing w:before="0" w:after="0" w:line="360" w:lineRule="auto"/>
        <w:ind w:left="0" w:leftChars="0" w:firstLine="482" w:firstLineChars="200"/>
        <w:textAlignment w:val="baseline"/>
        <w:rPr>
          <w:rFonts w:hint="eastAsia" w:ascii="宋体" w:hAnsi="宋体" w:eastAsia="宋体" w:cs="宋体"/>
          <w:b/>
          <w:bCs/>
          <w:strike/>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1、</w:t>
      </w:r>
      <w:r>
        <w:rPr>
          <w:rFonts w:hint="eastAsia" w:ascii="宋体" w:hAnsi="宋体" w:eastAsia="宋体" w:cs="宋体"/>
          <w:bCs/>
          <w:sz w:val="24"/>
          <w:szCs w:val="24"/>
          <w:lang w:eastAsia="zh-CN"/>
        </w:rPr>
        <w:t>投标人实验室生物安全级别</w:t>
      </w:r>
      <w:r>
        <w:rPr>
          <w:rFonts w:hint="eastAsia" w:ascii="宋体" w:hAnsi="宋体" w:eastAsia="宋体" w:cs="宋体"/>
          <w:bCs/>
          <w:sz w:val="24"/>
          <w:szCs w:val="24"/>
          <w:lang w:val="en-US" w:eastAsia="zh-CN"/>
        </w:rPr>
        <w:t>为1</w:t>
      </w:r>
      <w:r>
        <w:rPr>
          <w:rFonts w:hint="eastAsia" w:ascii="宋体" w:hAnsi="宋体" w:eastAsia="宋体" w:cs="宋体"/>
          <w:bCs/>
          <w:sz w:val="24"/>
          <w:szCs w:val="24"/>
          <w:lang w:eastAsia="zh-CN"/>
        </w:rPr>
        <w:t>级或以上。</w:t>
      </w:r>
    </w:p>
    <w:p w14:paraId="52D8067B">
      <w:pPr>
        <w:pStyle w:val="2"/>
        <w:keepNext w:val="0"/>
        <w:keepLines w:val="0"/>
        <w:pageBreakBefore w:val="0"/>
        <w:widowControl/>
        <w:kinsoku w:val="0"/>
        <w:wordWrap/>
        <w:overflowPunct/>
        <w:topLinePunct w:val="0"/>
        <w:autoSpaceDE w:val="0"/>
        <w:autoSpaceDN w:val="0"/>
        <w:bidi w:val="0"/>
        <w:adjustRightInd w:val="0"/>
        <w:snapToGrid w:val="0"/>
        <w:spacing w:before="0" w:after="0" w:line="360" w:lineRule="auto"/>
        <w:ind w:left="0" w:leftChars="0" w:firstLine="480" w:firstLineChars="200"/>
        <w:textAlignment w:val="baseline"/>
        <w:rPr>
          <w:rFonts w:hint="eastAsia" w:ascii="宋体" w:hAnsi="宋体" w:eastAsia="宋体" w:cs="宋体"/>
          <w:b/>
          <w:bCs/>
          <w:strike w:val="0"/>
          <w:color w:val="auto"/>
          <w:sz w:val="24"/>
          <w:szCs w:val="24"/>
          <w:highlight w:val="none"/>
          <w:lang w:val="en-US" w:eastAsia="zh-CN"/>
        </w:rPr>
      </w:pPr>
      <w:r>
        <w:rPr>
          <w:rFonts w:hint="eastAsia" w:ascii="宋体" w:hAnsi="宋体" w:eastAsia="宋体" w:cs="宋体"/>
          <w:b w:val="0"/>
          <w:bCs w:val="0"/>
          <w:strike w:val="0"/>
          <w:color w:val="auto"/>
          <w:sz w:val="24"/>
          <w:szCs w:val="24"/>
          <w:highlight w:val="none"/>
          <w:lang w:val="en-US" w:eastAsia="zh-CN"/>
        </w:rPr>
        <w:t>2、</w:t>
      </w:r>
      <w:r>
        <w:rPr>
          <w:rFonts w:hint="eastAsia" w:ascii="宋体" w:hAnsi="宋体" w:eastAsia="宋体" w:cs="宋体"/>
          <w:bCs/>
          <w:color w:val="auto"/>
          <w:sz w:val="24"/>
          <w:szCs w:val="24"/>
          <w:lang w:val="en-US" w:eastAsia="zh-CN"/>
        </w:rPr>
        <w:t>投标人实验室参加2024年度国家卫生健康委临床检验中心室间质评。</w:t>
      </w:r>
    </w:p>
    <w:p w14:paraId="73B53CD5">
      <w:pPr>
        <w:pStyle w:val="2"/>
        <w:keepNext w:val="0"/>
        <w:keepLines w:val="0"/>
        <w:pageBreakBefore w:val="0"/>
        <w:widowControl/>
        <w:kinsoku w:val="0"/>
        <w:wordWrap/>
        <w:overflowPunct/>
        <w:topLinePunct w:val="0"/>
        <w:autoSpaceDE w:val="0"/>
        <w:autoSpaceDN w:val="0"/>
        <w:bidi w:val="0"/>
        <w:adjustRightInd w:val="0"/>
        <w:snapToGrid w:val="0"/>
        <w:spacing w:before="0" w:after="0" w:line="360" w:lineRule="auto"/>
        <w:ind w:left="0" w:leftChars="0" w:firstLine="480" w:firstLineChars="20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三</w:t>
      </w:r>
      <w:r>
        <w:rPr>
          <w:rFonts w:hint="eastAsia" w:ascii="宋体" w:hAnsi="宋体" w:eastAsia="宋体" w:cs="宋体"/>
          <w:color w:val="auto"/>
          <w:sz w:val="24"/>
          <w:szCs w:val="24"/>
          <w:highlight w:val="none"/>
          <w:lang w:eastAsia="zh-CN"/>
        </w:rPr>
        <w:t>）技术平台设备和能力要求：为满足胚胎植入前遗传学（PGT）检测对精准度、灵敏度及效率的高要求，投标人需配备专业设备并具备对应的技术能力。</w:t>
      </w:r>
    </w:p>
    <w:p w14:paraId="1585DE14">
      <w:pPr>
        <w:pStyle w:val="4"/>
        <w:keepNext w:val="0"/>
        <w:keepLines w:val="0"/>
        <w:pageBreakBefore w:val="0"/>
        <w:wordWrap/>
        <w:overflowPunct/>
        <w:topLinePunct w:val="0"/>
        <w:bidi w:val="0"/>
        <w:spacing w:before="60" w:line="360" w:lineRule="auto"/>
        <w:ind w:firstLine="482" w:firstLineChars="200"/>
        <w:rPr>
          <w:rFonts w:ascii="宋体" w:hAnsi="宋体" w:eastAsia="宋体" w:cs="宋体"/>
          <w:b/>
          <w:bCs/>
          <w:color w:val="auto"/>
          <w:kern w:val="2"/>
          <w:sz w:val="24"/>
          <w:szCs w:val="24"/>
          <w:lang w:eastAsia="zh-CN"/>
        </w:rPr>
      </w:pPr>
      <w:r>
        <w:rPr>
          <w:rFonts w:hint="eastAsia" w:ascii="宋体" w:hAnsi="宋体" w:eastAsia="宋体" w:cs="宋体"/>
          <w:b/>
          <w:bCs/>
          <w:color w:val="auto"/>
          <w:sz w:val="24"/>
          <w:szCs w:val="24"/>
          <w:lang w:eastAsia="zh-CN"/>
        </w:rPr>
        <w:t>五</w:t>
      </w:r>
      <w:r>
        <w:rPr>
          <w:rFonts w:hint="eastAsia" w:ascii="宋体" w:hAnsi="宋体" w:eastAsia="宋体" w:cs="宋体"/>
          <w:b/>
          <w:bCs/>
          <w:color w:val="auto"/>
          <w:sz w:val="24"/>
          <w:szCs w:val="24"/>
          <w:lang w:val="en-US" w:eastAsia="zh-CN"/>
        </w:rPr>
        <w:t>、</w:t>
      </w:r>
      <w:r>
        <w:rPr>
          <w:rFonts w:hint="eastAsia" w:ascii="宋体" w:hAnsi="宋体" w:eastAsia="宋体" w:cs="宋体"/>
          <w:b/>
          <w:bCs/>
          <w:color w:val="auto"/>
          <w:kern w:val="2"/>
          <w:sz w:val="24"/>
          <w:szCs w:val="24"/>
          <w:lang w:eastAsia="zh-CN"/>
        </w:rPr>
        <w:t>采购标的</w:t>
      </w:r>
    </w:p>
    <w:tbl>
      <w:tblPr>
        <w:tblStyle w:val="7"/>
        <w:tblpPr w:leftFromText="180" w:rightFromText="180" w:vertAnchor="text" w:horzAnchor="page" w:tblpX="1349" w:tblpY="166"/>
        <w:tblOverlap w:val="never"/>
        <w:tblW w:w="91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2"/>
        <w:gridCol w:w="3585"/>
        <w:gridCol w:w="861"/>
        <w:gridCol w:w="1055"/>
        <w:gridCol w:w="2672"/>
      </w:tblGrid>
      <w:tr w14:paraId="4865A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45" w:hRule="atLeast"/>
        </w:trPr>
        <w:tc>
          <w:tcPr>
            <w:tcW w:w="942" w:type="dxa"/>
            <w:vAlign w:val="center"/>
          </w:tcPr>
          <w:p w14:paraId="6D4BFAE5">
            <w:pPr>
              <w:spacing w:line="560" w:lineRule="exact"/>
              <w:jc w:val="center"/>
              <w:rPr>
                <w:rFonts w:ascii="宋体" w:hAnsi="宋体" w:eastAsia="宋体" w:cs="宋体"/>
                <w:b/>
                <w:color w:val="auto"/>
                <w:sz w:val="24"/>
                <w:szCs w:val="24"/>
              </w:rPr>
            </w:pPr>
            <w:r>
              <w:rPr>
                <w:rFonts w:hint="eastAsia" w:ascii="宋体" w:hAnsi="宋体" w:eastAsia="宋体" w:cs="宋体"/>
                <w:b/>
                <w:color w:val="auto"/>
                <w:sz w:val="24"/>
                <w:szCs w:val="24"/>
              </w:rPr>
              <w:t>序号</w:t>
            </w:r>
          </w:p>
        </w:tc>
        <w:tc>
          <w:tcPr>
            <w:tcW w:w="3585" w:type="dxa"/>
            <w:vAlign w:val="center"/>
          </w:tcPr>
          <w:p w14:paraId="41004614">
            <w:pPr>
              <w:spacing w:line="560" w:lineRule="exact"/>
              <w:jc w:val="center"/>
              <w:rPr>
                <w:rFonts w:ascii="宋体" w:hAnsi="宋体" w:eastAsia="宋体" w:cs="宋体"/>
                <w:b/>
                <w:color w:val="auto"/>
                <w:sz w:val="24"/>
                <w:szCs w:val="24"/>
              </w:rPr>
            </w:pPr>
            <w:r>
              <w:rPr>
                <w:rFonts w:hint="eastAsia" w:ascii="宋体" w:hAnsi="宋体" w:eastAsia="宋体" w:cs="宋体"/>
                <w:b/>
                <w:color w:val="auto"/>
                <w:sz w:val="24"/>
                <w:szCs w:val="24"/>
              </w:rPr>
              <w:t>标的名称</w:t>
            </w:r>
          </w:p>
        </w:tc>
        <w:tc>
          <w:tcPr>
            <w:tcW w:w="861" w:type="dxa"/>
            <w:vAlign w:val="center"/>
          </w:tcPr>
          <w:p w14:paraId="0F538466">
            <w:pPr>
              <w:spacing w:line="560" w:lineRule="exact"/>
              <w:jc w:val="center"/>
              <w:rPr>
                <w:rFonts w:ascii="宋体" w:hAnsi="宋体" w:eastAsia="宋体" w:cs="宋体"/>
                <w:b/>
                <w:color w:val="auto"/>
                <w:sz w:val="24"/>
                <w:szCs w:val="24"/>
                <w:lang w:eastAsia="zh-CN"/>
              </w:rPr>
            </w:pPr>
            <w:r>
              <w:rPr>
                <w:rFonts w:hint="eastAsia" w:ascii="宋体" w:hAnsi="宋体" w:eastAsia="宋体" w:cs="宋体"/>
                <w:b/>
                <w:color w:val="auto"/>
                <w:sz w:val="24"/>
                <w:szCs w:val="24"/>
                <w:lang w:eastAsia="zh-CN"/>
              </w:rPr>
              <w:t>数量</w:t>
            </w:r>
          </w:p>
        </w:tc>
        <w:tc>
          <w:tcPr>
            <w:tcW w:w="1055" w:type="dxa"/>
            <w:vAlign w:val="center"/>
          </w:tcPr>
          <w:p w14:paraId="104CAD4F">
            <w:pPr>
              <w:spacing w:line="560" w:lineRule="exact"/>
              <w:jc w:val="center"/>
              <w:rPr>
                <w:rFonts w:ascii="宋体" w:hAnsi="宋体" w:eastAsia="宋体" w:cs="宋体"/>
                <w:b/>
                <w:color w:val="auto"/>
                <w:sz w:val="24"/>
                <w:szCs w:val="24"/>
              </w:rPr>
            </w:pPr>
            <w:r>
              <w:rPr>
                <w:rFonts w:hint="eastAsia" w:ascii="宋体" w:hAnsi="宋体" w:eastAsia="宋体" w:cs="宋体"/>
                <w:b/>
                <w:color w:val="auto"/>
                <w:sz w:val="24"/>
                <w:szCs w:val="24"/>
              </w:rPr>
              <w:t>单位</w:t>
            </w:r>
          </w:p>
        </w:tc>
        <w:tc>
          <w:tcPr>
            <w:tcW w:w="2672" w:type="dxa"/>
            <w:vAlign w:val="center"/>
          </w:tcPr>
          <w:p w14:paraId="4524C46C">
            <w:pPr>
              <w:spacing w:line="560" w:lineRule="exact"/>
              <w:jc w:val="center"/>
              <w:rPr>
                <w:rFonts w:ascii="宋体" w:hAnsi="宋体" w:eastAsia="宋体" w:cs="宋体"/>
                <w:b/>
                <w:color w:val="auto"/>
                <w:sz w:val="24"/>
                <w:szCs w:val="24"/>
                <w:lang w:eastAsia="zh-CN"/>
              </w:rPr>
            </w:pPr>
            <w:r>
              <w:rPr>
                <w:rFonts w:hint="eastAsia" w:ascii="宋体" w:hAnsi="宋体" w:eastAsia="宋体" w:cs="宋体"/>
                <w:b/>
                <w:color w:val="auto"/>
                <w:sz w:val="24"/>
                <w:szCs w:val="24"/>
                <w:lang w:eastAsia="zh-CN"/>
              </w:rPr>
              <w:t>标的所属行业</w:t>
            </w:r>
          </w:p>
        </w:tc>
      </w:tr>
      <w:tr w14:paraId="77DA9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16" w:hRule="atLeast"/>
        </w:trPr>
        <w:tc>
          <w:tcPr>
            <w:tcW w:w="942" w:type="dxa"/>
            <w:vAlign w:val="center"/>
          </w:tcPr>
          <w:p w14:paraId="2DED4B6D">
            <w:pPr>
              <w:spacing w:line="560" w:lineRule="exact"/>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p>
        </w:tc>
        <w:tc>
          <w:tcPr>
            <w:tcW w:w="3585" w:type="dxa"/>
            <w:vAlign w:val="center"/>
          </w:tcPr>
          <w:p w14:paraId="616B23F3">
            <w:pPr>
              <w:widowControl w:val="0"/>
              <w:kinsoku/>
              <w:autoSpaceDE/>
              <w:autoSpaceDN/>
              <w:adjustRightInd/>
              <w:snapToGrid/>
              <w:spacing w:line="500" w:lineRule="exact"/>
              <w:jc w:val="center"/>
              <w:textAlignment w:val="auto"/>
              <w:rPr>
                <w:rFonts w:ascii="宋体" w:hAnsi="宋体" w:eastAsia="宋体" w:cs="宋体"/>
                <w:color w:val="auto"/>
                <w:sz w:val="24"/>
                <w:szCs w:val="24"/>
                <w:lang w:eastAsia="zh-CN"/>
              </w:rPr>
            </w:pPr>
            <w:r>
              <w:rPr>
                <w:rFonts w:hint="eastAsia" w:ascii="宋体" w:hAnsi="宋体" w:eastAsia="宋体" w:cs="宋体"/>
                <w:color w:val="auto"/>
                <w:spacing w:val="-11"/>
                <w:sz w:val="24"/>
                <w:szCs w:val="24"/>
                <w:lang w:eastAsia="zh-CN" w:bidi="ar"/>
              </w:rPr>
              <w:t>胚胎植入前遗传学(PGT)检测技术服务项目</w:t>
            </w:r>
          </w:p>
        </w:tc>
        <w:tc>
          <w:tcPr>
            <w:tcW w:w="861" w:type="dxa"/>
            <w:vAlign w:val="center"/>
          </w:tcPr>
          <w:p w14:paraId="0B589EA7">
            <w:pPr>
              <w:spacing w:line="560" w:lineRule="exact"/>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p>
        </w:tc>
        <w:tc>
          <w:tcPr>
            <w:tcW w:w="1055" w:type="dxa"/>
            <w:vAlign w:val="center"/>
          </w:tcPr>
          <w:p w14:paraId="0446C832">
            <w:pPr>
              <w:spacing w:line="560" w:lineRule="exact"/>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项</w:t>
            </w:r>
          </w:p>
        </w:tc>
        <w:tc>
          <w:tcPr>
            <w:tcW w:w="2672" w:type="dxa"/>
            <w:vAlign w:val="center"/>
          </w:tcPr>
          <w:p w14:paraId="37D6BACA">
            <w:pPr>
              <w:pStyle w:val="3"/>
              <w:jc w:val="center"/>
              <w:rPr>
                <w:rFonts w:ascii="宋体" w:hAnsi="宋体" w:eastAsia="宋体" w:cs="宋体"/>
                <w:color w:val="auto"/>
                <w:sz w:val="24"/>
                <w:szCs w:val="24"/>
                <w:lang w:eastAsia="zh-CN"/>
              </w:rPr>
            </w:pPr>
            <w:r>
              <w:rPr>
                <w:rFonts w:hint="eastAsia" w:ascii="宋体" w:hAnsi="宋体" w:eastAsia="宋体" w:cs="宋体"/>
                <w:b w:val="0"/>
                <w:bCs w:val="0"/>
                <w:color w:val="auto"/>
                <w:spacing w:val="-11"/>
                <w:sz w:val="24"/>
                <w:szCs w:val="24"/>
                <w:u w:val="none"/>
                <w:lang w:val="en-US" w:eastAsia="zh-CN" w:bidi="ar"/>
              </w:rPr>
              <w:t>其他未列明行业</w:t>
            </w:r>
          </w:p>
        </w:tc>
      </w:tr>
    </w:tbl>
    <w:p w14:paraId="753D0E5C">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20" w:firstLineChars="200"/>
        <w:textAlignment w:val="baseline"/>
        <w:rPr>
          <w:rFonts w:ascii="宋体" w:hAnsi="宋体" w:eastAsia="宋体" w:cs="宋体"/>
          <w:b/>
          <w:bCs/>
          <w:color w:val="auto"/>
          <w:sz w:val="24"/>
          <w:szCs w:val="24"/>
          <w:lang w:eastAsia="zh-CN"/>
        </w:rPr>
      </w:pPr>
      <w:r>
        <w:rPr>
          <w:rFonts w:hint="eastAsia" w:ascii="宋体" w:hAnsi="宋体" w:eastAsia="宋体" w:cs="宋体"/>
          <w:color w:val="auto"/>
          <w:szCs w:val="24"/>
          <w:lang w:eastAsia="zh-CN"/>
        </w:rPr>
        <w:t>★</w:t>
      </w:r>
      <w:r>
        <w:rPr>
          <w:rFonts w:hint="eastAsia" w:ascii="宋体" w:hAnsi="宋体" w:eastAsia="宋体" w:cs="宋体"/>
          <w:b/>
          <w:bCs/>
          <w:color w:val="auto"/>
          <w:sz w:val="24"/>
          <w:szCs w:val="24"/>
          <w:lang w:eastAsia="zh-CN"/>
        </w:rPr>
        <w:t>六</w:t>
      </w:r>
      <w:r>
        <w:rPr>
          <w:rFonts w:hint="eastAsia" w:ascii="宋体" w:hAnsi="宋体" w:eastAsia="宋体" w:cs="宋体"/>
          <w:b/>
          <w:bCs/>
          <w:color w:val="auto"/>
          <w:spacing w:val="-6"/>
          <w:sz w:val="24"/>
          <w:szCs w:val="24"/>
          <w:lang w:val="en-US" w:eastAsia="zh-CN"/>
        </w:rPr>
        <w:t>、</w:t>
      </w:r>
      <w:r>
        <w:rPr>
          <w:rFonts w:ascii="宋体" w:hAnsi="宋体" w:eastAsia="宋体" w:cs="宋体"/>
          <w:b/>
          <w:bCs/>
          <w:color w:val="auto"/>
          <w:spacing w:val="-6"/>
          <w:sz w:val="24"/>
          <w:szCs w:val="24"/>
          <w:lang w:eastAsia="zh-CN"/>
        </w:rPr>
        <w:t>商务条</w:t>
      </w:r>
      <w:r>
        <w:rPr>
          <w:rFonts w:hint="eastAsia" w:ascii="宋体" w:hAnsi="宋体" w:eastAsia="宋体" w:cs="宋体"/>
          <w:b/>
          <w:bCs/>
          <w:color w:val="auto"/>
          <w:spacing w:val="-6"/>
          <w:sz w:val="24"/>
          <w:szCs w:val="24"/>
          <w:lang w:eastAsia="zh-CN"/>
        </w:rPr>
        <w:t>款</w:t>
      </w:r>
    </w:p>
    <w:p w14:paraId="0A584B32">
      <w:pPr>
        <w:pStyle w:val="5"/>
        <w:spacing w:line="460" w:lineRule="exact"/>
        <w:ind w:firstLine="482" w:firstLineChars="200"/>
        <w:rPr>
          <w:rFonts w:hint="eastAsia" w:ascii="宋体" w:hAnsi="宋体" w:eastAsia="宋体" w:cs="宋体"/>
          <w:b/>
          <w:bCs/>
          <w:color w:val="000000" w:themeColor="text1"/>
          <w:sz w:val="24"/>
          <w:szCs w:val="24"/>
          <w:highlight w:val="none"/>
          <w:lang w:eastAsia="zh-CN"/>
          <w14:textFill>
            <w14:solidFill>
              <w14:schemeClr w14:val="tx1"/>
            </w14:solidFill>
          </w14:textFill>
        </w:rPr>
      </w:pPr>
      <w:r>
        <w:rPr>
          <w:rFonts w:hint="eastAsia" w:hAnsi="宋体" w:eastAsia="宋体" w:cs="宋体"/>
          <w:b/>
          <w:bCs/>
          <w:color w:val="000000" w:themeColor="text1"/>
          <w:sz w:val="24"/>
          <w:szCs w:val="24"/>
          <w:highlight w:val="none"/>
          <w:lang w:eastAsia="zh-CN"/>
          <w14:textFill>
            <w14:solidFill>
              <w14:schemeClr w14:val="tx1"/>
            </w14:solidFill>
          </w14:textFill>
        </w:rPr>
        <w:t>（</w:t>
      </w:r>
      <w:r>
        <w:rPr>
          <w:rFonts w:hint="eastAsia" w:hAnsi="宋体" w:eastAsia="宋体" w:cs="宋体"/>
          <w:b/>
          <w:bCs/>
          <w:color w:val="000000" w:themeColor="text1"/>
          <w:sz w:val="24"/>
          <w:szCs w:val="24"/>
          <w:highlight w:val="none"/>
          <w:lang w:val="en-US" w:eastAsia="zh-CN"/>
          <w14:textFill>
            <w14:solidFill>
              <w14:schemeClr w14:val="tx1"/>
            </w14:solidFill>
          </w14:textFill>
        </w:rPr>
        <w:t>一）</w:t>
      </w:r>
      <w:r>
        <w:rPr>
          <w:rFonts w:hint="eastAsia" w:ascii="宋体" w:hAnsi="宋体" w:eastAsia="宋体" w:cs="宋体"/>
          <w:b/>
          <w:bCs/>
          <w:color w:val="000000" w:themeColor="text1"/>
          <w:sz w:val="24"/>
          <w:szCs w:val="24"/>
          <w:highlight w:val="none"/>
          <w:lang w:eastAsia="zh-CN"/>
          <w14:textFill>
            <w14:solidFill>
              <w14:schemeClr w14:val="tx1"/>
            </w14:solidFill>
          </w14:textFill>
        </w:rPr>
        <w:t>付款方式：</w:t>
      </w: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按季度结算，本季度结算上季度外送检测费用，根据实际检测数量、结算单价及考核结果（结算单价=预算单价×中标折扣率</w:t>
      </w:r>
      <w:r>
        <w:rPr>
          <w:rFonts w:hint="eastAsia" w:hAnsi="宋体" w:eastAsia="宋体" w:cs="宋体"/>
          <w:b w:val="0"/>
          <w:bCs w:val="0"/>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，采购人收到中标</w:t>
      </w:r>
      <w:r>
        <w:rPr>
          <w:rFonts w:hint="eastAsia" w:hAnsi="宋体" w:eastAsia="宋体" w:cs="宋体"/>
          <w:b w:val="0"/>
          <w:bCs w:val="0"/>
          <w:color w:val="000000" w:themeColor="text1"/>
          <w:sz w:val="24"/>
          <w:szCs w:val="24"/>
          <w:highlight w:val="none"/>
          <w:lang w:eastAsia="zh-CN"/>
          <w14:textFill>
            <w14:solidFill>
              <w14:schemeClr w14:val="tx1"/>
            </w14:solidFill>
          </w14:textFill>
        </w:rPr>
        <w:t>人</w:t>
      </w: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提供的合法发票后5个工作日内支付相应费用。</w:t>
      </w:r>
    </w:p>
    <w:p w14:paraId="19B4A86A">
      <w:pPr>
        <w:keepNext w:val="0"/>
        <w:keepLines w:val="0"/>
        <w:pageBreakBefore w:val="0"/>
        <w:kinsoku/>
        <w:wordWrap/>
        <w:overflowPunct/>
        <w:topLinePunct w:val="0"/>
        <w:autoSpaceDE/>
        <w:autoSpaceDN/>
        <w:bidi w:val="0"/>
        <w:adjustRightInd/>
        <w:snapToGrid/>
        <w:spacing w:before="60" w:line="360" w:lineRule="auto"/>
        <w:ind w:firstLine="482" w:firstLineChars="200"/>
        <w:textAlignment w:val="auto"/>
        <w:rPr>
          <w:rFonts w:ascii="宋体" w:hAnsi="宋体" w:eastAsia="宋体" w:cs="宋体"/>
          <w:color w:val="FF0000"/>
          <w:spacing w:val="-5"/>
          <w:sz w:val="24"/>
          <w:szCs w:val="24"/>
          <w:lang w:eastAsia="zh-CN"/>
        </w:rPr>
      </w:pP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lang w:val="en-US" w:eastAsia="zh-CN"/>
        </w:rPr>
        <w:t>二）</w:t>
      </w:r>
      <w:r>
        <w:rPr>
          <w:rFonts w:hint="eastAsia" w:ascii="宋体" w:hAnsi="宋体" w:eastAsia="宋体" w:cs="宋体"/>
          <w:b/>
          <w:bCs/>
          <w:strike w:val="0"/>
          <w:dstrike w:val="0"/>
          <w:color w:val="auto"/>
          <w:sz w:val="24"/>
          <w:szCs w:val="24"/>
          <w:lang w:val="en-US" w:eastAsia="zh-CN"/>
        </w:rPr>
        <w:t>服务</w:t>
      </w:r>
      <w:r>
        <w:rPr>
          <w:rFonts w:hint="eastAsia" w:ascii="宋体" w:hAnsi="宋体" w:eastAsia="宋体" w:cs="宋体"/>
          <w:b/>
          <w:bCs/>
          <w:color w:val="auto"/>
          <w:sz w:val="24"/>
          <w:szCs w:val="24"/>
          <w:lang w:eastAsia="zh-CN"/>
        </w:rPr>
        <w:t>期限：</w:t>
      </w:r>
      <w:r>
        <w:rPr>
          <w:rFonts w:hint="eastAsia" w:ascii="宋体" w:hAnsi="宋体" w:eastAsia="宋体" w:cs="宋体"/>
          <w:color w:val="auto"/>
          <w:spacing w:val="-5"/>
          <w:sz w:val="24"/>
          <w:szCs w:val="24"/>
          <w:highlight w:val="none"/>
          <w:lang w:eastAsia="zh-CN"/>
        </w:rPr>
        <w:t>自合同签订之日起，在接到采购人通知后，按采购人要求提供服务，服务期3年，服务期到期或合同价款满，则合同终止。</w:t>
      </w:r>
    </w:p>
    <w:p w14:paraId="1113886F">
      <w:pPr>
        <w:keepNext w:val="0"/>
        <w:keepLines w:val="0"/>
        <w:pageBreakBefore w:val="0"/>
        <w:kinsoku/>
        <w:wordWrap/>
        <w:overflowPunct/>
        <w:topLinePunct w:val="0"/>
        <w:autoSpaceDE/>
        <w:autoSpaceDN/>
        <w:bidi w:val="0"/>
        <w:adjustRightInd/>
        <w:snapToGrid/>
        <w:spacing w:before="60" w:line="360" w:lineRule="auto"/>
        <w:ind w:firstLine="462" w:firstLineChars="200"/>
        <w:textAlignment w:val="auto"/>
        <w:rPr>
          <w:rFonts w:ascii="宋体" w:hAnsi="宋体" w:eastAsia="宋体" w:cs="宋体"/>
          <w:color w:val="auto"/>
          <w:sz w:val="24"/>
          <w:szCs w:val="24"/>
          <w:lang w:eastAsia="zh-CN"/>
        </w:rPr>
      </w:pPr>
      <w:r>
        <w:rPr>
          <w:rFonts w:hint="eastAsia" w:ascii="宋体" w:hAnsi="宋体" w:eastAsia="宋体" w:cs="宋体"/>
          <w:b/>
          <w:bCs/>
          <w:color w:val="auto"/>
          <w:spacing w:val="-5"/>
          <w:sz w:val="24"/>
          <w:szCs w:val="24"/>
          <w:lang w:eastAsia="zh-CN"/>
        </w:rPr>
        <w:t>（</w:t>
      </w:r>
      <w:r>
        <w:rPr>
          <w:rFonts w:hint="eastAsia" w:ascii="宋体" w:hAnsi="宋体" w:eastAsia="宋体" w:cs="宋体"/>
          <w:b/>
          <w:bCs/>
          <w:color w:val="auto"/>
          <w:spacing w:val="-5"/>
          <w:sz w:val="24"/>
          <w:szCs w:val="24"/>
          <w:lang w:val="en-US" w:eastAsia="zh-CN"/>
        </w:rPr>
        <w:t>三）</w:t>
      </w:r>
      <w:r>
        <w:rPr>
          <w:rFonts w:hint="eastAsia" w:ascii="宋体" w:hAnsi="宋体" w:eastAsia="宋体" w:cs="宋体"/>
          <w:b/>
          <w:bCs/>
          <w:color w:val="auto"/>
          <w:sz w:val="24"/>
          <w:szCs w:val="24"/>
          <w:lang w:eastAsia="zh-CN"/>
        </w:rPr>
        <w:t>服务地点：</w:t>
      </w:r>
      <w:r>
        <w:rPr>
          <w:rFonts w:hint="eastAsia" w:ascii="宋体" w:hAnsi="宋体" w:eastAsia="宋体" w:cs="宋体"/>
          <w:color w:val="auto"/>
          <w:sz w:val="24"/>
          <w:szCs w:val="24"/>
          <w:lang w:eastAsia="zh-CN"/>
        </w:rPr>
        <w:t>采购人指定地点。</w:t>
      </w:r>
    </w:p>
    <w:p w14:paraId="05900CF9">
      <w:pPr>
        <w:keepNext w:val="0"/>
        <w:keepLines w:val="0"/>
        <w:pageBreakBefore w:val="0"/>
        <w:widowControl w:val="0"/>
        <w:wordWrap/>
        <w:overflowPunct/>
        <w:topLinePunct w:val="0"/>
        <w:bidi w:val="0"/>
        <w:spacing w:before="60" w:line="360" w:lineRule="auto"/>
        <w:ind w:firstLine="482" w:firstLineChars="200"/>
        <w:jc w:val="both"/>
        <w:rPr>
          <w:rFonts w:hint="default" w:ascii="宋体" w:hAnsi="宋体" w:eastAsia="宋体" w:cs="宋体"/>
          <w:bCs/>
          <w:color w:val="FF0000"/>
          <w:sz w:val="24"/>
          <w:szCs w:val="24"/>
          <w:highlight w:val="none"/>
          <w:lang w:val="en-US" w:eastAsia="zh-CN"/>
        </w:rPr>
      </w:pP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lang w:val="en-US" w:eastAsia="zh-CN"/>
        </w:rPr>
        <w:t>四）</w:t>
      </w:r>
      <w:r>
        <w:rPr>
          <w:rFonts w:hint="eastAsia" w:ascii="宋体" w:hAnsi="宋体" w:eastAsia="宋体" w:cs="宋体"/>
          <w:b/>
          <w:bCs/>
          <w:color w:val="auto"/>
          <w:sz w:val="24"/>
          <w:szCs w:val="24"/>
          <w:lang w:eastAsia="zh-CN"/>
        </w:rPr>
        <w:t>履约保证金：</w:t>
      </w:r>
      <w:r>
        <w:rPr>
          <w:rFonts w:hint="eastAsia" w:ascii="宋体" w:hAnsi="宋体" w:eastAsia="宋体" w:cs="宋体"/>
          <w:bCs/>
          <w:color w:val="auto"/>
          <w:sz w:val="24"/>
          <w:szCs w:val="24"/>
          <w:lang w:eastAsia="zh-CN"/>
        </w:rPr>
        <w:t>中标人须按</w:t>
      </w:r>
      <w:r>
        <w:rPr>
          <w:rFonts w:hint="eastAsia" w:ascii="宋体" w:hAnsi="宋体" w:eastAsia="宋体" w:cs="宋体"/>
          <w:bCs/>
          <w:color w:val="auto"/>
          <w:sz w:val="24"/>
          <w:szCs w:val="24"/>
          <w:lang w:val="en-US" w:eastAsia="zh-CN"/>
        </w:rPr>
        <w:t>合同</w:t>
      </w:r>
      <w:r>
        <w:rPr>
          <w:rFonts w:hint="eastAsia" w:ascii="宋体" w:hAnsi="宋体" w:eastAsia="宋体" w:cs="宋体"/>
          <w:bCs/>
          <w:color w:val="auto"/>
          <w:sz w:val="24"/>
          <w:szCs w:val="24"/>
          <w:lang w:eastAsia="zh-CN"/>
        </w:rPr>
        <w:t>金额的</w:t>
      </w:r>
      <w:r>
        <w:rPr>
          <w:rFonts w:hint="eastAsia" w:ascii="宋体" w:hAnsi="宋体" w:eastAsia="宋体" w:cs="宋体"/>
          <w:bCs/>
          <w:color w:val="auto"/>
          <w:sz w:val="24"/>
          <w:szCs w:val="24"/>
          <w:lang w:val="en-US" w:eastAsia="zh-CN"/>
        </w:rPr>
        <w:t>10</w:t>
      </w:r>
      <w:r>
        <w:rPr>
          <w:rFonts w:hint="eastAsia" w:ascii="宋体" w:hAnsi="宋体" w:eastAsia="宋体" w:cs="宋体"/>
          <w:bCs/>
          <w:color w:val="auto"/>
          <w:sz w:val="24"/>
          <w:szCs w:val="24"/>
          <w:lang w:eastAsia="zh-CN"/>
        </w:rPr>
        <w:t>%缴纳履约保证金[履约保证金以银行转账（电汇）、支票、汇票、本票或者金融机构、担保机构出具的保函等非现金形式提交]，履</w:t>
      </w:r>
      <w:r>
        <w:rPr>
          <w:rFonts w:hint="eastAsia" w:ascii="宋体" w:hAnsi="宋体" w:eastAsia="宋体" w:cs="宋体"/>
          <w:bCs/>
          <w:color w:val="auto"/>
          <w:sz w:val="24"/>
          <w:szCs w:val="24"/>
          <w:highlight w:val="none"/>
          <w:lang w:eastAsia="zh-CN"/>
        </w:rPr>
        <w:t>约保证金由采购人收取，</w:t>
      </w:r>
      <w:r>
        <w:rPr>
          <w:rFonts w:hint="default" w:ascii="宋体" w:hAnsi="宋体" w:eastAsia="宋体" w:cs="宋体"/>
          <w:bCs/>
          <w:color w:val="auto"/>
          <w:sz w:val="24"/>
          <w:szCs w:val="24"/>
          <w:highlight w:val="none"/>
          <w:lang w:eastAsia="zh-CN"/>
        </w:rPr>
        <w:t>在服务完成、验收合格后一次性无息退还。</w:t>
      </w:r>
      <w:r>
        <w:rPr>
          <w:rFonts w:hint="eastAsia" w:ascii="宋体" w:hAnsi="宋体" w:eastAsia="宋体" w:cs="宋体"/>
          <w:bCs/>
          <w:color w:val="auto"/>
          <w:sz w:val="24"/>
          <w:szCs w:val="24"/>
          <w:highlight w:val="none"/>
          <w:lang w:val="en-US" w:eastAsia="zh-CN"/>
        </w:rPr>
        <w:t xml:space="preserve"> </w:t>
      </w:r>
    </w:p>
    <w:p w14:paraId="364EDEA3">
      <w:pPr>
        <w:keepNext w:val="0"/>
        <w:keepLines w:val="0"/>
        <w:pageBreakBefore w:val="0"/>
        <w:widowControl w:val="0"/>
        <w:kinsoku/>
        <w:wordWrap/>
        <w:overflowPunct/>
        <w:topLinePunct w:val="0"/>
        <w:autoSpaceDE/>
        <w:autoSpaceDN/>
        <w:bidi w:val="0"/>
        <w:adjustRightInd/>
        <w:snapToGrid/>
        <w:spacing w:before="60" w:line="360" w:lineRule="auto"/>
        <w:ind w:firstLine="482" w:firstLineChars="200"/>
        <w:textAlignment w:val="auto"/>
        <w:rPr>
          <w:rFonts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五）</w:t>
      </w:r>
      <w:r>
        <w:rPr>
          <w:rFonts w:hint="eastAsia" w:ascii="宋体" w:hAnsi="宋体" w:eastAsia="宋体" w:cs="宋体"/>
          <w:b/>
          <w:bCs/>
          <w:color w:val="auto"/>
          <w:sz w:val="24"/>
          <w:szCs w:val="24"/>
          <w:highlight w:val="none"/>
          <w:lang w:eastAsia="zh-CN"/>
        </w:rPr>
        <w:t>履约验收：</w:t>
      </w:r>
    </w:p>
    <w:p w14:paraId="3967E32B">
      <w:pPr>
        <w:keepNext w:val="0"/>
        <w:keepLines w:val="0"/>
        <w:pageBreakBefore w:val="0"/>
        <w:widowControl w:val="0"/>
        <w:kinsoku/>
        <w:wordWrap/>
        <w:overflowPunct/>
        <w:topLinePunct w:val="0"/>
        <w:autoSpaceDE/>
        <w:autoSpaceDN/>
        <w:bidi w:val="0"/>
        <w:adjustRightInd/>
        <w:snapToGrid/>
        <w:spacing w:before="60" w:line="360" w:lineRule="auto"/>
        <w:ind w:firstLine="480" w:firstLineChars="200"/>
        <w:textAlignment w:val="auto"/>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①符合中华人民共和国国家标准或相关行业标准。</w:t>
      </w:r>
    </w:p>
    <w:p w14:paraId="7F4822B7">
      <w:pPr>
        <w:keepNext w:val="0"/>
        <w:keepLines w:val="0"/>
        <w:pageBreakBefore w:val="0"/>
        <w:widowControl w:val="0"/>
        <w:kinsoku/>
        <w:wordWrap/>
        <w:overflowPunct/>
        <w:topLinePunct w:val="0"/>
        <w:autoSpaceDE/>
        <w:autoSpaceDN/>
        <w:bidi w:val="0"/>
        <w:adjustRightInd/>
        <w:snapToGrid/>
        <w:spacing w:before="60" w:line="360" w:lineRule="auto"/>
        <w:ind w:firstLine="480" w:firstLineChars="200"/>
        <w:textAlignment w:val="auto"/>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②符合招标文件和投标承诺中采购人认可的合理最佳配置、参数及各项要求。</w:t>
      </w:r>
    </w:p>
    <w:p w14:paraId="3DB566F9">
      <w:pPr>
        <w:keepNext w:val="0"/>
        <w:keepLines w:val="0"/>
        <w:pageBreakBefore w:val="0"/>
        <w:widowControl w:val="0"/>
        <w:kinsoku/>
        <w:wordWrap/>
        <w:overflowPunct/>
        <w:topLinePunct w:val="0"/>
        <w:autoSpaceDE/>
        <w:autoSpaceDN/>
        <w:bidi w:val="0"/>
        <w:adjustRightInd/>
        <w:snapToGrid/>
        <w:spacing w:before="60" w:line="360" w:lineRule="auto"/>
        <w:ind w:firstLine="480" w:firstLineChars="200"/>
        <w:textAlignment w:val="auto"/>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上述标准必须是有关官方机构发布的最新版本的标准。</w:t>
      </w:r>
    </w:p>
    <w:p w14:paraId="4CEAA6F3">
      <w:pPr>
        <w:keepNext w:val="0"/>
        <w:keepLines w:val="0"/>
        <w:pageBreakBefore w:val="0"/>
        <w:widowControl w:val="0"/>
        <w:kinsoku/>
        <w:wordWrap/>
        <w:overflowPunct/>
        <w:topLinePunct w:val="0"/>
        <w:autoSpaceDE/>
        <w:autoSpaceDN/>
        <w:bidi w:val="0"/>
        <w:adjustRightInd/>
        <w:snapToGrid/>
        <w:spacing w:before="60" w:line="360" w:lineRule="auto"/>
        <w:ind w:firstLine="480" w:firstLineChars="200"/>
        <w:textAlignment w:val="auto"/>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1、在验收过程中发现样本失效或质量、技术等问题，中标人应负责按照采购人的要求采取重新检测等措施妥善处理，并承担由此发生的一切费用和损失。</w:t>
      </w:r>
    </w:p>
    <w:p w14:paraId="639C4B2D">
      <w:pPr>
        <w:keepNext w:val="0"/>
        <w:keepLines w:val="0"/>
        <w:pageBreakBefore w:val="0"/>
        <w:widowControl w:val="0"/>
        <w:kinsoku/>
        <w:wordWrap/>
        <w:overflowPunct/>
        <w:topLinePunct w:val="0"/>
        <w:autoSpaceDE/>
        <w:autoSpaceDN/>
        <w:bidi w:val="0"/>
        <w:adjustRightInd/>
        <w:snapToGrid/>
        <w:spacing w:before="60" w:line="360" w:lineRule="auto"/>
        <w:ind w:firstLine="480" w:firstLineChars="200"/>
        <w:textAlignment w:val="auto"/>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2、中标人每次提供服务后，应配合采购人及时现场验收并签字确认。</w:t>
      </w:r>
    </w:p>
    <w:p w14:paraId="3811DD58">
      <w:pPr>
        <w:keepNext w:val="0"/>
        <w:keepLines w:val="0"/>
        <w:pageBreakBefore w:val="0"/>
        <w:widowControl w:val="0"/>
        <w:kinsoku/>
        <w:wordWrap/>
        <w:overflowPunct/>
        <w:topLinePunct w:val="0"/>
        <w:autoSpaceDE/>
        <w:autoSpaceDN/>
        <w:bidi w:val="0"/>
        <w:adjustRightInd/>
        <w:snapToGrid/>
        <w:spacing w:before="60" w:line="360" w:lineRule="auto"/>
        <w:ind w:firstLine="482" w:firstLineChars="200"/>
        <w:textAlignment w:val="auto"/>
        <w:rPr>
          <w:rFonts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六）</w:t>
      </w:r>
      <w:r>
        <w:rPr>
          <w:rFonts w:hint="eastAsia" w:ascii="宋体" w:hAnsi="宋体" w:eastAsia="宋体" w:cs="宋体"/>
          <w:b/>
          <w:bCs/>
          <w:color w:val="auto"/>
          <w:sz w:val="24"/>
          <w:szCs w:val="24"/>
          <w:highlight w:val="none"/>
          <w:lang w:eastAsia="zh-CN"/>
        </w:rPr>
        <w:t>其他要求：</w:t>
      </w:r>
    </w:p>
    <w:p w14:paraId="35FB8596">
      <w:pPr>
        <w:keepNext w:val="0"/>
        <w:keepLines w:val="0"/>
        <w:pageBreakBefore w:val="0"/>
        <w:widowControl w:val="0"/>
        <w:kinsoku/>
        <w:wordWrap/>
        <w:overflowPunct/>
        <w:topLinePunct w:val="0"/>
        <w:autoSpaceDE/>
        <w:autoSpaceDN/>
        <w:bidi w:val="0"/>
        <w:adjustRightInd/>
        <w:snapToGrid/>
        <w:spacing w:before="60" w:line="360" w:lineRule="auto"/>
        <w:ind w:firstLine="480" w:firstLineChars="200"/>
        <w:textAlignment w:val="auto"/>
        <w:rPr>
          <w:highlight w:val="none"/>
          <w:lang w:eastAsia="zh-CN"/>
        </w:rPr>
      </w:pPr>
      <w:r>
        <w:rPr>
          <w:rFonts w:hint="eastAsia" w:ascii="宋体" w:hAnsi="宋体" w:eastAsia="宋体" w:cs="宋体"/>
          <w:color w:val="auto"/>
          <w:sz w:val="24"/>
          <w:szCs w:val="24"/>
          <w:highlight w:val="none"/>
          <w:lang w:eastAsia="zh-CN"/>
        </w:rPr>
        <w:t>1、采购人将不定期组织专家至中标人现场检查、督导并查看试剂、设备等采购相关台账，如发现中标人存在提供虚假信息或未经院方同意私自更改使用试剂的品牌和检验项目的方法学等现象，采购人有权立即终止合同，中标人需按已做项目的收费金额赔偿采购人，并承担所有相关违约责任。</w:t>
      </w:r>
    </w:p>
    <w:p w14:paraId="75605A44">
      <w:pPr>
        <w:keepNext w:val="0"/>
        <w:keepLines w:val="0"/>
        <w:pageBreakBefore w:val="0"/>
        <w:widowControl w:val="0"/>
        <w:kinsoku/>
        <w:wordWrap/>
        <w:overflowPunct/>
        <w:topLinePunct w:val="0"/>
        <w:autoSpaceDE/>
        <w:autoSpaceDN/>
        <w:bidi w:val="0"/>
        <w:adjustRightInd/>
        <w:snapToGrid/>
        <w:spacing w:before="60" w:line="360" w:lineRule="auto"/>
        <w:ind w:firstLine="480" w:firstLineChars="200"/>
        <w:textAlignment w:val="auto"/>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2、服务质量承诺：中标人有良好的服务意识，每月接受服务质量考核且达标。考核表（详见采购合同附件）。</w:t>
      </w:r>
    </w:p>
    <w:p w14:paraId="79BF5E01">
      <w:pPr>
        <w:pStyle w:val="5"/>
        <w:keepNext w:val="0"/>
        <w:keepLines w:val="0"/>
        <w:pageBreakBefore w:val="0"/>
        <w:wordWrap/>
        <w:overflowPunct/>
        <w:topLinePunct w:val="0"/>
        <w:bidi w:val="0"/>
        <w:spacing w:before="60" w:line="360" w:lineRule="auto"/>
        <w:ind w:firstLine="480" w:firstLineChars="200"/>
        <w:rPr>
          <w:rFonts w:hint="eastAsia" w:hAnsi="宋体" w:eastAsia="宋体" w:cs="宋体"/>
          <w:bCs/>
          <w:color w:val="000000"/>
          <w:sz w:val="24"/>
          <w:szCs w:val="24"/>
          <w:lang w:val="en-US" w:eastAsia="zh-CN"/>
        </w:rPr>
      </w:pPr>
      <w:r>
        <w:rPr>
          <w:rFonts w:hint="eastAsia" w:hAnsi="宋体" w:eastAsia="宋体" w:cs="宋体"/>
          <w:bCs/>
          <w:color w:val="000000"/>
          <w:sz w:val="24"/>
          <w:szCs w:val="24"/>
          <w:lang w:val="en-US" w:eastAsia="zh-CN"/>
        </w:rPr>
        <w:t>3、中标人有为采购人保密的义务，在未经采购人同意或授权前提下，中标人不得向采购人检验科室、医务部、临床科室工作人员以外的任何单位或个人泄露采购人委托检验的项目、检验的内容、检验的结果等任何信息；中标人亦不得向任何第三方泄露、公开或提供知悉、了解或接触到的一切与采购人或病患有关的资料或信息(包括但不限于：标本信息、病患信息、采购人信息、检验内容、检验报告及本项目采购合同与附件等)。中标人的保密义务并不随本协议出现变更、解除、终止等情况而失效。</w:t>
      </w:r>
    </w:p>
    <w:p w14:paraId="0E1D2303">
      <w:pPr>
        <w:pStyle w:val="5"/>
        <w:keepNext w:val="0"/>
        <w:keepLines w:val="0"/>
        <w:pageBreakBefore w:val="0"/>
        <w:wordWrap/>
        <w:overflowPunct/>
        <w:topLinePunct w:val="0"/>
        <w:bidi w:val="0"/>
        <w:spacing w:before="60" w:line="360" w:lineRule="auto"/>
        <w:ind w:firstLine="480" w:firstLineChars="200"/>
        <w:rPr>
          <w:rFonts w:hint="eastAsia" w:ascii="宋体" w:hAnsi="宋体" w:eastAsia="宋体" w:cs="宋体"/>
          <w:bCs/>
          <w:color w:val="auto"/>
          <w:sz w:val="24"/>
          <w:szCs w:val="24"/>
          <w:lang w:eastAsia="zh-CN"/>
        </w:rPr>
      </w:pPr>
      <w:r>
        <w:rPr>
          <w:rFonts w:hint="eastAsia" w:hAnsi="宋体" w:eastAsia="宋体" w:cs="宋体"/>
          <w:bCs/>
          <w:color w:val="000000"/>
          <w:sz w:val="24"/>
          <w:szCs w:val="24"/>
          <w:lang w:val="en-US" w:eastAsia="zh-CN"/>
        </w:rPr>
        <w:t>（七）</w:t>
      </w:r>
      <w:r>
        <w:rPr>
          <w:rFonts w:hint="eastAsia" w:ascii="宋体" w:hAnsi="宋体" w:eastAsia="宋体" w:cs="宋体"/>
          <w:bCs/>
          <w:color w:val="000000"/>
          <w:sz w:val="24"/>
          <w:szCs w:val="24"/>
          <w:lang w:eastAsia="zh-CN"/>
        </w:rPr>
        <w:t>报价方式</w:t>
      </w:r>
    </w:p>
    <w:p w14:paraId="20ED6501">
      <w:pPr>
        <w:pStyle w:val="5"/>
        <w:keepNext w:val="0"/>
        <w:keepLines w:val="0"/>
        <w:pageBreakBefore w:val="0"/>
        <w:wordWrap/>
        <w:overflowPunct/>
        <w:topLinePunct w:val="0"/>
        <w:bidi w:val="0"/>
        <w:spacing w:before="60" w:line="360" w:lineRule="auto"/>
        <w:ind w:firstLine="480" w:firstLineChars="200"/>
        <w:rPr>
          <w:rFonts w:hint="eastAsia" w:ascii="宋体" w:hAnsi="宋体" w:eastAsia="宋体" w:cs="宋体"/>
          <w:b w:val="0"/>
          <w:bCs/>
          <w:color w:val="auto"/>
          <w:kern w:val="0"/>
          <w:sz w:val="24"/>
          <w:szCs w:val="24"/>
          <w:lang w:val="en-US" w:eastAsia="zh-CN"/>
        </w:rPr>
      </w:pPr>
      <w:r>
        <w:rPr>
          <w:rFonts w:hint="eastAsia" w:ascii="宋体" w:hAnsi="宋体" w:eastAsia="宋体" w:cs="宋体"/>
          <w:b w:val="0"/>
          <w:bCs/>
          <w:color w:val="auto"/>
          <w:kern w:val="0"/>
          <w:sz w:val="24"/>
          <w:szCs w:val="24"/>
          <w:lang w:val="en-US" w:eastAsia="zh-CN"/>
        </w:rPr>
        <w:t>本项目固定总价285.3万元，报价以单价折扣率（%）报价，各投标人须结合采购人所提供的预算单价报出投标折扣率，投标报价一律填写统一折扣率（如打八折，折扣率为 80%），报价中包含人工费、运杂、装卸、包装、保险、税费、售后服务等以及国家规定的各项费用等一切费用。</w:t>
      </w:r>
    </w:p>
    <w:p w14:paraId="23531540">
      <w:pPr>
        <w:pStyle w:val="5"/>
        <w:keepNext w:val="0"/>
        <w:keepLines w:val="0"/>
        <w:pageBreakBefore w:val="0"/>
        <w:wordWrap/>
        <w:overflowPunct/>
        <w:topLinePunct w:val="0"/>
        <w:bidi w:val="0"/>
        <w:spacing w:before="60" w:line="360" w:lineRule="auto"/>
        <w:ind w:firstLine="480" w:firstLineChars="200"/>
        <w:rPr>
          <w:lang w:eastAsia="zh-CN"/>
        </w:rPr>
      </w:pPr>
      <w:r>
        <w:rPr>
          <w:rFonts w:hint="eastAsia" w:hAnsi="宋体" w:eastAsia="宋体" w:cs="宋体"/>
          <w:color w:val="auto"/>
          <w:sz w:val="24"/>
          <w:szCs w:val="24"/>
          <w:lang w:eastAsia="zh-CN"/>
        </w:rPr>
        <w:t>（八）</w:t>
      </w:r>
      <w:r>
        <w:rPr>
          <w:rFonts w:hint="eastAsia" w:hAnsi="宋体" w:eastAsia="宋体" w:cs="宋体"/>
          <w:color w:val="auto"/>
          <w:spacing w:val="-2"/>
          <w:sz w:val="24"/>
          <w:szCs w:val="24"/>
          <w:lang w:eastAsia="zh-CN"/>
        </w:rPr>
        <w:t>未尽事宜以签订的采购合同为准。</w:t>
      </w:r>
    </w:p>
    <w:p w14:paraId="3B1D9C50">
      <w:pPr>
        <w:widowControl w:val="0"/>
        <w:spacing w:line="249" w:lineRule="auto"/>
        <w:rPr>
          <w:rFonts w:hint="default"/>
          <w:color w:val="auto"/>
          <w:lang w:val="en-US" w:eastAsia="zh-CN"/>
        </w:rPr>
      </w:pPr>
    </w:p>
    <w:p w14:paraId="60777A52">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8E85D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Body Text Indent 2"/>
    <w:basedOn w:val="1"/>
    <w:qFormat/>
    <w:uiPriority w:val="0"/>
    <w:pPr>
      <w:spacing w:before="120" w:after="120" w:line="480" w:lineRule="auto"/>
      <w:ind w:left="420" w:leftChars="200" w:firstLine="200" w:firstLineChars="200"/>
    </w:pPr>
    <w:rPr>
      <w:rFonts w:hint="default" w:ascii="Calibri" w:hAnsi="Calibri"/>
      <w:szCs w:val="22"/>
    </w:rPr>
  </w:style>
  <w:style w:type="paragraph" w:styleId="3">
    <w:name w:val="annotation text"/>
    <w:basedOn w:val="1"/>
    <w:qFormat/>
    <w:uiPriority w:val="0"/>
    <w:pPr>
      <w:jc w:val="left"/>
    </w:pPr>
  </w:style>
  <w:style w:type="paragraph" w:styleId="4">
    <w:name w:val="Body Text"/>
    <w:basedOn w:val="1"/>
    <w:next w:val="1"/>
    <w:semiHidden/>
    <w:qFormat/>
    <w:uiPriority w:val="0"/>
    <w:rPr>
      <w:rFonts w:ascii="仿宋" w:hAnsi="仿宋" w:eastAsia="仿宋" w:cs="仿宋"/>
      <w:sz w:val="30"/>
      <w:szCs w:val="30"/>
    </w:rPr>
  </w:style>
  <w:style w:type="paragraph" w:styleId="5">
    <w:name w:val="Plain Text"/>
    <w:basedOn w:val="1"/>
    <w:qFormat/>
    <w:uiPriority w:val="0"/>
    <w:rPr>
      <w:rFonts w:ascii="宋体" w:hAnsi="Courier New"/>
      <w:sz w:val="20"/>
    </w:rPr>
  </w:style>
  <w:style w:type="paragraph" w:styleId="6">
    <w:name w:val="footer"/>
    <w:basedOn w:val="1"/>
    <w:qFormat/>
    <w:uiPriority w:val="0"/>
    <w:pPr>
      <w:tabs>
        <w:tab w:val="center" w:pos="4153"/>
        <w:tab w:val="right" w:pos="8306"/>
      </w:tabs>
    </w:pPr>
    <w:rPr>
      <w:sz w:val="18"/>
    </w:rPr>
  </w:style>
  <w:style w:type="paragraph" w:customStyle="1" w:styleId="9">
    <w:name w:val="Normal Indent1"/>
    <w:basedOn w:val="1"/>
    <w:qFormat/>
    <w:uiPriority w:val="0"/>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2026-05-12T07:47:20Z</dcterms:created>
  <dc:creator>Administrator</dc:creator>
  <cp:lastModifiedBy>Administrator</cp:lastModifiedBy>
  <dcterms:modified xsi:type="dcterms:W3CDTF">2026-05-12T07:48:26Z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eyJoZGlkIjoiNzZlOGZjZTM2NjE5ZGZjODk1ZGZiNjY4NWExMTRiM2EiLCJ1c2VySWQiOiI3MjQ2NDk3MTQifQ==</vt:lpwstr>
  </property>
  <property fmtid="{D5CDD505-2E9C-101B-9397-08002B2CF9AE}" pid="4" name="ICV">
    <vt:lpwstr>5256DC749BE64C8DACCC2D3568E23FFE_12</vt:lpwstr>
  </property>
</Properties>
</file>