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4A3B8C">
      <w:pPr>
        <w:pStyle w:val="3"/>
        <w:spacing w:before="0" w:after="0" w:line="360" w:lineRule="auto"/>
        <w:jc w:val="center"/>
        <w:rPr>
          <w:color w:val="auto"/>
          <w:highlight w:val="none"/>
        </w:rPr>
      </w:pPr>
      <w:r>
        <w:rPr>
          <w:rFonts w:hint="eastAsia" w:ascii="宋体" w:hAnsi="宋体" w:eastAsia="宋体" w:cs="宋体"/>
          <w:color w:val="auto"/>
          <w:sz w:val="28"/>
          <w:szCs w:val="28"/>
          <w:highlight w:val="none"/>
        </w:rPr>
        <w:t>采购要求</w:t>
      </w:r>
    </w:p>
    <w:p w14:paraId="5E95147B">
      <w:pPr>
        <w:numPr>
          <w:ilvl w:val="0"/>
          <w:numId w:val="1"/>
        </w:num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技术规格</w:t>
      </w:r>
    </w:p>
    <w:tbl>
      <w:tblPr>
        <w:tblStyle w:val="5"/>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6"/>
        <w:gridCol w:w="1560"/>
        <w:gridCol w:w="5772"/>
        <w:gridCol w:w="890"/>
      </w:tblGrid>
      <w:tr w14:paraId="29328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245465D9">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序号</w:t>
            </w:r>
          </w:p>
        </w:tc>
        <w:tc>
          <w:tcPr>
            <w:tcW w:w="1560" w:type="dxa"/>
            <w:vAlign w:val="center"/>
          </w:tcPr>
          <w:p w14:paraId="56FCB8FB">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项目明细</w:t>
            </w:r>
          </w:p>
        </w:tc>
        <w:tc>
          <w:tcPr>
            <w:tcW w:w="5772" w:type="dxa"/>
            <w:vAlign w:val="center"/>
          </w:tcPr>
          <w:p w14:paraId="5EB8CA83">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主要技术参数</w:t>
            </w:r>
          </w:p>
        </w:tc>
        <w:tc>
          <w:tcPr>
            <w:tcW w:w="890" w:type="dxa"/>
            <w:vAlign w:val="center"/>
          </w:tcPr>
          <w:p w14:paraId="33A67844">
            <w:pPr>
              <w:spacing w:line="360" w:lineRule="auto"/>
              <w:jc w:val="center"/>
              <w:rPr>
                <w:rFonts w:hint="eastAsia" w:asciiTheme="minorEastAsia" w:hAnsiTheme="minorEastAsia" w:eastAsiaTheme="minorEastAsia" w:cstheme="minorEastAsia"/>
                <w:b/>
                <w:color w:val="auto"/>
                <w:sz w:val="24"/>
                <w:szCs w:val="24"/>
                <w:highlight w:val="none"/>
              </w:rPr>
            </w:pPr>
            <w:r>
              <w:rPr>
                <w:rFonts w:hint="eastAsia" w:asciiTheme="minorEastAsia" w:hAnsiTheme="minorEastAsia" w:eastAsiaTheme="minorEastAsia" w:cstheme="minorEastAsia"/>
                <w:b/>
                <w:color w:val="auto"/>
                <w:sz w:val="24"/>
                <w:szCs w:val="24"/>
                <w:highlight w:val="none"/>
              </w:rPr>
              <w:t>数量</w:t>
            </w:r>
          </w:p>
        </w:tc>
      </w:tr>
      <w:tr w14:paraId="74AF8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846" w:type="dxa"/>
            <w:vAlign w:val="center"/>
          </w:tcPr>
          <w:p w14:paraId="6FBCC219">
            <w:pPr>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1</w:t>
            </w:r>
          </w:p>
        </w:tc>
        <w:tc>
          <w:tcPr>
            <w:tcW w:w="1560" w:type="dxa"/>
            <w:shd w:val="clear" w:color="auto" w:fill="auto"/>
            <w:vAlign w:val="center"/>
          </w:tcPr>
          <w:p w14:paraId="5E4D1899">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圆扇形活动桌</w:t>
            </w:r>
          </w:p>
        </w:tc>
        <w:tc>
          <w:tcPr>
            <w:tcW w:w="5772" w:type="dxa"/>
          </w:tcPr>
          <w:p w14:paraId="0E716AB1">
            <w:pPr>
              <w:widowControl/>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bidi="ar"/>
              </w:rPr>
              <w:t>1.规格：</w:t>
            </w:r>
            <w:r>
              <w:rPr>
                <w:rFonts w:hint="eastAsia" w:asciiTheme="minorEastAsia" w:hAnsiTheme="minorEastAsia" w:eastAsiaTheme="minorEastAsia" w:cstheme="minorEastAsia"/>
                <w:color w:val="auto"/>
                <w:kern w:val="0"/>
                <w:sz w:val="24"/>
                <w:szCs w:val="24"/>
                <w:highlight w:val="none"/>
                <w:lang w:bidi="ar"/>
              </w:rPr>
              <w:t>桌子直径</w:t>
            </w:r>
            <w:r>
              <w:rPr>
                <w:rFonts w:hint="eastAsia" w:asciiTheme="minorEastAsia" w:hAnsiTheme="minorEastAsia" w:eastAsiaTheme="minorEastAsia" w:cstheme="minorEastAsia"/>
                <w:color w:val="auto"/>
                <w:kern w:val="0"/>
                <w:sz w:val="24"/>
                <w:szCs w:val="24"/>
                <w:highlight w:val="none"/>
                <w:lang w:val="en-US" w:eastAsia="zh-CN" w:bidi="ar"/>
              </w:rPr>
              <w:t>大于等于</w:t>
            </w:r>
            <w:r>
              <w:rPr>
                <w:rFonts w:hint="eastAsia" w:asciiTheme="minorEastAsia" w:hAnsiTheme="minorEastAsia" w:eastAsiaTheme="minorEastAsia" w:cstheme="minorEastAsia"/>
                <w:color w:val="auto"/>
                <w:kern w:val="0"/>
                <w:sz w:val="24"/>
                <w:szCs w:val="24"/>
                <w:highlight w:val="none"/>
                <w:lang w:bidi="ar"/>
              </w:rPr>
              <w:t>1600m</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val="en-US" w:eastAsia="zh-CN" w:bidi="ar"/>
              </w:rPr>
              <w:t>6张桌子拼成一张圆桌</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val="en-US" w:eastAsia="zh-CN" w:bidi="ar"/>
              </w:rPr>
              <w:t>桌面厚度</w:t>
            </w:r>
            <w:r>
              <w:rPr>
                <w:rFonts w:hint="eastAsia" w:asciiTheme="minorEastAsia" w:hAnsiTheme="minorEastAsia" w:eastAsiaTheme="minorEastAsia" w:cstheme="minorEastAsia"/>
                <w:color w:val="auto"/>
                <w:kern w:val="0"/>
                <w:sz w:val="24"/>
                <w:szCs w:val="24"/>
                <w:highlight w:val="none"/>
                <w:lang w:bidi="ar"/>
              </w:rPr>
              <w:t>≥25mm</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val="en-US" w:eastAsia="zh-CN" w:bidi="ar"/>
              </w:rPr>
              <w:t>前挡板厚度</w:t>
            </w:r>
            <w:r>
              <w:rPr>
                <w:rFonts w:hint="eastAsia" w:asciiTheme="minorEastAsia" w:hAnsiTheme="minorEastAsia" w:eastAsiaTheme="minorEastAsia" w:cstheme="minorEastAsia"/>
                <w:color w:val="auto"/>
                <w:kern w:val="0"/>
                <w:sz w:val="24"/>
                <w:szCs w:val="24"/>
                <w:highlight w:val="none"/>
                <w:lang w:bidi="ar"/>
              </w:rPr>
              <w:t>≥</w:t>
            </w:r>
            <w:r>
              <w:rPr>
                <w:rFonts w:hint="eastAsia" w:asciiTheme="minorEastAsia" w:hAnsiTheme="minorEastAsia" w:eastAsiaTheme="minorEastAsia" w:cstheme="minorEastAsia"/>
                <w:color w:val="auto"/>
                <w:kern w:val="0"/>
                <w:sz w:val="24"/>
                <w:szCs w:val="24"/>
                <w:highlight w:val="none"/>
                <w:lang w:val="en-US" w:eastAsia="zh-CN" w:bidi="ar"/>
              </w:rPr>
              <w:t>16</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rPr>
              <w:t>圆扇形活动桌</w:t>
            </w:r>
            <w:r>
              <w:rPr>
                <w:rFonts w:hint="eastAsia" w:asciiTheme="minorEastAsia" w:hAnsiTheme="minorEastAsia" w:eastAsiaTheme="minorEastAsia" w:cstheme="minorEastAsia"/>
                <w:color w:val="auto"/>
                <w:kern w:val="0"/>
                <w:sz w:val="24"/>
                <w:szCs w:val="24"/>
                <w:highlight w:val="none"/>
                <w:lang w:val="en-US" w:eastAsia="zh-CN"/>
              </w:rPr>
              <w:t>高度760mm；</w:t>
            </w:r>
          </w:p>
          <w:p w14:paraId="147DA2C5">
            <w:pPr>
              <w:widowControl/>
              <w:numPr>
                <w:ilvl w:val="0"/>
                <w:numId w:val="0"/>
              </w:numPr>
              <w:spacing w:line="360" w:lineRule="auto"/>
              <w:ind w:leftChars="0"/>
              <w:jc w:val="left"/>
              <w:rPr>
                <w:rFonts w:hint="eastAsia" w:asciiTheme="minorEastAsia" w:hAnsiTheme="minorEastAsia" w:eastAsia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0"/>
                <w:sz w:val="24"/>
                <w:szCs w:val="24"/>
                <w:highlight w:val="none"/>
                <w:lang w:val="en-US" w:eastAsia="zh-CN" w:bidi="ar"/>
              </w:rPr>
              <w:t>2.桌面：前挡板基材采用E0级实木多层板，前挡板饰面采用三聚氰胺纸；</w:t>
            </w:r>
          </w:p>
          <w:p w14:paraId="2569D110">
            <w:pPr>
              <w:widowControl/>
              <w:numPr>
                <w:ilvl w:val="0"/>
                <w:numId w:val="0"/>
              </w:numPr>
              <w:spacing w:line="360" w:lineRule="auto"/>
              <w:ind w:leftChars="0"/>
              <w:jc w:val="left"/>
              <w:rPr>
                <w:rFonts w:hint="eastAsia" w:asciiTheme="minorEastAsia" w:hAnsiTheme="minorEastAsia" w:eastAsia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0"/>
                <w:sz w:val="24"/>
                <w:szCs w:val="24"/>
                <w:highlight w:val="none"/>
                <w:lang w:val="en-US" w:eastAsia="zh-CN" w:bidi="ar"/>
              </w:rPr>
              <w:t>3.钢制架：采用冷轧钢管冲压而成的钢制架，附着力为0级，防霉等级为0级，钢架喷涂粉末采用</w:t>
            </w:r>
            <w:r>
              <w:rPr>
                <w:rFonts w:hint="eastAsia" w:asciiTheme="minorEastAsia" w:hAnsiTheme="minorEastAsia" w:eastAsiaTheme="minorEastAsia" w:cstheme="minorEastAsia"/>
                <w:color w:val="auto"/>
                <w:kern w:val="0"/>
                <w:sz w:val="24"/>
                <w:szCs w:val="24"/>
                <w:highlight w:val="none"/>
                <w:lang w:eastAsia="zh-CN" w:bidi="ar"/>
              </w:rPr>
              <w:t>防腐抗菌喷涂粉末；</w:t>
            </w:r>
          </w:p>
          <w:p w14:paraId="56C63E17">
            <w:pPr>
              <w:widowControl/>
              <w:numPr>
                <w:ilvl w:val="0"/>
                <w:numId w:val="0"/>
              </w:numPr>
              <w:spacing w:line="360" w:lineRule="auto"/>
              <w:ind w:leftChars="0"/>
              <w:jc w:val="left"/>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bidi="ar"/>
              </w:rPr>
              <w:t>4.桌脚脚轮采用</w:t>
            </w:r>
            <w:r>
              <w:rPr>
                <w:rFonts w:hint="eastAsia" w:asciiTheme="minorEastAsia" w:hAnsiTheme="minorEastAsia" w:eastAsiaTheme="minorEastAsia" w:cstheme="minorEastAsia"/>
                <w:color w:val="auto"/>
                <w:kern w:val="0"/>
                <w:sz w:val="24"/>
                <w:szCs w:val="24"/>
                <w:highlight w:val="none"/>
                <w:lang w:eastAsia="zh-CN" w:bidi="ar"/>
              </w:rPr>
              <w:t>万向脚轮，动载荷按规定进行试验后，脚轮的零部件不应出现分离和松动，脚轮的滚动、旋转和制动等功能不应受损；</w:t>
            </w:r>
          </w:p>
          <w:p w14:paraId="3FD8A245">
            <w:pPr>
              <w:autoSpaceDE w:val="0"/>
              <w:autoSpaceDN w:val="0"/>
              <w:adjustRightInd w:val="0"/>
              <w:spacing w:line="360" w:lineRule="auto"/>
              <w:ind w:firstLine="0" w:firstLineChars="0"/>
              <w:jc w:val="left"/>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bidi="ar"/>
              </w:rPr>
              <w:t>5.</w:t>
            </w:r>
            <w:r>
              <w:rPr>
                <w:rFonts w:hint="eastAsia" w:asciiTheme="minorEastAsia" w:hAnsiTheme="minorEastAsia" w:eastAsiaTheme="minorEastAsia" w:cstheme="minorEastAsia"/>
                <w:color w:val="auto"/>
                <w:kern w:val="0"/>
                <w:sz w:val="24"/>
                <w:szCs w:val="24"/>
                <w:highlight w:val="none"/>
              </w:rPr>
              <w:t>圆扇形活动桌需要和上海路校区现有的双人条桌尺寸1200mm*600mm*25mm拼接上</w:t>
            </w:r>
            <w:r>
              <w:rPr>
                <w:rFonts w:hint="eastAsia" w:asciiTheme="minorEastAsia" w:hAnsiTheme="minorEastAsia" w:eastAsiaTheme="minorEastAsia" w:cstheme="minorEastAsia"/>
                <w:color w:val="auto"/>
                <w:kern w:val="0"/>
                <w:sz w:val="24"/>
                <w:szCs w:val="24"/>
                <w:highlight w:val="none"/>
                <w:lang w:eastAsia="zh-CN"/>
              </w:rPr>
              <w:t>。</w:t>
            </w:r>
          </w:p>
          <w:p w14:paraId="2FD0EF29">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6B07D55B">
            <w:pPr>
              <w:spacing w:line="360" w:lineRule="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rPr>
              <w:drawing>
                <wp:inline distT="0" distB="0" distL="114300" distR="114300">
                  <wp:extent cx="3468370" cy="2879725"/>
                  <wp:effectExtent l="0" t="0" r="17780" b="15875"/>
                  <wp:docPr id="10" name="图片 10" descr="42f0acfaea0196ca6c13ee95418469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42f0acfaea0196ca6c13ee95418469ae"/>
                          <pic:cNvPicPr>
                            <a:picLocks noChangeAspect="1"/>
                          </pic:cNvPicPr>
                        </pic:nvPicPr>
                        <pic:blipFill>
                          <a:blip r:embed="rId5"/>
                          <a:stretch>
                            <a:fillRect/>
                          </a:stretch>
                        </pic:blipFill>
                        <pic:spPr>
                          <a:xfrm>
                            <a:off x="0" y="0"/>
                            <a:ext cx="3468370" cy="2879725"/>
                          </a:xfrm>
                          <a:prstGeom prst="rect">
                            <a:avLst/>
                          </a:prstGeom>
                        </pic:spPr>
                      </pic:pic>
                    </a:graphicData>
                  </a:graphic>
                </wp:inline>
              </w:drawing>
            </w:r>
            <w:r>
              <w:rPr>
                <w:color w:val="auto"/>
                <w:highlight w:val="none"/>
              </w:rPr>
              <w:drawing>
                <wp:inline distT="0" distB="0" distL="114300" distR="114300">
                  <wp:extent cx="3381375" cy="3056890"/>
                  <wp:effectExtent l="0" t="0" r="9525" b="10160"/>
                  <wp:docPr id="11" name="图片 11" descr="b31a3e2b4654ce66a63fba18c7bf50f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b31a3e2b4654ce66a63fba18c7bf50fa"/>
                          <pic:cNvPicPr>
                            <a:picLocks noChangeAspect="1"/>
                          </pic:cNvPicPr>
                        </pic:nvPicPr>
                        <pic:blipFill>
                          <a:blip r:embed="rId6"/>
                          <a:stretch>
                            <a:fillRect/>
                          </a:stretch>
                        </pic:blipFill>
                        <pic:spPr>
                          <a:xfrm>
                            <a:off x="0" y="0"/>
                            <a:ext cx="3381375" cy="3056890"/>
                          </a:xfrm>
                          <a:prstGeom prst="rect">
                            <a:avLst/>
                          </a:prstGeom>
                        </pic:spPr>
                      </pic:pic>
                    </a:graphicData>
                  </a:graphic>
                </wp:inline>
              </w:drawing>
            </w:r>
          </w:p>
        </w:tc>
        <w:tc>
          <w:tcPr>
            <w:tcW w:w="890" w:type="dxa"/>
            <w:vAlign w:val="center"/>
          </w:tcPr>
          <w:p w14:paraId="1AF49232">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66</w:t>
            </w:r>
          </w:p>
        </w:tc>
      </w:tr>
      <w:tr w14:paraId="6C009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846" w:type="dxa"/>
            <w:vAlign w:val="center"/>
          </w:tcPr>
          <w:p w14:paraId="50EE63EF">
            <w:pPr>
              <w:spacing w:line="360" w:lineRule="auto"/>
              <w:jc w:val="center"/>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2</w:t>
            </w:r>
          </w:p>
        </w:tc>
        <w:tc>
          <w:tcPr>
            <w:tcW w:w="1560" w:type="dxa"/>
            <w:shd w:val="clear" w:color="auto" w:fill="auto"/>
            <w:vAlign w:val="center"/>
          </w:tcPr>
          <w:p w14:paraId="1426480E">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折叠活动椅</w:t>
            </w:r>
          </w:p>
        </w:tc>
        <w:tc>
          <w:tcPr>
            <w:tcW w:w="5772" w:type="dxa"/>
            <w:vAlign w:val="center"/>
          </w:tcPr>
          <w:p w14:paraId="5729F98B">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bidi="ar"/>
              </w:rPr>
              <w:t>1.</w:t>
            </w:r>
            <w:r>
              <w:rPr>
                <w:rFonts w:hint="eastAsia" w:asciiTheme="minorEastAsia" w:hAnsiTheme="minorEastAsia" w:eastAsiaTheme="minorEastAsia" w:cstheme="minorEastAsia"/>
                <w:color w:val="auto"/>
                <w:kern w:val="0"/>
                <w:sz w:val="24"/>
                <w:szCs w:val="24"/>
                <w:highlight w:val="none"/>
                <w:lang w:bidi="ar"/>
              </w:rPr>
              <w:t>基材 ：背框采用环保 PA 尼龙材质，背框网布为高回弹特级防尘网布</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椅子采用钢架支架</w:t>
            </w:r>
            <w:r>
              <w:rPr>
                <w:rFonts w:hint="eastAsia" w:asciiTheme="minorEastAsia" w:hAnsiTheme="minorEastAsia" w:eastAsiaTheme="minorEastAsia" w:cstheme="minorEastAsia"/>
                <w:color w:val="auto"/>
                <w:kern w:val="0"/>
                <w:sz w:val="24"/>
                <w:szCs w:val="24"/>
                <w:highlight w:val="none"/>
                <w:lang w:eastAsia="zh-CN" w:bidi="ar"/>
              </w:rPr>
              <w:t>；</w:t>
            </w:r>
          </w:p>
          <w:p w14:paraId="508CF20A">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bidi="ar"/>
              </w:rPr>
              <w:t>2.尺寸（偏差±5mm）：</w:t>
            </w:r>
            <w:r>
              <w:rPr>
                <w:rFonts w:hint="eastAsia" w:asciiTheme="minorEastAsia" w:hAnsiTheme="minorEastAsia" w:eastAsiaTheme="minorEastAsia" w:cstheme="minorEastAsia"/>
                <w:color w:val="auto"/>
                <w:kern w:val="0"/>
                <w:sz w:val="24"/>
                <w:szCs w:val="24"/>
                <w:highlight w:val="none"/>
                <w:lang w:bidi="ar"/>
              </w:rPr>
              <w:t>长 540mm 宽 625mm 高 810mm</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座高 445mm*座宽 475mm*座深 460mm,座背宽 460mm 扶手面离地高 670mm</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座垫</w:t>
            </w:r>
            <w:r>
              <w:rPr>
                <w:rFonts w:hint="eastAsia" w:asciiTheme="minorEastAsia" w:hAnsiTheme="minorEastAsia" w:eastAsiaTheme="minorEastAsia" w:cstheme="minorEastAsia"/>
                <w:color w:val="auto"/>
                <w:kern w:val="0"/>
                <w:sz w:val="24"/>
                <w:szCs w:val="24"/>
                <w:highlight w:val="none"/>
                <w:lang w:val="en-US" w:eastAsia="zh-CN" w:bidi="ar"/>
              </w:rPr>
              <w:t>海绵</w:t>
            </w:r>
            <w:r>
              <w:rPr>
                <w:rFonts w:hint="eastAsia" w:asciiTheme="minorEastAsia" w:hAnsiTheme="minorEastAsia" w:eastAsiaTheme="minorEastAsia" w:cstheme="minorEastAsia"/>
                <w:color w:val="auto"/>
                <w:kern w:val="0"/>
                <w:sz w:val="24"/>
                <w:szCs w:val="24"/>
                <w:highlight w:val="none"/>
                <w:lang w:bidi="ar"/>
              </w:rPr>
              <w:t>：座垫内置高弹海绵</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符合</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GB/T10802-2023</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QB/T 1952.1-2023</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QB/T2080-2018</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31402-2023标准</w:t>
            </w:r>
            <w:r>
              <w:rPr>
                <w:rFonts w:hint="eastAsia" w:asciiTheme="minorEastAsia" w:hAnsiTheme="minorEastAsia" w:eastAsiaTheme="minorEastAsia" w:cstheme="minorEastAsia"/>
                <w:color w:val="auto"/>
                <w:kern w:val="0"/>
                <w:sz w:val="24"/>
                <w:szCs w:val="24"/>
                <w:highlight w:val="none"/>
                <w:lang w:eastAsia="zh-CN" w:bidi="ar"/>
              </w:rPr>
              <w:t>；</w:t>
            </w:r>
          </w:p>
          <w:p w14:paraId="19A855E7">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bidi="ar"/>
              </w:rPr>
              <w:t>3.坐垫饰面</w:t>
            </w:r>
            <w:r>
              <w:rPr>
                <w:rFonts w:hint="eastAsia" w:asciiTheme="minorEastAsia" w:hAnsiTheme="minorEastAsia" w:eastAsiaTheme="minorEastAsia" w:cstheme="minorEastAsia"/>
                <w:color w:val="auto"/>
                <w:kern w:val="0"/>
                <w:sz w:val="24"/>
                <w:szCs w:val="24"/>
                <w:highlight w:val="none"/>
                <w:lang w:bidi="ar"/>
              </w:rPr>
              <w:t>；</w:t>
            </w:r>
            <w:r>
              <w:rPr>
                <w:rFonts w:hint="eastAsia" w:asciiTheme="minorEastAsia" w:hAnsiTheme="minorEastAsia" w:eastAsiaTheme="minorEastAsia" w:cstheme="minorEastAsia"/>
                <w:color w:val="auto"/>
                <w:kern w:val="0"/>
                <w:sz w:val="24"/>
                <w:szCs w:val="24"/>
                <w:highlight w:val="none"/>
                <w:lang w:val="en-US" w:eastAsia="zh-CN" w:bidi="ar"/>
              </w:rPr>
              <w:t>采用</w:t>
            </w:r>
            <w:r>
              <w:rPr>
                <w:rFonts w:hint="eastAsia" w:asciiTheme="minorEastAsia" w:hAnsiTheme="minorEastAsia" w:eastAsiaTheme="minorEastAsia" w:cstheme="minorEastAsia"/>
                <w:color w:val="auto"/>
                <w:kern w:val="0"/>
                <w:sz w:val="24"/>
                <w:szCs w:val="24"/>
                <w:highlight w:val="none"/>
                <w:lang w:bidi="ar"/>
              </w:rPr>
              <w:t>麻绒布</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符合：GB/T18885-2020</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24253-2009标准</w:t>
            </w:r>
            <w:r>
              <w:rPr>
                <w:rFonts w:hint="eastAsia" w:asciiTheme="minorEastAsia" w:hAnsiTheme="minorEastAsia" w:eastAsiaTheme="minorEastAsia" w:cstheme="minorEastAsia"/>
                <w:color w:val="auto"/>
                <w:kern w:val="0"/>
                <w:sz w:val="24"/>
                <w:szCs w:val="24"/>
                <w:highlight w:val="none"/>
                <w:lang w:eastAsia="zh-CN" w:bidi="ar"/>
              </w:rPr>
              <w:t>；</w:t>
            </w:r>
          </w:p>
          <w:p w14:paraId="26098CCD">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bidi="ar"/>
              </w:rPr>
              <w:t>4.</w:t>
            </w:r>
            <w:r>
              <w:rPr>
                <w:rFonts w:hint="eastAsia" w:asciiTheme="minorEastAsia" w:hAnsiTheme="minorEastAsia" w:eastAsiaTheme="minorEastAsia" w:cstheme="minorEastAsia"/>
                <w:color w:val="auto"/>
                <w:kern w:val="0"/>
                <w:sz w:val="24"/>
                <w:szCs w:val="24"/>
                <w:highlight w:val="none"/>
                <w:lang w:bidi="ar"/>
              </w:rPr>
              <w:t>椅身可整体折叠</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承重 150 公斤以上</w:t>
            </w:r>
            <w:r>
              <w:rPr>
                <w:rFonts w:hint="eastAsia" w:asciiTheme="minorEastAsia" w:hAnsiTheme="minorEastAsia" w:eastAsiaTheme="minorEastAsia" w:cstheme="minorEastAsia"/>
                <w:color w:val="auto"/>
                <w:kern w:val="0"/>
                <w:sz w:val="24"/>
                <w:szCs w:val="24"/>
                <w:highlight w:val="none"/>
                <w:lang w:eastAsia="zh-CN" w:bidi="ar"/>
              </w:rPr>
              <w:t>；</w:t>
            </w:r>
          </w:p>
          <w:p w14:paraId="6AB0B069">
            <w:pPr>
              <w:autoSpaceDE w:val="0"/>
              <w:autoSpaceDN w:val="0"/>
              <w:adjustRightInd w:val="0"/>
              <w:spacing w:line="360" w:lineRule="auto"/>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bidi="ar"/>
              </w:rPr>
              <w:t>5.采用</w:t>
            </w:r>
            <w:r>
              <w:rPr>
                <w:rFonts w:hint="eastAsia" w:asciiTheme="minorEastAsia" w:hAnsiTheme="minorEastAsia" w:eastAsiaTheme="minorEastAsia" w:cstheme="minorEastAsia"/>
                <w:color w:val="auto"/>
                <w:kern w:val="0"/>
                <w:sz w:val="24"/>
                <w:szCs w:val="24"/>
                <w:highlight w:val="none"/>
                <w:lang w:bidi="ar"/>
              </w:rPr>
              <w:t>静音轮：脚轮直径≥50mm 脚轮，可 360 度旋转。PA 材质壁厚≥1.5mm</w:t>
            </w:r>
            <w:r>
              <w:rPr>
                <w:rFonts w:hint="eastAsia" w:asciiTheme="minorEastAsia" w:hAnsiTheme="minorEastAsia" w:eastAsiaTheme="minorEastAsia" w:cstheme="minorEastAsia"/>
                <w:color w:val="auto"/>
                <w:kern w:val="0"/>
                <w:sz w:val="24"/>
                <w:szCs w:val="24"/>
                <w:highlight w:val="none"/>
                <w:lang w:eastAsia="zh-CN" w:bidi="ar"/>
              </w:rPr>
              <w:t>。</w:t>
            </w:r>
          </w:p>
          <w:p w14:paraId="0D64A30B">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bidi="ar"/>
              </w:rPr>
            </w:pPr>
            <w:r>
              <w:rPr>
                <w:rFonts w:hint="eastAsia" w:asciiTheme="minorEastAsia" w:hAnsiTheme="minorEastAsia" w:eastAsiaTheme="minorEastAsia" w:cstheme="minorEastAsia"/>
                <w:color w:val="auto"/>
                <w:kern w:val="0"/>
                <w:sz w:val="24"/>
                <w:szCs w:val="24"/>
                <w:highlight w:val="none"/>
                <w:lang w:val="en-US" w:eastAsia="zh-CN" w:bidi="ar"/>
              </w:rPr>
              <w:t>参考图片：</w:t>
            </w:r>
          </w:p>
          <w:p w14:paraId="28E19EF8">
            <w:pPr>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drawing>
                <wp:inline distT="0" distB="0" distL="114300" distR="114300">
                  <wp:extent cx="1853565" cy="2029460"/>
                  <wp:effectExtent l="0" t="0" r="13335" b="8890"/>
                  <wp:docPr id="12" name="图片 12" descr="30f78e0bf49dde53808469ecb4cd2fa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30f78e0bf49dde53808469ecb4cd2faa"/>
                          <pic:cNvPicPr>
                            <a:picLocks noChangeAspect="1"/>
                          </pic:cNvPicPr>
                        </pic:nvPicPr>
                        <pic:blipFill>
                          <a:blip r:embed="rId7"/>
                          <a:stretch>
                            <a:fillRect/>
                          </a:stretch>
                        </pic:blipFill>
                        <pic:spPr>
                          <a:xfrm>
                            <a:off x="0" y="0"/>
                            <a:ext cx="1853565" cy="2029460"/>
                          </a:xfrm>
                          <a:prstGeom prst="rect">
                            <a:avLst/>
                          </a:prstGeom>
                        </pic:spPr>
                      </pic:pic>
                    </a:graphicData>
                  </a:graphic>
                </wp:inline>
              </w:drawing>
            </w:r>
          </w:p>
        </w:tc>
        <w:tc>
          <w:tcPr>
            <w:tcW w:w="890" w:type="dxa"/>
            <w:vAlign w:val="center"/>
          </w:tcPr>
          <w:p w14:paraId="43B77CE9">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66</w:t>
            </w:r>
          </w:p>
        </w:tc>
      </w:tr>
      <w:tr w14:paraId="5FDF9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17F92B36">
            <w:pPr>
              <w:spacing w:line="360" w:lineRule="auto"/>
              <w:jc w:val="center"/>
              <w:rPr>
                <w:rFonts w:hint="eastAsia" w:asciiTheme="minorEastAsia" w:hAnsiTheme="minorEastAsia" w:eastAsiaTheme="minorEastAsia" w:cstheme="minorEastAsia"/>
                <w:color w:val="auto"/>
                <w:sz w:val="24"/>
                <w:szCs w:val="24"/>
                <w:highlight w:val="none"/>
              </w:rPr>
            </w:pPr>
          </w:p>
          <w:p w14:paraId="680A86D1">
            <w:pPr>
              <w:pStyle w:val="2"/>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3</w:t>
            </w:r>
          </w:p>
        </w:tc>
        <w:tc>
          <w:tcPr>
            <w:tcW w:w="1560" w:type="dxa"/>
            <w:shd w:val="clear" w:color="auto" w:fill="auto"/>
            <w:vAlign w:val="center"/>
          </w:tcPr>
          <w:p w14:paraId="31F1481F">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四门矮柜</w:t>
            </w:r>
          </w:p>
        </w:tc>
        <w:tc>
          <w:tcPr>
            <w:tcW w:w="5772" w:type="dxa"/>
            <w:vAlign w:val="center"/>
          </w:tcPr>
          <w:p w14:paraId="3EE1B9E7">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bidi="ar"/>
              </w:rPr>
              <w:t>1.</w:t>
            </w:r>
            <w:r>
              <w:rPr>
                <w:rFonts w:hint="eastAsia" w:asciiTheme="minorEastAsia" w:hAnsiTheme="minorEastAsia" w:eastAsiaTheme="minorEastAsia" w:cstheme="minorEastAsia"/>
                <w:color w:val="auto"/>
                <w:kern w:val="0"/>
                <w:sz w:val="24"/>
                <w:szCs w:val="24"/>
                <w:highlight w:val="none"/>
                <w:lang w:bidi="ar"/>
              </w:rPr>
              <w:t>尺寸</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val="en-US" w:eastAsia="zh-CN"/>
              </w:rPr>
              <w:t>长</w:t>
            </w:r>
            <w:r>
              <w:rPr>
                <w:rFonts w:hint="eastAsia" w:asciiTheme="minorEastAsia" w:hAnsiTheme="minorEastAsia" w:eastAsiaTheme="minorEastAsia" w:cstheme="minorEastAsia"/>
                <w:color w:val="auto"/>
                <w:kern w:val="0"/>
                <w:sz w:val="24"/>
                <w:szCs w:val="24"/>
                <w:highlight w:val="none"/>
              </w:rPr>
              <w:t>2200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bidi="ar"/>
              </w:rPr>
              <w:t xml:space="preserve"> 宽</w:t>
            </w:r>
            <w:r>
              <w:rPr>
                <w:rFonts w:hint="eastAsia" w:asciiTheme="minorEastAsia" w:hAnsiTheme="minorEastAsia" w:eastAsiaTheme="minorEastAsia" w:cstheme="minorEastAsia"/>
                <w:color w:val="auto"/>
                <w:kern w:val="0"/>
                <w:sz w:val="24"/>
                <w:szCs w:val="24"/>
                <w:highlight w:val="none"/>
              </w:rPr>
              <w:t>360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bidi="ar"/>
              </w:rPr>
              <w:t xml:space="preserve"> 高</w:t>
            </w:r>
            <w:r>
              <w:rPr>
                <w:rFonts w:hint="eastAsia" w:asciiTheme="minorEastAsia" w:hAnsiTheme="minorEastAsia" w:eastAsiaTheme="minorEastAsia" w:cstheme="minorEastAsia"/>
                <w:color w:val="auto"/>
                <w:kern w:val="0"/>
                <w:sz w:val="24"/>
                <w:szCs w:val="24"/>
                <w:highlight w:val="none"/>
              </w:rPr>
              <w:t>850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eastAsia="zh-CN" w:bidi="ar"/>
              </w:rPr>
              <w:t>；</w:t>
            </w:r>
          </w:p>
          <w:p w14:paraId="74403900">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rPr>
              <w:t>柜体和门板</w:t>
            </w:r>
            <w:r>
              <w:rPr>
                <w:rFonts w:hint="eastAsia" w:asciiTheme="minorEastAsia" w:hAnsiTheme="minorEastAsia" w:eastAsiaTheme="minorEastAsia" w:cstheme="minorEastAsia"/>
                <w:color w:val="auto"/>
                <w:sz w:val="24"/>
                <w:szCs w:val="24"/>
                <w:highlight w:val="none"/>
              </w:rPr>
              <w:t>采用</w:t>
            </w:r>
            <w:r>
              <w:rPr>
                <w:rFonts w:hint="eastAsia" w:asciiTheme="minorEastAsia" w:hAnsiTheme="minorEastAsia" w:eastAsiaTheme="minorEastAsia" w:cstheme="minorEastAsia"/>
                <w:color w:val="auto"/>
                <w:kern w:val="0"/>
                <w:sz w:val="24"/>
                <w:szCs w:val="24"/>
                <w:highlight w:val="none"/>
                <w:lang w:val="en-US" w:eastAsia="zh-CN" w:bidi="ar"/>
              </w:rPr>
              <w:t>E0级实木多层板；</w:t>
            </w:r>
            <w:r>
              <w:rPr>
                <w:rFonts w:hint="eastAsia" w:asciiTheme="minorEastAsia" w:hAnsiTheme="minorEastAsia" w:eastAsiaTheme="minorEastAsia" w:cstheme="minorEastAsia"/>
                <w:color w:val="auto"/>
                <w:kern w:val="0"/>
                <w:sz w:val="24"/>
                <w:szCs w:val="24"/>
                <w:highlight w:val="none"/>
                <w:lang w:val="en-US" w:eastAsia="zh-CN"/>
              </w:rPr>
              <w:t>柜体饰面贴</w:t>
            </w:r>
            <w:r>
              <w:rPr>
                <w:rFonts w:hint="eastAsia" w:asciiTheme="minorEastAsia" w:hAnsiTheme="minorEastAsia" w:eastAsiaTheme="minorEastAsia" w:cstheme="minorEastAsia"/>
                <w:color w:val="auto"/>
                <w:kern w:val="0"/>
                <w:sz w:val="24"/>
                <w:szCs w:val="24"/>
                <w:highlight w:val="none"/>
              </w:rPr>
              <w:t>实木皮</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防霉等级</w:t>
            </w:r>
            <w:r>
              <w:rPr>
                <w:rFonts w:hint="eastAsia" w:asciiTheme="minorEastAsia" w:hAnsiTheme="minorEastAsia" w:eastAsiaTheme="minorEastAsia" w:cstheme="minorEastAsia"/>
                <w:color w:val="auto"/>
                <w:kern w:val="0"/>
                <w:sz w:val="24"/>
                <w:szCs w:val="24"/>
                <w:highlight w:val="none"/>
                <w:lang w:val="en-US" w:eastAsia="zh-CN"/>
              </w:rPr>
              <w:t>为0级；</w:t>
            </w:r>
          </w:p>
          <w:p w14:paraId="1D8FAA4D">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3.面漆采用</w:t>
            </w:r>
            <w:r>
              <w:rPr>
                <w:rFonts w:hint="eastAsia" w:asciiTheme="minorEastAsia" w:hAnsiTheme="minorEastAsia" w:eastAsiaTheme="minorEastAsia" w:cstheme="minorEastAsia"/>
                <w:color w:val="auto"/>
                <w:kern w:val="0"/>
                <w:sz w:val="24"/>
                <w:szCs w:val="24"/>
                <w:highlight w:val="none"/>
              </w:rPr>
              <w:t>水性面漆</w:t>
            </w:r>
            <w:r>
              <w:rPr>
                <w:rFonts w:hint="eastAsia" w:asciiTheme="minorEastAsia" w:hAnsiTheme="minorEastAsia" w:eastAsiaTheme="minorEastAsia" w:cstheme="minorEastAsia"/>
                <w:color w:val="auto"/>
                <w:kern w:val="0"/>
                <w:sz w:val="24"/>
                <w:szCs w:val="24"/>
                <w:highlight w:val="none"/>
                <w:lang w:eastAsia="zh-CN"/>
              </w:rPr>
              <w:t>；</w:t>
            </w:r>
          </w:p>
          <w:p w14:paraId="7AB7169E">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4.</w:t>
            </w:r>
            <w:r>
              <w:rPr>
                <w:rFonts w:hint="eastAsia" w:asciiTheme="minorEastAsia" w:hAnsiTheme="minorEastAsia" w:eastAsiaTheme="minorEastAsia" w:cstheme="minorEastAsia"/>
                <w:color w:val="auto"/>
                <w:kern w:val="0"/>
                <w:sz w:val="24"/>
                <w:szCs w:val="24"/>
                <w:highlight w:val="none"/>
              </w:rPr>
              <w:t>五金件：采用三合一紧固件</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符合：GB/T 28203-2011</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10125-2021</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QB/T 4371-2012</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1741-2020标准。镀(涂)层对基体的保护等级10级，镀(涂)层本身耐腐蚀等级10级</w:t>
            </w:r>
            <w:r>
              <w:rPr>
                <w:rFonts w:hint="eastAsia" w:asciiTheme="minorEastAsia" w:hAnsiTheme="minorEastAsia" w:eastAsiaTheme="minorEastAsia" w:cstheme="minorEastAsia"/>
                <w:color w:val="auto"/>
                <w:kern w:val="0"/>
                <w:sz w:val="24"/>
                <w:szCs w:val="24"/>
                <w:highlight w:val="none"/>
                <w:lang w:eastAsia="zh-CN"/>
              </w:rPr>
              <w:t>；</w:t>
            </w:r>
          </w:p>
          <w:p w14:paraId="57C2B2DC">
            <w:pPr>
              <w:autoSpaceDE w:val="0"/>
              <w:autoSpaceDN w:val="0"/>
              <w:adjustRightInd w:val="0"/>
              <w:spacing w:line="360" w:lineRule="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rPr>
              <w:t>5</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各部位的安装牢固可靠，无松动、倾斜、摇晃等现象。</w:t>
            </w:r>
          </w:p>
          <w:p w14:paraId="11D12963">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78A1072B">
            <w:pPr>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eastAsia="zh-CN"/>
              </w:rPr>
              <w:drawing>
                <wp:inline distT="0" distB="0" distL="114300" distR="114300">
                  <wp:extent cx="5042535" cy="2520315"/>
                  <wp:effectExtent l="0" t="0" r="13335" b="5715"/>
                  <wp:docPr id="13" name="图片 13" descr="b856f2972eac64380ea50f99055edd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b856f2972eac64380ea50f99055eddca"/>
                          <pic:cNvPicPr>
                            <a:picLocks noChangeAspect="1"/>
                          </pic:cNvPicPr>
                        </pic:nvPicPr>
                        <pic:blipFill>
                          <a:blip r:embed="rId8"/>
                          <a:stretch>
                            <a:fillRect/>
                          </a:stretch>
                        </pic:blipFill>
                        <pic:spPr>
                          <a:xfrm rot="16200000">
                            <a:off x="0" y="0"/>
                            <a:ext cx="5042535" cy="2520315"/>
                          </a:xfrm>
                          <a:prstGeom prst="rect">
                            <a:avLst/>
                          </a:prstGeom>
                        </pic:spPr>
                      </pic:pic>
                    </a:graphicData>
                  </a:graphic>
                </wp:inline>
              </w:drawing>
            </w:r>
          </w:p>
        </w:tc>
        <w:tc>
          <w:tcPr>
            <w:tcW w:w="890" w:type="dxa"/>
            <w:vAlign w:val="center"/>
          </w:tcPr>
          <w:p w14:paraId="72F27F65">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72</w:t>
            </w:r>
          </w:p>
        </w:tc>
      </w:tr>
      <w:tr w14:paraId="40F8B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1E15580C">
            <w:pPr>
              <w:pStyle w:val="2"/>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4</w:t>
            </w:r>
          </w:p>
        </w:tc>
        <w:tc>
          <w:tcPr>
            <w:tcW w:w="1560" w:type="dxa"/>
            <w:shd w:val="clear" w:color="auto" w:fill="auto"/>
            <w:vAlign w:val="center"/>
          </w:tcPr>
          <w:p w14:paraId="1D2F9551">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矮柜（定制）</w:t>
            </w:r>
          </w:p>
        </w:tc>
        <w:tc>
          <w:tcPr>
            <w:tcW w:w="5772" w:type="dxa"/>
            <w:vAlign w:val="center"/>
          </w:tcPr>
          <w:p w14:paraId="2B2732A2">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rPr>
              <w:t>1.尺寸</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lang w:val="en-US" w:eastAsia="zh-CN"/>
              </w:rPr>
              <w:t>：长</w:t>
            </w:r>
            <w:r>
              <w:rPr>
                <w:rFonts w:hint="eastAsia" w:asciiTheme="minorEastAsia" w:hAnsiTheme="minorEastAsia" w:eastAsiaTheme="minorEastAsia" w:cstheme="minorEastAsia"/>
                <w:color w:val="auto"/>
                <w:kern w:val="0"/>
                <w:sz w:val="24"/>
                <w:szCs w:val="24"/>
                <w:highlight w:val="none"/>
              </w:rPr>
              <w:t>600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bidi="ar"/>
              </w:rPr>
              <w:t xml:space="preserve"> 宽</w:t>
            </w:r>
            <w:r>
              <w:rPr>
                <w:rFonts w:hint="eastAsia" w:asciiTheme="minorEastAsia" w:hAnsiTheme="minorEastAsia" w:eastAsiaTheme="minorEastAsia" w:cstheme="minorEastAsia"/>
                <w:color w:val="auto"/>
                <w:kern w:val="0"/>
                <w:sz w:val="24"/>
                <w:szCs w:val="24"/>
                <w:highlight w:val="none"/>
              </w:rPr>
              <w:t>20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bidi="ar"/>
              </w:rPr>
              <w:t xml:space="preserve">  高</w:t>
            </w:r>
            <w:r>
              <w:rPr>
                <w:rFonts w:hint="eastAsia" w:asciiTheme="minorEastAsia" w:hAnsiTheme="minorEastAsia" w:eastAsiaTheme="minorEastAsia" w:cstheme="minorEastAsia"/>
                <w:color w:val="auto"/>
                <w:kern w:val="0"/>
                <w:sz w:val="24"/>
                <w:szCs w:val="24"/>
                <w:highlight w:val="none"/>
              </w:rPr>
              <w:t>850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eastAsia="zh-CN" w:bidi="ar"/>
              </w:rPr>
              <w:t>；</w:t>
            </w:r>
          </w:p>
          <w:p w14:paraId="457BD900">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b w:val="0"/>
                <w:bCs w:val="0"/>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rPr>
              <w:t>柜体和门板</w:t>
            </w:r>
            <w:r>
              <w:rPr>
                <w:rFonts w:hint="eastAsia" w:asciiTheme="minorEastAsia" w:hAnsiTheme="minorEastAsia" w:eastAsiaTheme="minorEastAsia" w:cstheme="minorEastAsia"/>
                <w:color w:val="auto"/>
                <w:sz w:val="24"/>
                <w:szCs w:val="24"/>
                <w:highlight w:val="none"/>
              </w:rPr>
              <w:t>采用</w:t>
            </w:r>
            <w:r>
              <w:rPr>
                <w:rFonts w:hint="eastAsia" w:asciiTheme="minorEastAsia" w:hAnsiTheme="minorEastAsia" w:eastAsiaTheme="minorEastAsia" w:cstheme="minorEastAsia"/>
                <w:color w:val="auto"/>
                <w:kern w:val="0"/>
                <w:sz w:val="24"/>
                <w:szCs w:val="24"/>
                <w:highlight w:val="none"/>
                <w:lang w:val="en-US" w:eastAsia="zh-CN" w:bidi="ar"/>
              </w:rPr>
              <w:t>E0级实木多层板，</w:t>
            </w:r>
            <w:r>
              <w:rPr>
                <w:rFonts w:hint="eastAsia" w:asciiTheme="minorEastAsia" w:hAnsiTheme="minorEastAsia" w:eastAsiaTheme="minorEastAsia" w:cstheme="minorEastAsia"/>
                <w:color w:val="auto"/>
                <w:kern w:val="0"/>
                <w:sz w:val="24"/>
                <w:szCs w:val="24"/>
                <w:highlight w:val="none"/>
                <w:lang w:bidi="ar"/>
              </w:rPr>
              <w:t>符合</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GB/T17657-2022</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GB/T39600-2021;GB/T29899-2024</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21604-2022</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42998-2023</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 18584-2024标准</w:t>
            </w:r>
            <w:r>
              <w:rPr>
                <w:rFonts w:hint="eastAsia" w:asciiTheme="minorEastAsia" w:hAnsiTheme="minorEastAsia" w:eastAsiaTheme="minorEastAsia" w:cstheme="minorEastAsia"/>
                <w:color w:val="auto"/>
                <w:kern w:val="0"/>
                <w:sz w:val="24"/>
                <w:szCs w:val="24"/>
                <w:highlight w:val="none"/>
                <w:lang w:eastAsia="zh-CN" w:bidi="ar"/>
              </w:rPr>
              <w:t>；</w:t>
            </w:r>
          </w:p>
          <w:p w14:paraId="1BBB3EE5">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bidi="ar"/>
              </w:rPr>
              <w:t>3.</w:t>
            </w:r>
            <w:r>
              <w:rPr>
                <w:rFonts w:hint="eastAsia" w:asciiTheme="minorEastAsia" w:hAnsiTheme="minorEastAsia" w:eastAsiaTheme="minorEastAsia" w:cstheme="minorEastAsia"/>
                <w:color w:val="auto"/>
                <w:kern w:val="0"/>
                <w:sz w:val="24"/>
                <w:szCs w:val="24"/>
                <w:highlight w:val="none"/>
                <w:lang w:val="en-US" w:eastAsia="zh-CN"/>
              </w:rPr>
              <w:t>柜体饰面贴</w:t>
            </w:r>
            <w:r>
              <w:rPr>
                <w:rFonts w:hint="eastAsia" w:asciiTheme="minorEastAsia" w:hAnsiTheme="minorEastAsia" w:eastAsiaTheme="minorEastAsia" w:cstheme="minorEastAsia"/>
                <w:color w:val="auto"/>
                <w:kern w:val="0"/>
                <w:sz w:val="24"/>
                <w:szCs w:val="24"/>
                <w:highlight w:val="none"/>
              </w:rPr>
              <w:t>实木皮</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符合：GB/T 13010-2020</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 18584-2024</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17657-2022</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 xml:space="preserve"> GB/T 40493-2021标准</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防霉等级</w:t>
            </w:r>
            <w:r>
              <w:rPr>
                <w:rFonts w:hint="eastAsia" w:asciiTheme="minorEastAsia" w:hAnsiTheme="minorEastAsia" w:eastAsiaTheme="minorEastAsia" w:cstheme="minorEastAsia"/>
                <w:color w:val="auto"/>
                <w:kern w:val="0"/>
                <w:sz w:val="24"/>
                <w:szCs w:val="24"/>
                <w:highlight w:val="none"/>
                <w:lang w:val="en-US" w:eastAsia="zh-CN"/>
              </w:rPr>
              <w:t>为0级；</w:t>
            </w:r>
          </w:p>
          <w:p w14:paraId="69AE1CCD">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4.面漆采用</w:t>
            </w:r>
            <w:r>
              <w:rPr>
                <w:rFonts w:hint="eastAsia" w:asciiTheme="minorEastAsia" w:hAnsiTheme="minorEastAsia" w:eastAsiaTheme="minorEastAsia" w:cstheme="minorEastAsia"/>
                <w:color w:val="auto"/>
                <w:kern w:val="0"/>
                <w:sz w:val="24"/>
                <w:szCs w:val="24"/>
                <w:highlight w:val="none"/>
              </w:rPr>
              <w:t>水性面漆</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符合：GB 18581-2020</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1741-2020</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9286-2021</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6739-2022</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35602-2017标准</w:t>
            </w:r>
            <w:r>
              <w:rPr>
                <w:rFonts w:hint="eastAsia" w:asciiTheme="minorEastAsia" w:hAnsiTheme="minorEastAsia" w:eastAsiaTheme="minorEastAsia" w:cstheme="minorEastAsia"/>
                <w:color w:val="auto"/>
                <w:kern w:val="0"/>
                <w:sz w:val="24"/>
                <w:szCs w:val="24"/>
                <w:highlight w:val="none"/>
                <w:lang w:eastAsia="zh-CN"/>
              </w:rPr>
              <w:t>；</w:t>
            </w:r>
          </w:p>
          <w:p w14:paraId="2E9CF52C">
            <w:pPr>
              <w:autoSpaceDE w:val="0"/>
              <w:autoSpaceDN w:val="0"/>
              <w:adjustRightInd w:val="0"/>
              <w:spacing w:line="360" w:lineRule="auto"/>
              <w:rPr>
                <w:rFonts w:hint="eastAsia" w:asciiTheme="minorEastAsia" w:hAnsiTheme="minorEastAsia" w:eastAsiaTheme="minorEastAsia" w:cstheme="minorEastAsia"/>
                <w:color w:val="auto"/>
                <w:kern w:val="0"/>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五金件：采用缓冲铰链符合：QB/T 2189-2013</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10125-2021</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1741-2020标准</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镀(涂)层对基体的保护等级10级，镀(涂)层本身耐腐蚀等级10级</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各部位的安装牢固可靠，无松动、倾斜、摇晃等现象。</w:t>
            </w:r>
          </w:p>
          <w:p w14:paraId="0DCDDED3">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5BCE94DA">
            <w:pPr>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eastAsia="zh-CN"/>
              </w:rPr>
              <w:drawing>
                <wp:inline distT="0" distB="0" distL="114300" distR="114300">
                  <wp:extent cx="2464435" cy="2593975"/>
                  <wp:effectExtent l="0" t="0" r="12065" b="15875"/>
                  <wp:docPr id="14" name="图片 14" descr="241745c4e52bebe72f899db4ef8cc7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241745c4e52bebe72f899db4ef8cc7be"/>
                          <pic:cNvPicPr>
                            <a:picLocks noChangeAspect="1"/>
                          </pic:cNvPicPr>
                        </pic:nvPicPr>
                        <pic:blipFill>
                          <a:blip r:embed="rId9"/>
                          <a:stretch>
                            <a:fillRect/>
                          </a:stretch>
                        </pic:blipFill>
                        <pic:spPr>
                          <a:xfrm>
                            <a:off x="0" y="0"/>
                            <a:ext cx="2464435" cy="2593975"/>
                          </a:xfrm>
                          <a:prstGeom prst="rect">
                            <a:avLst/>
                          </a:prstGeom>
                        </pic:spPr>
                      </pic:pic>
                    </a:graphicData>
                  </a:graphic>
                </wp:inline>
              </w:drawing>
            </w:r>
          </w:p>
        </w:tc>
        <w:tc>
          <w:tcPr>
            <w:tcW w:w="890" w:type="dxa"/>
            <w:vAlign w:val="center"/>
          </w:tcPr>
          <w:p w14:paraId="73054266">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40</w:t>
            </w:r>
          </w:p>
        </w:tc>
      </w:tr>
      <w:tr w14:paraId="31076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262BA3BF">
            <w:pPr>
              <w:pStyle w:val="2"/>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5</w:t>
            </w:r>
          </w:p>
        </w:tc>
        <w:tc>
          <w:tcPr>
            <w:tcW w:w="1560" w:type="dxa"/>
            <w:shd w:val="clear" w:color="auto" w:fill="auto"/>
            <w:vAlign w:val="center"/>
          </w:tcPr>
          <w:p w14:paraId="4805BDEE">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长条桌（定制）</w:t>
            </w:r>
          </w:p>
        </w:tc>
        <w:tc>
          <w:tcPr>
            <w:tcW w:w="5772" w:type="dxa"/>
            <w:vAlign w:val="center"/>
          </w:tcPr>
          <w:p w14:paraId="47486488">
            <w:pPr>
              <w:numPr>
                <w:ilvl w:val="0"/>
                <w:numId w:val="0"/>
              </w:numPr>
              <w:spacing w:line="360" w:lineRule="auto"/>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rPr>
              <w:t>1.</w:t>
            </w:r>
            <w:r>
              <w:rPr>
                <w:rFonts w:hint="eastAsia" w:asciiTheme="minorEastAsia" w:hAnsiTheme="minorEastAsia" w:eastAsiaTheme="minorEastAsia" w:cstheme="minorEastAsia"/>
                <w:color w:val="auto"/>
                <w:kern w:val="0"/>
                <w:sz w:val="24"/>
                <w:szCs w:val="24"/>
                <w:highlight w:val="none"/>
              </w:rPr>
              <w:t>规格</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val="en-US" w:eastAsia="zh-CN"/>
              </w:rPr>
              <w:t>长</w:t>
            </w:r>
            <w:r>
              <w:rPr>
                <w:rFonts w:hint="eastAsia" w:asciiTheme="minorEastAsia" w:hAnsiTheme="minorEastAsia" w:eastAsiaTheme="minorEastAsia" w:cstheme="minorEastAsia"/>
                <w:color w:val="auto"/>
                <w:kern w:val="0"/>
                <w:sz w:val="24"/>
                <w:szCs w:val="24"/>
                <w:highlight w:val="none"/>
              </w:rPr>
              <w:t>3600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bidi="ar"/>
              </w:rPr>
              <w:t xml:space="preserve">  宽</w:t>
            </w:r>
            <w:r>
              <w:rPr>
                <w:rFonts w:hint="eastAsia" w:asciiTheme="minorEastAsia" w:hAnsiTheme="minorEastAsia" w:eastAsiaTheme="minorEastAsia" w:cstheme="minorEastAsia"/>
                <w:color w:val="auto"/>
                <w:kern w:val="0"/>
                <w:sz w:val="24"/>
                <w:szCs w:val="24"/>
                <w:highlight w:val="none"/>
                <w:lang w:bidi="ar"/>
              </w:rPr>
              <w:t>520mm</w:t>
            </w:r>
            <w:r>
              <w:rPr>
                <w:rFonts w:hint="eastAsia" w:asciiTheme="minorEastAsia" w:hAnsiTheme="minorEastAsia" w:eastAsiaTheme="minorEastAsia" w:cstheme="minorEastAsia"/>
                <w:color w:val="auto"/>
                <w:kern w:val="0"/>
                <w:sz w:val="24"/>
                <w:szCs w:val="24"/>
                <w:highlight w:val="none"/>
                <w:lang w:val="en-US" w:eastAsia="zh-CN" w:bidi="ar"/>
              </w:rPr>
              <w:t xml:space="preserve">   高</w:t>
            </w:r>
            <w:r>
              <w:rPr>
                <w:rFonts w:hint="eastAsia" w:asciiTheme="minorEastAsia" w:hAnsiTheme="minorEastAsia" w:eastAsiaTheme="minorEastAsia" w:cstheme="minorEastAsia"/>
                <w:color w:val="auto"/>
                <w:sz w:val="24"/>
                <w:szCs w:val="24"/>
                <w:highlight w:val="none"/>
              </w:rPr>
              <w:t>940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eastAsia="zh-CN" w:bidi="ar"/>
              </w:rPr>
              <w:t>；</w:t>
            </w:r>
          </w:p>
          <w:p w14:paraId="2B861D2F">
            <w:pPr>
              <w:numPr>
                <w:ilvl w:val="0"/>
                <w:numId w:val="0"/>
              </w:numPr>
              <w:spacing w:line="360" w:lineRule="auto"/>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bidi="ar"/>
              </w:rPr>
              <w:t>2.</w:t>
            </w:r>
            <w:r>
              <w:rPr>
                <w:rFonts w:hint="eastAsia" w:asciiTheme="minorEastAsia" w:hAnsiTheme="minorEastAsia" w:eastAsiaTheme="minorEastAsia" w:cstheme="minorEastAsia"/>
                <w:color w:val="auto"/>
                <w:sz w:val="24"/>
                <w:szCs w:val="24"/>
                <w:highlight w:val="none"/>
              </w:rPr>
              <w:t>桌面、桌脚</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sz w:val="24"/>
                <w:szCs w:val="24"/>
                <w:highlight w:val="none"/>
              </w:rPr>
              <w:t>40m</w:t>
            </w:r>
            <w:r>
              <w:rPr>
                <w:rFonts w:hint="eastAsia" w:asciiTheme="minorEastAsia" w:hAnsiTheme="minorEastAsia" w:eastAsiaTheme="minorEastAsia" w:cstheme="minorEastAsia"/>
                <w:color w:val="auto"/>
                <w:kern w:val="0"/>
                <w:sz w:val="24"/>
                <w:szCs w:val="24"/>
                <w:highlight w:val="none"/>
              </w:rPr>
              <w:t>m厚，背板≥18mm厚，每张吧台桌面需要配置≥3块亚克力隔断挡板，厚≥10mm</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lang w:val="en-US" w:eastAsia="zh-CN"/>
              </w:rPr>
              <w:t>亚克力隔板需为磨砂亚克力；</w:t>
            </w:r>
          </w:p>
          <w:p w14:paraId="57A0F7F7">
            <w:pPr>
              <w:numPr>
                <w:ilvl w:val="0"/>
                <w:numId w:val="0"/>
              </w:numPr>
              <w:spacing w:line="360" w:lineRule="auto"/>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rPr>
              <w:t>3.基材</w:t>
            </w:r>
            <w:r>
              <w:rPr>
                <w:rFonts w:hint="eastAsia" w:asciiTheme="minorEastAsia" w:hAnsiTheme="minorEastAsia" w:eastAsiaTheme="minorEastAsia" w:cstheme="minorEastAsia"/>
                <w:color w:val="auto"/>
                <w:sz w:val="24"/>
                <w:szCs w:val="24"/>
                <w:highlight w:val="none"/>
              </w:rPr>
              <w:t>采用</w:t>
            </w:r>
            <w:r>
              <w:rPr>
                <w:rFonts w:hint="eastAsia" w:asciiTheme="minorEastAsia" w:hAnsiTheme="minorEastAsia" w:eastAsiaTheme="minorEastAsia" w:cstheme="minorEastAsia"/>
                <w:color w:val="auto"/>
                <w:kern w:val="0"/>
                <w:sz w:val="24"/>
                <w:szCs w:val="24"/>
                <w:highlight w:val="none"/>
                <w:lang w:val="en-US" w:eastAsia="zh-CN" w:bidi="ar"/>
              </w:rPr>
              <w:t>E0级实木多层板，</w:t>
            </w:r>
            <w:r>
              <w:rPr>
                <w:rFonts w:hint="eastAsia" w:asciiTheme="minorEastAsia" w:hAnsiTheme="minorEastAsia" w:eastAsiaTheme="minorEastAsia" w:cstheme="minorEastAsia"/>
                <w:color w:val="auto"/>
                <w:kern w:val="0"/>
                <w:sz w:val="24"/>
                <w:szCs w:val="24"/>
                <w:highlight w:val="none"/>
                <w:lang w:bidi="ar"/>
              </w:rPr>
              <w:t>符合</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GB/T17657-2022</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GB/T39600-2021</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GB/T29899-2024</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21604-2022</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42998-2023</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 18584-2024标准</w:t>
            </w:r>
            <w:r>
              <w:rPr>
                <w:rFonts w:hint="eastAsia" w:asciiTheme="minorEastAsia" w:hAnsiTheme="minorEastAsia" w:eastAsiaTheme="minorEastAsia" w:cstheme="minorEastAsia"/>
                <w:color w:val="auto"/>
                <w:kern w:val="0"/>
                <w:sz w:val="24"/>
                <w:szCs w:val="24"/>
                <w:highlight w:val="none"/>
                <w:lang w:eastAsia="zh-CN" w:bidi="ar"/>
              </w:rPr>
              <w:t>；</w:t>
            </w:r>
          </w:p>
          <w:p w14:paraId="571E436B">
            <w:pPr>
              <w:autoSpaceDE w:val="0"/>
              <w:autoSpaceDN w:val="0"/>
              <w:adjustRightInd w:val="0"/>
              <w:spacing w:line="360" w:lineRule="auto"/>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bidi="ar"/>
              </w:rPr>
              <w:t>4.</w:t>
            </w:r>
            <w:r>
              <w:rPr>
                <w:rFonts w:hint="eastAsia" w:asciiTheme="minorEastAsia" w:hAnsiTheme="minorEastAsia" w:eastAsiaTheme="minorEastAsia" w:cstheme="minorEastAsia"/>
                <w:color w:val="auto"/>
                <w:kern w:val="0"/>
                <w:sz w:val="24"/>
                <w:szCs w:val="24"/>
                <w:highlight w:val="none"/>
                <w:lang w:val="en-US" w:eastAsia="zh-CN"/>
              </w:rPr>
              <w:t>柜体饰面贴</w:t>
            </w:r>
            <w:r>
              <w:rPr>
                <w:rFonts w:hint="eastAsia" w:asciiTheme="minorEastAsia" w:hAnsiTheme="minorEastAsia" w:eastAsiaTheme="minorEastAsia" w:cstheme="minorEastAsia"/>
                <w:color w:val="auto"/>
                <w:kern w:val="0"/>
                <w:sz w:val="24"/>
                <w:szCs w:val="24"/>
                <w:highlight w:val="none"/>
              </w:rPr>
              <w:t>实木皮</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符合：GB/T 13010-2020</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 18584-2024</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17657-2022</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 xml:space="preserve"> GB/T 40493-2021标准</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lang w:val="en-US" w:eastAsia="zh-CN"/>
              </w:rPr>
              <w:t>面漆采用水性底漆符合：GB 18581-2020、GB/T1741-2020标准；</w:t>
            </w:r>
            <w:r>
              <w:rPr>
                <w:rFonts w:hint="eastAsia" w:asciiTheme="minorEastAsia" w:hAnsiTheme="minorEastAsia" w:eastAsiaTheme="minorEastAsia" w:cstheme="minorEastAsia"/>
                <w:color w:val="auto"/>
                <w:kern w:val="0"/>
                <w:sz w:val="24"/>
                <w:szCs w:val="24"/>
                <w:highlight w:val="none"/>
              </w:rPr>
              <w:t>各部位的安装牢固可靠，无松动、倾斜、摇晃等现象</w:t>
            </w:r>
            <w:r>
              <w:rPr>
                <w:rFonts w:hint="eastAsia" w:asciiTheme="minorEastAsia" w:hAnsiTheme="minorEastAsia" w:eastAsiaTheme="minorEastAsia" w:cstheme="minorEastAsia"/>
                <w:color w:val="auto"/>
                <w:kern w:val="0"/>
                <w:sz w:val="24"/>
                <w:szCs w:val="24"/>
                <w:highlight w:val="none"/>
                <w:lang w:eastAsia="zh-CN"/>
              </w:rPr>
              <w:t>。</w:t>
            </w:r>
          </w:p>
          <w:p w14:paraId="6FC6CDEC">
            <w:pPr>
              <w:autoSpaceDE w:val="0"/>
              <w:autoSpaceDN w:val="0"/>
              <w:adjustRightInd w:val="0"/>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7902AA5D">
            <w:pPr>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drawing>
                <wp:inline distT="0" distB="0" distL="114300" distR="114300">
                  <wp:extent cx="3362960" cy="2686050"/>
                  <wp:effectExtent l="0" t="0" r="8890" b="0"/>
                  <wp:docPr id="15" name="图片 15" descr="b981c885260e3eff9e01b634261ec4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b981c885260e3eff9e01b634261ec4d"/>
                          <pic:cNvPicPr>
                            <a:picLocks noChangeAspect="1"/>
                          </pic:cNvPicPr>
                        </pic:nvPicPr>
                        <pic:blipFill>
                          <a:blip r:embed="rId10"/>
                          <a:stretch>
                            <a:fillRect/>
                          </a:stretch>
                        </pic:blipFill>
                        <pic:spPr>
                          <a:xfrm>
                            <a:off x="0" y="0"/>
                            <a:ext cx="3362960" cy="2686050"/>
                          </a:xfrm>
                          <a:prstGeom prst="rect">
                            <a:avLst/>
                          </a:prstGeom>
                        </pic:spPr>
                      </pic:pic>
                    </a:graphicData>
                  </a:graphic>
                </wp:inline>
              </w:drawing>
            </w:r>
          </w:p>
        </w:tc>
        <w:tc>
          <w:tcPr>
            <w:tcW w:w="890" w:type="dxa"/>
            <w:vAlign w:val="center"/>
          </w:tcPr>
          <w:p w14:paraId="4C878CB8">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3</w:t>
            </w:r>
          </w:p>
        </w:tc>
      </w:tr>
      <w:tr w14:paraId="3EDAD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1619AF00">
            <w:pPr>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6</w:t>
            </w:r>
          </w:p>
        </w:tc>
        <w:tc>
          <w:tcPr>
            <w:tcW w:w="1560" w:type="dxa"/>
            <w:shd w:val="clear" w:color="auto" w:fill="auto"/>
            <w:vAlign w:val="center"/>
          </w:tcPr>
          <w:p w14:paraId="6F76F566">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椅子</w:t>
            </w:r>
          </w:p>
        </w:tc>
        <w:tc>
          <w:tcPr>
            <w:tcW w:w="5772" w:type="dxa"/>
            <w:vAlign w:val="center"/>
          </w:tcPr>
          <w:p w14:paraId="430C5D31">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1.尺寸</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lang w:val="en-US" w:eastAsia="zh-CN"/>
              </w:rPr>
              <w:t>：长</w:t>
            </w:r>
            <w:r>
              <w:rPr>
                <w:rFonts w:hint="eastAsia" w:asciiTheme="minorEastAsia" w:hAnsiTheme="minorEastAsia" w:eastAsiaTheme="minorEastAsia" w:cstheme="minorEastAsia"/>
                <w:color w:val="auto"/>
                <w:kern w:val="0"/>
                <w:sz w:val="24"/>
                <w:szCs w:val="24"/>
                <w:highlight w:val="none"/>
              </w:rPr>
              <w:t>4</w:t>
            </w:r>
            <w:r>
              <w:rPr>
                <w:rFonts w:hint="eastAsia" w:asciiTheme="minorEastAsia" w:hAnsiTheme="minorEastAsia" w:eastAsiaTheme="minorEastAsia" w:cstheme="minorEastAsia"/>
                <w:color w:val="auto"/>
                <w:kern w:val="0"/>
                <w:sz w:val="24"/>
                <w:szCs w:val="24"/>
                <w:highlight w:val="none"/>
                <w:lang w:val="en-US" w:eastAsia="zh-CN"/>
              </w:rPr>
              <w:t>40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bidi="ar"/>
              </w:rPr>
              <w:t xml:space="preserve">   宽</w:t>
            </w:r>
            <w:r>
              <w:rPr>
                <w:rFonts w:hint="eastAsia" w:asciiTheme="minorEastAsia" w:hAnsiTheme="minorEastAsia" w:eastAsiaTheme="minorEastAsia" w:cstheme="minorEastAsia"/>
                <w:color w:val="auto"/>
                <w:kern w:val="0"/>
                <w:sz w:val="24"/>
                <w:szCs w:val="24"/>
                <w:highlight w:val="none"/>
              </w:rPr>
              <w:t>485</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bidi="ar"/>
              </w:rPr>
              <w:t xml:space="preserve">   高</w:t>
            </w:r>
            <w:r>
              <w:rPr>
                <w:rFonts w:hint="eastAsia" w:asciiTheme="minorEastAsia" w:hAnsiTheme="minorEastAsia" w:eastAsiaTheme="minorEastAsia" w:cstheme="minorEastAsia"/>
                <w:color w:val="auto"/>
                <w:kern w:val="0"/>
                <w:sz w:val="24"/>
                <w:szCs w:val="24"/>
                <w:highlight w:val="none"/>
              </w:rPr>
              <w:t>650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bidi="ar"/>
              </w:rPr>
              <w:t xml:space="preserve">   </w:t>
            </w:r>
            <w:r>
              <w:rPr>
                <w:rFonts w:hint="eastAsia" w:asciiTheme="minorEastAsia" w:hAnsiTheme="minorEastAsia" w:eastAsiaTheme="minorEastAsia" w:cstheme="minorEastAsia"/>
                <w:color w:val="auto"/>
                <w:kern w:val="0"/>
                <w:sz w:val="24"/>
                <w:szCs w:val="24"/>
                <w:highlight w:val="none"/>
              </w:rPr>
              <w:t>（坐高）</w:t>
            </w:r>
            <w:r>
              <w:rPr>
                <w:rFonts w:hint="eastAsia" w:asciiTheme="minorEastAsia" w:hAnsiTheme="minorEastAsia" w:eastAsiaTheme="minorEastAsia" w:cstheme="minorEastAsia"/>
                <w:color w:val="auto"/>
                <w:kern w:val="0"/>
                <w:sz w:val="24"/>
                <w:szCs w:val="24"/>
                <w:highlight w:val="none"/>
                <w:lang w:val="en-US" w:eastAsia="zh-CN"/>
              </w:rPr>
              <w:t>1030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rPr>
              <w:t>（靠背高）</w:t>
            </w:r>
            <w:r>
              <w:rPr>
                <w:rFonts w:hint="eastAsia" w:asciiTheme="minorEastAsia" w:hAnsiTheme="minorEastAsia" w:eastAsiaTheme="minorEastAsia" w:cstheme="minorEastAsia"/>
                <w:color w:val="auto"/>
                <w:kern w:val="0"/>
                <w:sz w:val="24"/>
                <w:szCs w:val="24"/>
                <w:highlight w:val="none"/>
                <w:lang w:eastAsia="zh-CN"/>
              </w:rPr>
              <w:t>；</w:t>
            </w:r>
          </w:p>
          <w:p w14:paraId="64CBA52A">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rPr>
              <w:t xml:space="preserve">基材：椅架采用实木制作，实木符合：GB/T 3324-2024;GB/T </w:t>
            </w:r>
            <w:r>
              <w:rPr>
                <w:rFonts w:hint="eastAsia" w:asciiTheme="minorEastAsia" w:hAnsiTheme="minorEastAsia" w:eastAsiaTheme="minorEastAsia" w:cstheme="minorEastAsia"/>
                <w:color w:val="auto"/>
                <w:kern w:val="0"/>
                <w:sz w:val="24"/>
                <w:szCs w:val="24"/>
                <w:highlight w:val="none"/>
                <w:lang w:eastAsia="zh-CN"/>
              </w:rPr>
              <w:t>；</w:t>
            </w:r>
          </w:p>
          <w:p w14:paraId="42D3F372">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3.</w:t>
            </w:r>
            <w:r>
              <w:rPr>
                <w:rFonts w:hint="eastAsia" w:asciiTheme="minorEastAsia" w:hAnsiTheme="minorEastAsia" w:eastAsiaTheme="minorEastAsia" w:cstheme="minorEastAsia"/>
                <w:color w:val="auto"/>
                <w:kern w:val="0"/>
                <w:sz w:val="24"/>
                <w:szCs w:val="24"/>
                <w:highlight w:val="none"/>
              </w:rPr>
              <w:t>软包坐垫采用环保皮符合：GB/T 16799-2018</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19941.2-2019</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GB/T22808-2021标准</w:t>
            </w:r>
            <w:r>
              <w:rPr>
                <w:rFonts w:hint="eastAsia" w:asciiTheme="minorEastAsia" w:hAnsiTheme="minorEastAsia" w:eastAsiaTheme="minorEastAsia" w:cstheme="minorEastAsia"/>
                <w:color w:val="auto"/>
                <w:kern w:val="0"/>
                <w:sz w:val="24"/>
                <w:szCs w:val="24"/>
                <w:highlight w:val="none"/>
                <w:lang w:eastAsia="zh-CN"/>
              </w:rPr>
              <w:t>；</w:t>
            </w:r>
          </w:p>
          <w:p w14:paraId="0B155EF3">
            <w:pPr>
              <w:autoSpaceDE w:val="0"/>
              <w:autoSpaceDN w:val="0"/>
              <w:adjustRightInd w:val="0"/>
              <w:spacing w:line="360" w:lineRule="auto"/>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4.</w:t>
            </w:r>
            <w:r>
              <w:rPr>
                <w:rFonts w:hint="eastAsia" w:asciiTheme="minorEastAsia" w:hAnsiTheme="minorEastAsia" w:eastAsiaTheme="minorEastAsia" w:cstheme="minorEastAsia"/>
                <w:color w:val="auto"/>
                <w:kern w:val="0"/>
                <w:sz w:val="24"/>
                <w:szCs w:val="24"/>
                <w:highlight w:val="none"/>
              </w:rPr>
              <w:t>油漆：</w:t>
            </w:r>
            <w:r>
              <w:rPr>
                <w:rFonts w:hint="eastAsia" w:asciiTheme="minorEastAsia" w:hAnsiTheme="minorEastAsia" w:eastAsiaTheme="minorEastAsia" w:cstheme="minorEastAsia"/>
                <w:color w:val="auto"/>
                <w:kern w:val="0"/>
                <w:sz w:val="24"/>
                <w:szCs w:val="24"/>
                <w:highlight w:val="none"/>
                <w:lang w:val="en-US" w:eastAsia="zh-CN"/>
              </w:rPr>
              <w:t>面漆采用</w:t>
            </w:r>
            <w:r>
              <w:rPr>
                <w:rFonts w:hint="eastAsia" w:asciiTheme="minorEastAsia" w:hAnsiTheme="minorEastAsia" w:eastAsiaTheme="minorEastAsia" w:cstheme="minorEastAsia"/>
                <w:color w:val="auto"/>
                <w:kern w:val="0"/>
                <w:sz w:val="24"/>
                <w:szCs w:val="24"/>
                <w:highlight w:val="none"/>
              </w:rPr>
              <w:t>水性面漆</w:t>
            </w:r>
            <w:r>
              <w:rPr>
                <w:rFonts w:hint="eastAsia" w:asciiTheme="minorEastAsia" w:hAnsiTheme="minorEastAsia" w:eastAsiaTheme="minorEastAsia" w:cstheme="minorEastAsia"/>
                <w:color w:val="auto"/>
                <w:kern w:val="0"/>
                <w:sz w:val="24"/>
                <w:szCs w:val="24"/>
                <w:highlight w:val="none"/>
                <w:lang w:eastAsia="zh-CN"/>
              </w:rPr>
              <w:t>。</w:t>
            </w:r>
          </w:p>
          <w:p w14:paraId="4BEC76E8">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63942F2C">
            <w:pPr>
              <w:spacing w:line="360" w:lineRule="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rPr>
              <w:drawing>
                <wp:inline distT="0" distB="0" distL="114300" distR="114300">
                  <wp:extent cx="1945005" cy="2879725"/>
                  <wp:effectExtent l="0" t="0" r="17145" b="1587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11"/>
                          <a:stretch>
                            <a:fillRect/>
                          </a:stretch>
                        </pic:blipFill>
                        <pic:spPr>
                          <a:xfrm>
                            <a:off x="0" y="0"/>
                            <a:ext cx="1945005" cy="2879725"/>
                          </a:xfrm>
                          <a:prstGeom prst="rect">
                            <a:avLst/>
                          </a:prstGeom>
                          <a:noFill/>
                          <a:ln>
                            <a:noFill/>
                          </a:ln>
                        </pic:spPr>
                      </pic:pic>
                    </a:graphicData>
                  </a:graphic>
                </wp:inline>
              </w:drawing>
            </w:r>
          </w:p>
        </w:tc>
        <w:tc>
          <w:tcPr>
            <w:tcW w:w="890" w:type="dxa"/>
            <w:vAlign w:val="center"/>
          </w:tcPr>
          <w:p w14:paraId="1140C3BA">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12</w:t>
            </w:r>
          </w:p>
        </w:tc>
      </w:tr>
      <w:tr w14:paraId="11D87D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50FF0343">
            <w:pPr>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7</w:t>
            </w:r>
          </w:p>
        </w:tc>
        <w:tc>
          <w:tcPr>
            <w:tcW w:w="1560" w:type="dxa"/>
            <w:shd w:val="clear" w:color="auto" w:fill="auto"/>
            <w:vAlign w:val="center"/>
          </w:tcPr>
          <w:p w14:paraId="300D60CB">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图书展台</w:t>
            </w:r>
          </w:p>
        </w:tc>
        <w:tc>
          <w:tcPr>
            <w:tcW w:w="5772" w:type="dxa"/>
            <w:vAlign w:val="center"/>
          </w:tcPr>
          <w:p w14:paraId="3C5EE285">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1.</w:t>
            </w:r>
            <w:r>
              <w:rPr>
                <w:rFonts w:hint="eastAsia" w:asciiTheme="minorEastAsia" w:hAnsiTheme="minorEastAsia" w:eastAsiaTheme="minorEastAsia" w:cstheme="minorEastAsia"/>
                <w:color w:val="auto"/>
                <w:kern w:val="0"/>
                <w:sz w:val="24"/>
                <w:szCs w:val="24"/>
                <w:highlight w:val="none"/>
              </w:rPr>
              <w:t>尺寸和造型</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rPr>
              <w:t>：展台台面为长轴约1800，短轴约1100的椭圆形，展台高约750，展台厚度为常规尺寸</w:t>
            </w:r>
            <w:r>
              <w:rPr>
                <w:rFonts w:hint="eastAsia" w:asciiTheme="minorEastAsia" w:hAnsiTheme="minorEastAsia" w:eastAsiaTheme="minorEastAsia" w:cstheme="minorEastAsia"/>
                <w:color w:val="auto"/>
                <w:kern w:val="0"/>
                <w:sz w:val="24"/>
                <w:szCs w:val="24"/>
                <w:highlight w:val="none"/>
                <w:lang w:eastAsia="zh-CN"/>
              </w:rPr>
              <w:t>；</w:t>
            </w:r>
          </w:p>
          <w:p w14:paraId="10AC428B">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rPr>
              <w:t>基材</w:t>
            </w:r>
            <w:r>
              <w:rPr>
                <w:rFonts w:hint="eastAsia" w:asciiTheme="minorEastAsia" w:hAnsiTheme="minorEastAsia" w:eastAsiaTheme="minorEastAsia" w:cstheme="minorEastAsia"/>
                <w:color w:val="auto"/>
                <w:kern w:val="0"/>
                <w:sz w:val="24"/>
                <w:szCs w:val="24"/>
                <w:highlight w:val="none"/>
                <w:lang w:val="en-US" w:eastAsia="zh-CN"/>
              </w:rPr>
              <w:t>框架</w:t>
            </w:r>
            <w:r>
              <w:rPr>
                <w:rFonts w:hint="eastAsia" w:asciiTheme="minorEastAsia" w:hAnsiTheme="minorEastAsia" w:eastAsiaTheme="minorEastAsia" w:cstheme="minorEastAsia"/>
                <w:color w:val="auto"/>
                <w:kern w:val="0"/>
                <w:sz w:val="24"/>
                <w:szCs w:val="24"/>
                <w:highlight w:val="none"/>
              </w:rPr>
              <w:t>;椅架采用实木制作，实木符合：木材含水率8.0%-12.0%</w:t>
            </w:r>
            <w:r>
              <w:rPr>
                <w:rFonts w:hint="eastAsia" w:asciiTheme="minorEastAsia" w:hAnsiTheme="minorEastAsia" w:eastAsiaTheme="minorEastAsia" w:cstheme="minorEastAsia"/>
                <w:color w:val="auto"/>
                <w:kern w:val="0"/>
                <w:sz w:val="24"/>
                <w:szCs w:val="24"/>
                <w:highlight w:val="none"/>
                <w:lang w:eastAsia="zh-CN"/>
              </w:rPr>
              <w:t>；</w:t>
            </w:r>
          </w:p>
          <w:p w14:paraId="3E211E92">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3.</w:t>
            </w:r>
            <w:r>
              <w:rPr>
                <w:rFonts w:hint="eastAsia" w:asciiTheme="minorEastAsia" w:hAnsiTheme="minorEastAsia" w:eastAsiaTheme="minorEastAsia" w:cstheme="minorEastAsia"/>
                <w:color w:val="auto"/>
                <w:kern w:val="0"/>
                <w:sz w:val="24"/>
                <w:szCs w:val="24"/>
                <w:highlight w:val="none"/>
              </w:rPr>
              <w:t>油漆:</w:t>
            </w:r>
            <w:r>
              <w:rPr>
                <w:rFonts w:hint="eastAsia" w:asciiTheme="minorEastAsia" w:hAnsiTheme="minorEastAsia" w:eastAsiaTheme="minorEastAsia" w:cstheme="minorEastAsia"/>
                <w:color w:val="auto"/>
                <w:kern w:val="0"/>
                <w:sz w:val="24"/>
                <w:szCs w:val="24"/>
                <w:highlight w:val="none"/>
                <w:lang w:val="en-US" w:eastAsia="zh-CN"/>
              </w:rPr>
              <w:t>采用</w:t>
            </w:r>
            <w:r>
              <w:rPr>
                <w:rFonts w:hint="eastAsia" w:asciiTheme="minorEastAsia" w:hAnsiTheme="minorEastAsia" w:eastAsiaTheme="minorEastAsia" w:cstheme="minorEastAsia"/>
                <w:color w:val="auto"/>
                <w:kern w:val="0"/>
                <w:sz w:val="24"/>
                <w:szCs w:val="24"/>
                <w:highlight w:val="none"/>
              </w:rPr>
              <w:t>水性面漆</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V0C含量≤5g/L</w:t>
            </w:r>
            <w:r>
              <w:rPr>
                <w:rFonts w:hint="eastAsia" w:asciiTheme="minorEastAsia" w:hAnsiTheme="minorEastAsia" w:eastAsiaTheme="minorEastAsia" w:cstheme="minorEastAsia"/>
                <w:color w:val="auto"/>
                <w:kern w:val="0"/>
                <w:sz w:val="24"/>
                <w:szCs w:val="24"/>
                <w:highlight w:val="none"/>
                <w:lang w:eastAsia="zh-CN"/>
              </w:rPr>
              <w:t>；</w:t>
            </w:r>
          </w:p>
          <w:p w14:paraId="0A58DFB9">
            <w:pPr>
              <w:numPr>
                <w:ilvl w:val="0"/>
                <w:numId w:val="0"/>
              </w:numPr>
              <w:spacing w:line="360" w:lineRule="auto"/>
              <w:jc w:val="both"/>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4.沙发</w:t>
            </w:r>
            <w:r>
              <w:rPr>
                <w:rFonts w:hint="eastAsia" w:asciiTheme="minorEastAsia" w:hAnsiTheme="minorEastAsia" w:eastAsiaTheme="minorEastAsia" w:cstheme="minorEastAsia"/>
                <w:color w:val="auto"/>
                <w:kern w:val="0"/>
                <w:sz w:val="24"/>
                <w:szCs w:val="24"/>
                <w:highlight w:val="none"/>
              </w:rPr>
              <w:t>坐垫采用环保皮</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符合：GB/T 16799-2018</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19941.2-2019</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GB/T22808-2021标准</w:t>
            </w:r>
            <w:r>
              <w:rPr>
                <w:rFonts w:hint="eastAsia" w:asciiTheme="minorEastAsia" w:hAnsiTheme="minorEastAsia" w:eastAsiaTheme="minorEastAsia" w:cstheme="minorEastAsia"/>
                <w:color w:val="auto"/>
                <w:kern w:val="0"/>
                <w:sz w:val="24"/>
                <w:szCs w:val="24"/>
                <w:highlight w:val="none"/>
                <w:lang w:eastAsia="zh-CN"/>
              </w:rPr>
              <w:t>；</w:t>
            </w:r>
          </w:p>
          <w:p w14:paraId="78CEC503">
            <w:pPr>
              <w:autoSpaceDE w:val="0"/>
              <w:autoSpaceDN w:val="0"/>
              <w:adjustRightInd w:val="0"/>
              <w:spacing w:line="360" w:lineRule="auto"/>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5.</w:t>
            </w:r>
            <w:r>
              <w:rPr>
                <w:rFonts w:hint="eastAsia" w:asciiTheme="minorEastAsia" w:hAnsiTheme="minorEastAsia" w:eastAsiaTheme="minorEastAsia" w:cstheme="minorEastAsia"/>
                <w:color w:val="auto"/>
                <w:kern w:val="0"/>
                <w:sz w:val="24"/>
                <w:szCs w:val="24"/>
                <w:highlight w:val="none"/>
              </w:rPr>
              <w:t>轮子：带制动功能的静音轮子</w:t>
            </w:r>
            <w:r>
              <w:rPr>
                <w:rFonts w:hint="eastAsia" w:asciiTheme="minorEastAsia" w:hAnsiTheme="minorEastAsia" w:eastAsiaTheme="minorEastAsia" w:cstheme="minorEastAsia"/>
                <w:color w:val="auto"/>
                <w:kern w:val="0"/>
                <w:sz w:val="24"/>
                <w:szCs w:val="24"/>
                <w:highlight w:val="none"/>
                <w:lang w:eastAsia="zh-CN"/>
              </w:rPr>
              <w:t>。</w:t>
            </w:r>
          </w:p>
          <w:p w14:paraId="2D95AFD0">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7F4D9803">
            <w:pPr>
              <w:spacing w:line="360" w:lineRule="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lang w:eastAsia="zh-CN"/>
              </w:rPr>
              <w:drawing>
                <wp:inline distT="0" distB="0" distL="114300" distR="114300">
                  <wp:extent cx="3178175" cy="2951480"/>
                  <wp:effectExtent l="0" t="0" r="3175" b="1270"/>
                  <wp:docPr id="17" name="图片 17" descr="d79d7b04a5ac2ad0dca6fa52782b37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d79d7b04a5ac2ad0dca6fa52782b37c"/>
                          <pic:cNvPicPr>
                            <a:picLocks noChangeAspect="1"/>
                          </pic:cNvPicPr>
                        </pic:nvPicPr>
                        <pic:blipFill>
                          <a:blip r:embed="rId12"/>
                          <a:stretch>
                            <a:fillRect/>
                          </a:stretch>
                        </pic:blipFill>
                        <pic:spPr>
                          <a:xfrm>
                            <a:off x="0" y="0"/>
                            <a:ext cx="3178175" cy="2951480"/>
                          </a:xfrm>
                          <a:prstGeom prst="rect">
                            <a:avLst/>
                          </a:prstGeom>
                        </pic:spPr>
                      </pic:pic>
                    </a:graphicData>
                  </a:graphic>
                </wp:inline>
              </w:drawing>
            </w:r>
          </w:p>
        </w:tc>
        <w:tc>
          <w:tcPr>
            <w:tcW w:w="890" w:type="dxa"/>
            <w:vAlign w:val="center"/>
          </w:tcPr>
          <w:p w14:paraId="1D349C6F">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1</w:t>
            </w:r>
          </w:p>
        </w:tc>
      </w:tr>
      <w:tr w14:paraId="23AC2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262099CD">
            <w:pPr>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8</w:t>
            </w:r>
          </w:p>
        </w:tc>
        <w:tc>
          <w:tcPr>
            <w:tcW w:w="1560" w:type="dxa"/>
            <w:shd w:val="clear" w:color="auto" w:fill="auto"/>
            <w:vAlign w:val="center"/>
          </w:tcPr>
          <w:p w14:paraId="71F83643">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通顶书柜</w:t>
            </w:r>
          </w:p>
        </w:tc>
        <w:tc>
          <w:tcPr>
            <w:tcW w:w="5772" w:type="dxa"/>
            <w:vAlign w:val="center"/>
          </w:tcPr>
          <w:p w14:paraId="5B04CCEF">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1.</w:t>
            </w:r>
            <w:r>
              <w:rPr>
                <w:rFonts w:hint="eastAsia" w:asciiTheme="minorEastAsia" w:hAnsiTheme="minorEastAsia" w:eastAsiaTheme="minorEastAsia" w:cstheme="minorEastAsia"/>
                <w:color w:val="auto"/>
                <w:kern w:val="0"/>
                <w:sz w:val="24"/>
                <w:szCs w:val="24"/>
                <w:highlight w:val="none"/>
              </w:rPr>
              <w:t>尺寸</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val="en-US" w:eastAsia="zh-CN"/>
              </w:rPr>
              <w:t>长</w:t>
            </w:r>
            <w:r>
              <w:rPr>
                <w:rFonts w:hint="eastAsia" w:asciiTheme="minorEastAsia" w:hAnsiTheme="minorEastAsia" w:eastAsiaTheme="minorEastAsia" w:cstheme="minorEastAsia"/>
                <w:color w:val="auto"/>
                <w:kern w:val="0"/>
                <w:sz w:val="24"/>
                <w:szCs w:val="24"/>
                <w:highlight w:val="none"/>
              </w:rPr>
              <w:t>8500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rPr>
              <w:t xml:space="preserve">    宽</w:t>
            </w:r>
            <w:r>
              <w:rPr>
                <w:rFonts w:hint="eastAsia" w:asciiTheme="minorEastAsia" w:hAnsiTheme="minorEastAsia" w:eastAsiaTheme="minorEastAsia" w:cstheme="minorEastAsia"/>
                <w:color w:val="auto"/>
                <w:kern w:val="0"/>
                <w:sz w:val="24"/>
                <w:szCs w:val="24"/>
                <w:highlight w:val="none"/>
              </w:rPr>
              <w:t>300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lang w:val="en-US" w:eastAsia="zh-CN"/>
              </w:rPr>
              <w:t xml:space="preserve">    高</w:t>
            </w:r>
            <w:r>
              <w:rPr>
                <w:rFonts w:hint="eastAsia" w:asciiTheme="minorEastAsia" w:hAnsiTheme="minorEastAsia" w:eastAsiaTheme="minorEastAsia" w:cstheme="minorEastAsia"/>
                <w:color w:val="auto"/>
                <w:kern w:val="0"/>
                <w:sz w:val="24"/>
                <w:szCs w:val="24"/>
                <w:highlight w:val="none"/>
              </w:rPr>
              <w:t>3100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rPr>
              <w:t xml:space="preserve"> </w:t>
            </w:r>
            <w:r>
              <w:rPr>
                <w:rFonts w:hint="eastAsia" w:asciiTheme="minorEastAsia" w:hAnsiTheme="minorEastAsia" w:eastAsiaTheme="minorEastAsia" w:cstheme="minorEastAsia"/>
                <w:color w:val="auto"/>
                <w:kern w:val="0"/>
                <w:sz w:val="24"/>
                <w:szCs w:val="24"/>
                <w:highlight w:val="none"/>
                <w:lang w:eastAsia="zh-CN"/>
              </w:rPr>
              <w:t>；</w:t>
            </w:r>
          </w:p>
          <w:p w14:paraId="58CA79CC">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rPr>
              <w:t>板材厚度</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 xml:space="preserve">边板≥25MM、侧板≥25MM、层板≥25MM </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lang w:val="en-US" w:eastAsia="zh-CN"/>
              </w:rPr>
              <w:t>层板数量≥6层</w:t>
            </w:r>
            <w:r>
              <w:rPr>
                <w:rFonts w:hint="eastAsia" w:asciiTheme="minorEastAsia" w:hAnsiTheme="minorEastAsia" w:eastAsiaTheme="minorEastAsia" w:cstheme="minorEastAsia"/>
                <w:color w:val="auto"/>
                <w:kern w:val="0"/>
                <w:sz w:val="24"/>
                <w:szCs w:val="24"/>
                <w:highlight w:val="none"/>
                <w:lang w:eastAsia="zh-CN"/>
              </w:rPr>
              <w:t>；</w:t>
            </w:r>
          </w:p>
          <w:p w14:paraId="502F6B99">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rPr>
              <w:t>3.</w:t>
            </w:r>
            <w:r>
              <w:rPr>
                <w:rFonts w:hint="eastAsia" w:asciiTheme="minorEastAsia" w:hAnsiTheme="minorEastAsia" w:eastAsiaTheme="minorEastAsia" w:cstheme="minorEastAsia"/>
                <w:color w:val="auto"/>
                <w:kern w:val="0"/>
                <w:sz w:val="24"/>
                <w:szCs w:val="24"/>
                <w:highlight w:val="none"/>
                <w:lang w:val="en-US" w:eastAsia="zh-CN" w:bidi="ar"/>
              </w:rPr>
              <w:t>E0级实木多层板，</w:t>
            </w:r>
            <w:r>
              <w:rPr>
                <w:rFonts w:hint="eastAsia" w:asciiTheme="minorEastAsia" w:hAnsiTheme="minorEastAsia" w:eastAsiaTheme="minorEastAsia" w:cstheme="minorEastAsia"/>
                <w:color w:val="auto"/>
                <w:kern w:val="0"/>
                <w:sz w:val="24"/>
                <w:szCs w:val="24"/>
                <w:highlight w:val="none"/>
                <w:lang w:bidi="ar"/>
              </w:rPr>
              <w:t>符</w:t>
            </w:r>
            <w:r>
              <w:rPr>
                <w:rFonts w:hint="eastAsia" w:asciiTheme="minorEastAsia" w:hAnsiTheme="minorEastAsia" w:eastAsiaTheme="minorEastAsia" w:cstheme="minorEastAsia"/>
                <w:color w:val="auto"/>
                <w:kern w:val="0"/>
                <w:sz w:val="24"/>
                <w:szCs w:val="24"/>
                <w:highlight w:val="none"/>
                <w:lang w:val="en-US" w:eastAsia="zh-CN" w:bidi="ar"/>
              </w:rPr>
              <w:t>合</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GB/T17657-2022</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GB/T39600-2021</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GB/T29899-2024</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21604-2022</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42998-2023</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 18584-2024标准</w:t>
            </w:r>
            <w:r>
              <w:rPr>
                <w:rFonts w:hint="eastAsia" w:asciiTheme="minorEastAsia" w:hAnsiTheme="minorEastAsia" w:eastAsiaTheme="minorEastAsia" w:cstheme="minorEastAsia"/>
                <w:color w:val="auto"/>
                <w:kern w:val="0"/>
                <w:sz w:val="24"/>
                <w:szCs w:val="24"/>
                <w:highlight w:val="none"/>
                <w:lang w:eastAsia="zh-CN" w:bidi="ar"/>
              </w:rPr>
              <w:t>；</w:t>
            </w:r>
          </w:p>
          <w:p w14:paraId="66D1C3A3">
            <w:pPr>
              <w:autoSpaceDE w:val="0"/>
              <w:autoSpaceDN w:val="0"/>
              <w:adjustRightInd w:val="0"/>
              <w:spacing w:line="360" w:lineRule="auto"/>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bidi="ar"/>
              </w:rPr>
              <w:t>4.</w:t>
            </w:r>
            <w:r>
              <w:rPr>
                <w:rFonts w:hint="eastAsia" w:asciiTheme="minorEastAsia" w:hAnsiTheme="minorEastAsia" w:eastAsiaTheme="minorEastAsia" w:cstheme="minorEastAsia"/>
                <w:color w:val="auto"/>
                <w:kern w:val="0"/>
                <w:sz w:val="24"/>
                <w:szCs w:val="24"/>
                <w:highlight w:val="none"/>
                <w:lang w:val="en-US" w:eastAsia="zh-CN"/>
              </w:rPr>
              <w:t>胶水采用</w:t>
            </w:r>
            <w:r>
              <w:rPr>
                <w:rFonts w:hint="eastAsia" w:asciiTheme="minorEastAsia" w:hAnsiTheme="minorEastAsia" w:eastAsiaTheme="minorEastAsia" w:cstheme="minorEastAsia"/>
                <w:color w:val="auto"/>
                <w:kern w:val="0"/>
                <w:sz w:val="24"/>
                <w:szCs w:val="24"/>
                <w:highlight w:val="none"/>
              </w:rPr>
              <w:t>热熔胶</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符合：GB/T 21604-2022</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GB33372-2020</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 xml:space="preserve"> GB/T 32448-2015</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GB/T 39290-2020标准</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外观为乳白色或浅黄色固体</w:t>
            </w:r>
            <w:r>
              <w:rPr>
                <w:rFonts w:hint="eastAsia" w:asciiTheme="minorEastAsia" w:hAnsiTheme="minorEastAsia" w:eastAsiaTheme="minorEastAsia" w:cstheme="minorEastAsia"/>
                <w:color w:val="auto"/>
                <w:kern w:val="0"/>
                <w:sz w:val="24"/>
                <w:szCs w:val="24"/>
                <w:highlight w:val="none"/>
                <w:lang w:eastAsia="zh-CN"/>
              </w:rPr>
              <w:t>。</w:t>
            </w:r>
          </w:p>
          <w:p w14:paraId="59D5BEB6">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387E989A">
            <w:pPr>
              <w:spacing w:line="360" w:lineRule="auto"/>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rPr>
              <w:drawing>
                <wp:inline distT="0" distB="0" distL="0" distR="0">
                  <wp:extent cx="4438650" cy="2597150"/>
                  <wp:effectExtent l="0" t="0" r="0" b="12700"/>
                  <wp:docPr id="18"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5"/>
                          <pic:cNvPicPr>
                            <a:picLocks noChangeAspect="1"/>
                          </pic:cNvPicPr>
                        </pic:nvPicPr>
                        <pic:blipFill>
                          <a:blip r:embed="rId13"/>
                          <a:stretch>
                            <a:fillRect/>
                          </a:stretch>
                        </pic:blipFill>
                        <pic:spPr>
                          <a:xfrm>
                            <a:off x="0" y="0"/>
                            <a:ext cx="4438650" cy="2597150"/>
                          </a:xfrm>
                          <a:prstGeom prst="rect">
                            <a:avLst/>
                          </a:prstGeom>
                          <a:noFill/>
                          <a:ln w="9525">
                            <a:noFill/>
                          </a:ln>
                        </pic:spPr>
                      </pic:pic>
                    </a:graphicData>
                  </a:graphic>
                </wp:inline>
              </w:drawing>
            </w:r>
          </w:p>
        </w:tc>
        <w:tc>
          <w:tcPr>
            <w:tcW w:w="890" w:type="dxa"/>
            <w:vAlign w:val="center"/>
          </w:tcPr>
          <w:p w14:paraId="4CAB60BC">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1</w:t>
            </w:r>
          </w:p>
        </w:tc>
      </w:tr>
      <w:tr w14:paraId="21B7B1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357B944B">
            <w:pPr>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9</w:t>
            </w:r>
          </w:p>
        </w:tc>
        <w:tc>
          <w:tcPr>
            <w:tcW w:w="1560" w:type="dxa"/>
            <w:shd w:val="clear" w:color="auto" w:fill="auto"/>
            <w:vAlign w:val="center"/>
          </w:tcPr>
          <w:p w14:paraId="6DA3F84E">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休闲桌</w:t>
            </w:r>
          </w:p>
        </w:tc>
        <w:tc>
          <w:tcPr>
            <w:tcW w:w="5772" w:type="dxa"/>
            <w:vAlign w:val="center"/>
          </w:tcPr>
          <w:p w14:paraId="11E8150B">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b w:val="0"/>
                <w:bCs w:val="0"/>
                <w:color w:val="auto"/>
                <w:kern w:val="0"/>
                <w:sz w:val="24"/>
                <w:szCs w:val="24"/>
                <w:highlight w:val="none"/>
                <w:lang w:val="en-US" w:eastAsia="zh-CN"/>
              </w:rPr>
              <w:t>1.</w:t>
            </w:r>
            <w:r>
              <w:rPr>
                <w:rFonts w:hint="eastAsia" w:asciiTheme="minorEastAsia" w:hAnsiTheme="minorEastAsia" w:eastAsiaTheme="minorEastAsia" w:cstheme="minorEastAsia"/>
                <w:color w:val="auto"/>
                <w:kern w:val="0"/>
                <w:sz w:val="24"/>
                <w:szCs w:val="24"/>
                <w:highlight w:val="none"/>
              </w:rPr>
              <w:t>尺寸</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rPr>
              <w:t>：直径800</w:t>
            </w:r>
            <w:r>
              <w:rPr>
                <w:rFonts w:hint="eastAsia" w:asciiTheme="minorEastAsia" w:hAnsiTheme="minorEastAsia" w:eastAsiaTheme="minorEastAsia" w:cstheme="minorEastAsia"/>
                <w:color w:val="auto"/>
                <w:kern w:val="0"/>
                <w:sz w:val="24"/>
                <w:szCs w:val="24"/>
                <w:highlight w:val="none"/>
                <w:lang w:bidi="ar"/>
              </w:rPr>
              <w:t>mm</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val="en-US" w:eastAsia="zh-CN"/>
              </w:rPr>
              <w:t>高度750mm；</w:t>
            </w:r>
          </w:p>
          <w:p w14:paraId="56F3314A">
            <w:pPr>
              <w:numPr>
                <w:ilvl w:val="0"/>
                <w:numId w:val="0"/>
              </w:numPr>
              <w:spacing w:line="360" w:lineRule="auto"/>
              <w:ind w:leftChars="0"/>
              <w:jc w:val="left"/>
              <w:rPr>
                <w:rFonts w:hint="eastAsia" w:asciiTheme="minorEastAsia" w:hAnsiTheme="minorEastAsia" w:eastAsiaTheme="minorEastAsia" w:cstheme="minorEastAsia"/>
                <w:color w:val="auto"/>
                <w:kern w:val="0"/>
                <w:sz w:val="24"/>
                <w:szCs w:val="24"/>
                <w:highlight w:val="none"/>
                <w:lang w:eastAsia="zh-CN" w:bidi="ar"/>
              </w:rPr>
            </w:pPr>
            <w:r>
              <w:rPr>
                <w:rFonts w:hint="eastAsia" w:asciiTheme="minorEastAsia" w:hAnsiTheme="minorEastAsia" w:eastAsiaTheme="minorEastAsia" w:cstheme="minorEastAsia"/>
                <w:color w:val="auto"/>
                <w:kern w:val="0"/>
                <w:sz w:val="24"/>
                <w:szCs w:val="24"/>
                <w:highlight w:val="none"/>
                <w:lang w:val="en-US" w:eastAsia="zh-CN"/>
              </w:rPr>
              <w:t>2.</w:t>
            </w:r>
            <w:r>
              <w:rPr>
                <w:rFonts w:hint="eastAsia" w:asciiTheme="minorEastAsia" w:hAnsiTheme="minorEastAsia" w:eastAsiaTheme="minorEastAsia" w:cstheme="minorEastAsia"/>
                <w:color w:val="auto"/>
                <w:kern w:val="0"/>
                <w:sz w:val="24"/>
                <w:szCs w:val="24"/>
                <w:highlight w:val="none"/>
              </w:rPr>
              <w:t>基材;</w:t>
            </w:r>
            <w:r>
              <w:rPr>
                <w:rFonts w:hint="eastAsia" w:asciiTheme="minorEastAsia" w:hAnsiTheme="minorEastAsia" w:eastAsiaTheme="minorEastAsia" w:cstheme="minorEastAsia"/>
                <w:color w:val="auto"/>
                <w:kern w:val="0"/>
                <w:sz w:val="24"/>
                <w:szCs w:val="24"/>
                <w:highlight w:val="none"/>
                <w:lang w:val="en-US" w:eastAsia="zh-CN" w:bidi="ar"/>
              </w:rPr>
              <w:t>E0级实木多层板，</w:t>
            </w:r>
            <w:r>
              <w:rPr>
                <w:rFonts w:hint="eastAsia" w:asciiTheme="minorEastAsia" w:hAnsiTheme="minorEastAsia" w:eastAsiaTheme="minorEastAsia" w:cstheme="minorEastAsia"/>
                <w:color w:val="auto"/>
                <w:kern w:val="0"/>
                <w:sz w:val="24"/>
                <w:szCs w:val="24"/>
                <w:highlight w:val="none"/>
                <w:lang w:bidi="ar"/>
              </w:rPr>
              <w:t>符合</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GB/T17657-2022</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GB/T39600-2021</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GB/T29899-2024</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21604-2022</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GB/T 42998-2023</w:t>
            </w:r>
            <w:r>
              <w:rPr>
                <w:rFonts w:hint="eastAsia" w:asciiTheme="minorEastAsia" w:hAnsiTheme="minorEastAsia" w:eastAsiaTheme="minorEastAsia" w:cstheme="minorEastAsia"/>
                <w:color w:val="auto"/>
                <w:kern w:val="0"/>
                <w:sz w:val="24"/>
                <w:szCs w:val="24"/>
                <w:highlight w:val="none"/>
                <w:lang w:eastAsia="zh-CN" w:bidi="ar"/>
              </w:rPr>
              <w:t>、</w:t>
            </w:r>
            <w:r>
              <w:rPr>
                <w:rFonts w:hint="eastAsia" w:asciiTheme="minorEastAsia" w:hAnsiTheme="minorEastAsia" w:eastAsiaTheme="minorEastAsia" w:cstheme="minorEastAsia"/>
                <w:color w:val="auto"/>
                <w:kern w:val="0"/>
                <w:sz w:val="24"/>
                <w:szCs w:val="24"/>
                <w:highlight w:val="none"/>
                <w:lang w:bidi="ar"/>
              </w:rPr>
              <w:t>GB 18584-2024标准</w:t>
            </w:r>
            <w:r>
              <w:rPr>
                <w:rFonts w:hint="eastAsia" w:asciiTheme="minorEastAsia" w:hAnsiTheme="minorEastAsia" w:eastAsiaTheme="minorEastAsia" w:cstheme="minorEastAsia"/>
                <w:color w:val="auto"/>
                <w:kern w:val="0"/>
                <w:sz w:val="24"/>
                <w:szCs w:val="24"/>
                <w:highlight w:val="none"/>
                <w:lang w:eastAsia="zh-CN" w:bidi="ar"/>
              </w:rPr>
              <w:t>；</w:t>
            </w:r>
          </w:p>
          <w:p w14:paraId="4460F497">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eastAsia="zh-CN"/>
              </w:rPr>
            </w:pPr>
            <w:r>
              <w:rPr>
                <w:rFonts w:hint="eastAsia" w:asciiTheme="minorEastAsia" w:hAnsiTheme="minorEastAsia" w:eastAsiaTheme="minorEastAsia" w:cstheme="minorEastAsia"/>
                <w:color w:val="auto"/>
                <w:kern w:val="0"/>
                <w:sz w:val="24"/>
                <w:szCs w:val="24"/>
                <w:highlight w:val="none"/>
                <w:lang w:val="en-US" w:eastAsia="zh-CN" w:bidi="ar"/>
              </w:rPr>
              <w:t>3.</w:t>
            </w:r>
            <w:r>
              <w:rPr>
                <w:rFonts w:hint="eastAsia" w:asciiTheme="minorEastAsia" w:hAnsiTheme="minorEastAsia" w:eastAsiaTheme="minorEastAsia" w:cstheme="minorEastAsia"/>
                <w:color w:val="auto"/>
                <w:kern w:val="0"/>
                <w:sz w:val="24"/>
                <w:szCs w:val="24"/>
                <w:highlight w:val="none"/>
                <w:lang w:val="en-US" w:eastAsia="zh-CN"/>
              </w:rPr>
              <w:t>采用</w:t>
            </w:r>
            <w:r>
              <w:rPr>
                <w:rFonts w:hint="eastAsia" w:asciiTheme="minorEastAsia" w:hAnsiTheme="minorEastAsia" w:eastAsiaTheme="minorEastAsia" w:cstheme="minorEastAsia"/>
                <w:color w:val="auto"/>
                <w:kern w:val="0"/>
                <w:sz w:val="24"/>
                <w:szCs w:val="24"/>
                <w:highlight w:val="none"/>
              </w:rPr>
              <w:t>水性面漆。V0C含量≤5g/L</w:t>
            </w:r>
            <w:r>
              <w:rPr>
                <w:rFonts w:hint="eastAsia" w:asciiTheme="minorEastAsia" w:hAnsiTheme="minorEastAsia" w:eastAsiaTheme="minorEastAsia" w:cstheme="minorEastAsia"/>
                <w:color w:val="auto"/>
                <w:kern w:val="0"/>
                <w:sz w:val="24"/>
                <w:szCs w:val="24"/>
                <w:highlight w:val="none"/>
                <w:lang w:eastAsia="zh-CN"/>
              </w:rPr>
              <w:t>；</w:t>
            </w:r>
            <w:r>
              <w:rPr>
                <w:rFonts w:hint="eastAsia" w:asciiTheme="minorEastAsia" w:hAnsiTheme="minorEastAsia" w:eastAsiaTheme="minorEastAsia" w:cstheme="minorEastAsia"/>
                <w:color w:val="auto"/>
                <w:kern w:val="0"/>
                <w:sz w:val="24"/>
                <w:szCs w:val="24"/>
                <w:highlight w:val="none"/>
              </w:rPr>
              <w:t>采用五底三面工艺，油漆无颗粒、气泡、渣点、附着性强，涂膜强韧，产品表面耐磨性强，色泽效果持久平整</w:t>
            </w:r>
            <w:r>
              <w:rPr>
                <w:rFonts w:hint="eastAsia" w:asciiTheme="minorEastAsia" w:hAnsiTheme="minorEastAsia" w:eastAsiaTheme="minorEastAsia" w:cstheme="minorEastAsia"/>
                <w:color w:val="auto"/>
                <w:kern w:val="0"/>
                <w:sz w:val="24"/>
                <w:szCs w:val="24"/>
                <w:highlight w:val="none"/>
                <w:lang w:eastAsia="zh-CN"/>
              </w:rPr>
              <w:t>；</w:t>
            </w:r>
          </w:p>
          <w:p w14:paraId="581528C1">
            <w:pPr>
              <w:numPr>
                <w:ilvl w:val="0"/>
                <w:numId w:val="0"/>
              </w:numPr>
              <w:autoSpaceDE/>
              <w:autoSpaceDN/>
              <w:adjustRightInd/>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4.底座为圆柱形状，直径≥400；底座为实木弯曲板热压而成或实木，底部增加不低于15KG的配重块。</w:t>
            </w:r>
          </w:p>
          <w:p w14:paraId="2660D830">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4973FFFB">
            <w:pPr>
              <w:spacing w:line="360" w:lineRule="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rPr>
              <w:drawing>
                <wp:inline distT="0" distB="0" distL="0" distR="0">
                  <wp:extent cx="2343150" cy="2241550"/>
                  <wp:effectExtent l="0" t="0" r="0" b="6350"/>
                  <wp:docPr id="1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7"/>
                          <pic:cNvPicPr>
                            <a:picLocks noChangeAspect="1"/>
                          </pic:cNvPicPr>
                        </pic:nvPicPr>
                        <pic:blipFill>
                          <a:blip r:embed="rId14"/>
                          <a:stretch>
                            <a:fillRect/>
                          </a:stretch>
                        </pic:blipFill>
                        <pic:spPr>
                          <a:xfrm>
                            <a:off x="0" y="0"/>
                            <a:ext cx="2343150" cy="2241550"/>
                          </a:xfrm>
                          <a:prstGeom prst="rect">
                            <a:avLst/>
                          </a:prstGeom>
                          <a:noFill/>
                          <a:ln w="9525">
                            <a:noFill/>
                          </a:ln>
                        </pic:spPr>
                      </pic:pic>
                    </a:graphicData>
                  </a:graphic>
                </wp:inline>
              </w:drawing>
            </w:r>
          </w:p>
        </w:tc>
        <w:tc>
          <w:tcPr>
            <w:tcW w:w="890" w:type="dxa"/>
            <w:vAlign w:val="center"/>
          </w:tcPr>
          <w:p w14:paraId="786D2754">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8</w:t>
            </w:r>
          </w:p>
        </w:tc>
      </w:tr>
      <w:tr w14:paraId="3B1D31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465426CE">
            <w:pPr>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10</w:t>
            </w:r>
          </w:p>
        </w:tc>
        <w:tc>
          <w:tcPr>
            <w:tcW w:w="1560" w:type="dxa"/>
            <w:shd w:val="clear" w:color="auto" w:fill="auto"/>
            <w:vAlign w:val="center"/>
          </w:tcPr>
          <w:p w14:paraId="58B70185">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休闲椅</w:t>
            </w:r>
          </w:p>
        </w:tc>
        <w:tc>
          <w:tcPr>
            <w:tcW w:w="5772" w:type="dxa"/>
            <w:vAlign w:val="center"/>
          </w:tcPr>
          <w:p w14:paraId="78220826">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1.尺寸</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lang w:val="en-US" w:eastAsia="zh-CN"/>
              </w:rPr>
              <w:t>: 长530 mm  宽550mm    高800mm</w:t>
            </w:r>
          </w:p>
          <w:p w14:paraId="1995D9DF">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2.基材:椅架采用实木制作，实木符合：木材含水率8.0%-12.0%；V0C含量≤5g/L，采用五底三面工艺；</w:t>
            </w:r>
          </w:p>
          <w:p w14:paraId="2A0850F5">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3.软包坐垫采用环保皮符合：GB/T 16799-2018、GB/T 19941.2-2019、GB/T22808-2021标准；</w:t>
            </w:r>
          </w:p>
          <w:p w14:paraId="620AED04">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4.所有椅子带静音脚垫。确保能够上述休闲桌配套使用。</w:t>
            </w:r>
          </w:p>
          <w:p w14:paraId="2689A997">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00FC9A3C">
            <w:pPr>
              <w:spacing w:line="360" w:lineRule="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rPr>
              <w:drawing>
                <wp:inline distT="0" distB="0" distL="0" distR="0">
                  <wp:extent cx="1968500" cy="2584450"/>
                  <wp:effectExtent l="0" t="0" r="12700" b="6350"/>
                  <wp:docPr id="20"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8"/>
                          <pic:cNvPicPr>
                            <a:picLocks noChangeAspect="1"/>
                          </pic:cNvPicPr>
                        </pic:nvPicPr>
                        <pic:blipFill>
                          <a:blip r:embed="rId15"/>
                          <a:stretch>
                            <a:fillRect/>
                          </a:stretch>
                        </pic:blipFill>
                        <pic:spPr>
                          <a:xfrm>
                            <a:off x="0" y="0"/>
                            <a:ext cx="1968500" cy="2584450"/>
                          </a:xfrm>
                          <a:prstGeom prst="rect">
                            <a:avLst/>
                          </a:prstGeom>
                          <a:noFill/>
                          <a:ln w="9525">
                            <a:noFill/>
                          </a:ln>
                        </pic:spPr>
                      </pic:pic>
                    </a:graphicData>
                  </a:graphic>
                </wp:inline>
              </w:drawing>
            </w:r>
          </w:p>
        </w:tc>
        <w:tc>
          <w:tcPr>
            <w:tcW w:w="890" w:type="dxa"/>
            <w:vAlign w:val="center"/>
          </w:tcPr>
          <w:p w14:paraId="5A92F6E4">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32</w:t>
            </w:r>
          </w:p>
        </w:tc>
      </w:tr>
      <w:tr w14:paraId="67BB41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16CF49D2">
            <w:pPr>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11</w:t>
            </w:r>
          </w:p>
        </w:tc>
        <w:tc>
          <w:tcPr>
            <w:tcW w:w="1560" w:type="dxa"/>
            <w:shd w:val="clear" w:color="auto" w:fill="auto"/>
            <w:vAlign w:val="center"/>
          </w:tcPr>
          <w:p w14:paraId="4F4FD18A">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圆形书柜</w:t>
            </w:r>
          </w:p>
        </w:tc>
        <w:tc>
          <w:tcPr>
            <w:tcW w:w="5772" w:type="dxa"/>
            <w:vAlign w:val="center"/>
          </w:tcPr>
          <w:p w14:paraId="2E9B72F5">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1.尺寸</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lang w:val="en-US" w:eastAsia="zh-CN"/>
              </w:rPr>
              <w:t>：直径4000 mm 宽1000mm  高1100mm；</w:t>
            </w:r>
          </w:p>
          <w:p w14:paraId="5374DD8D">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2.基材，采用E0级实木多层板，板材厚度：边板</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val="en-US" w:eastAsia="zh-CN"/>
              </w:rPr>
              <w:t>25MM、侧板</w:t>
            </w:r>
            <w:r>
              <w:rPr>
                <w:rFonts w:hint="eastAsia" w:asciiTheme="minorEastAsia" w:hAnsiTheme="minorEastAsia" w:eastAsiaTheme="minorEastAsia" w:cstheme="minorEastAsia"/>
                <w:color w:val="auto"/>
                <w:kern w:val="0"/>
                <w:sz w:val="24"/>
                <w:szCs w:val="24"/>
                <w:highlight w:val="none"/>
              </w:rPr>
              <w:t>≥</w:t>
            </w:r>
            <w:r>
              <w:rPr>
                <w:rFonts w:hint="eastAsia" w:asciiTheme="minorEastAsia" w:hAnsiTheme="minorEastAsia" w:eastAsiaTheme="minorEastAsia" w:cstheme="minorEastAsia"/>
                <w:color w:val="auto"/>
                <w:kern w:val="0"/>
                <w:sz w:val="24"/>
                <w:szCs w:val="24"/>
                <w:highlight w:val="none"/>
                <w:lang w:val="en-US" w:eastAsia="zh-CN"/>
              </w:rPr>
              <w:t>25MM，颜色需为米黄色；</w:t>
            </w:r>
          </w:p>
          <w:p w14:paraId="0CB5729D">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3.E0级实木多层板，符合：GB/T17657-2022、GB/T39600-2021;GB/T29899-2024、GB/T 21604-2022、GB/T 42998-2023、GB 18584-2024标准；</w:t>
            </w:r>
          </w:p>
          <w:p w14:paraId="1D1F6DFB">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4.饰面，采用三聚氰胺纸，符合：GB/T 28995-2022、GB/T 17657-2022、GB/T 39600-2021标准；</w:t>
            </w:r>
          </w:p>
          <w:p w14:paraId="19665B70">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5.封边：封边条符合：QB/T 4463-2013、GB 18584-2024、GB/T24128-2018标准；厚度≥2.0mm，形状公差≤0.5mm；</w:t>
            </w:r>
          </w:p>
          <w:p w14:paraId="7B7BC00F">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6.封边胶符合：GB/T 21604-2022、GB33372-2020、 GB/T 39290-2020标准；外观为乳白色或浅黄色固体</w:t>
            </w:r>
          </w:p>
          <w:p w14:paraId="21A726D1">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7.海绵，高弹海绵，符合：GB/T10802-2023、QB/T 1952.1-2023、QB/T2080-2018、GB/T 31402-2023标准，软包软包坐垫采用浅灰色环保皮。</w:t>
            </w:r>
          </w:p>
          <w:p w14:paraId="12ACF210">
            <w:pPr>
              <w:pStyle w:val="2"/>
              <w:spacing w:line="360" w:lineRule="auto"/>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圆形书柜和茶几参考图片：</w:t>
            </w:r>
          </w:p>
          <w:p w14:paraId="2AEB8F04">
            <w:pPr>
              <w:spacing w:line="360" w:lineRule="auto"/>
              <w:rPr>
                <w:rFonts w:hint="eastAsia" w:asciiTheme="minorEastAsia" w:hAnsiTheme="minorEastAsia" w:eastAsiaTheme="minorEastAsia" w:cstheme="minorEastAsia"/>
                <w:color w:val="auto"/>
                <w:sz w:val="24"/>
                <w:szCs w:val="24"/>
                <w:highlight w:val="none"/>
                <w:lang w:val="en-US"/>
              </w:rPr>
            </w:pPr>
            <w:r>
              <w:rPr>
                <w:rFonts w:hint="eastAsia" w:asciiTheme="minorEastAsia" w:hAnsiTheme="minorEastAsia" w:eastAsiaTheme="minorEastAsia" w:cstheme="minorEastAsia"/>
                <w:color w:val="auto"/>
                <w:sz w:val="24"/>
                <w:szCs w:val="24"/>
                <w:highlight w:val="none"/>
              </w:rPr>
              <w:drawing>
                <wp:inline distT="0" distB="0" distL="0" distR="0">
                  <wp:extent cx="3262630" cy="2431415"/>
                  <wp:effectExtent l="0" t="0" r="13970" b="6985"/>
                  <wp:docPr id="2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3"/>
                          <pic:cNvPicPr>
                            <a:picLocks noChangeAspect="1"/>
                          </pic:cNvPicPr>
                        </pic:nvPicPr>
                        <pic:blipFill>
                          <a:blip r:embed="rId16"/>
                          <a:stretch>
                            <a:fillRect/>
                          </a:stretch>
                        </pic:blipFill>
                        <pic:spPr>
                          <a:xfrm>
                            <a:off x="0" y="0"/>
                            <a:ext cx="3262630" cy="2431415"/>
                          </a:xfrm>
                          <a:prstGeom prst="rect">
                            <a:avLst/>
                          </a:prstGeom>
                          <a:noFill/>
                          <a:ln w="9525">
                            <a:noFill/>
                          </a:ln>
                        </pic:spPr>
                      </pic:pic>
                    </a:graphicData>
                  </a:graphic>
                </wp:inline>
              </w:drawing>
            </w:r>
          </w:p>
        </w:tc>
        <w:tc>
          <w:tcPr>
            <w:tcW w:w="890" w:type="dxa"/>
            <w:vAlign w:val="center"/>
          </w:tcPr>
          <w:p w14:paraId="3F5ABEE2">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1</w:t>
            </w:r>
          </w:p>
        </w:tc>
      </w:tr>
      <w:tr w14:paraId="6CB72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58185284">
            <w:pPr>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12</w:t>
            </w:r>
          </w:p>
        </w:tc>
        <w:tc>
          <w:tcPr>
            <w:tcW w:w="1560" w:type="dxa"/>
            <w:shd w:val="clear" w:color="auto" w:fill="auto"/>
            <w:vAlign w:val="center"/>
          </w:tcPr>
          <w:p w14:paraId="16563EFE">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茶几</w:t>
            </w:r>
          </w:p>
        </w:tc>
        <w:tc>
          <w:tcPr>
            <w:tcW w:w="5772" w:type="dxa"/>
            <w:vAlign w:val="center"/>
          </w:tcPr>
          <w:p w14:paraId="67B49F6D">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1.尺寸</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lang w:val="en-US" w:eastAsia="zh-CN"/>
              </w:rPr>
              <w:t>：直径600mm，高度750mm</w:t>
            </w:r>
          </w:p>
          <w:p w14:paraId="5A6AAACC">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2.基材，采用E0级实木多层板，符合：GB/T 9846-2015、GB/T 17657-2022、GB/T 34722-2017、GB 18580-2017、GB/T 39600-2021、QB/T 4371-2012、GB 8624-2012、GB 18584-2024；</w:t>
            </w:r>
          </w:p>
          <w:p w14:paraId="5200246B">
            <w:pPr>
              <w:numPr>
                <w:ilvl w:val="0"/>
                <w:numId w:val="0"/>
              </w:numPr>
              <w:spacing w:line="360" w:lineRule="auto"/>
              <w:jc w:val="left"/>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kern w:val="0"/>
                <w:sz w:val="24"/>
                <w:szCs w:val="24"/>
                <w:highlight w:val="none"/>
                <w:lang w:val="en-US" w:eastAsia="zh-CN"/>
              </w:rPr>
              <w:t>3.茶几钢制架，符合：GB/T 10125-2021、GB/T 1741-2020《漆膜耐霉菌性测定法》、GB/T228.1-2021、GB/T3325-2024标准；</w:t>
            </w:r>
          </w:p>
        </w:tc>
        <w:tc>
          <w:tcPr>
            <w:tcW w:w="890" w:type="dxa"/>
            <w:vAlign w:val="center"/>
          </w:tcPr>
          <w:p w14:paraId="27A7720C">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2</w:t>
            </w:r>
          </w:p>
        </w:tc>
      </w:tr>
      <w:tr w14:paraId="242CE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 w:hRule="atLeast"/>
          <w:jc w:val="center"/>
        </w:trPr>
        <w:tc>
          <w:tcPr>
            <w:tcW w:w="846" w:type="dxa"/>
            <w:vAlign w:val="center"/>
          </w:tcPr>
          <w:p w14:paraId="33C4B545">
            <w:pPr>
              <w:spacing w:line="360" w:lineRule="auto"/>
              <w:jc w:val="center"/>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val="en-US" w:eastAsia="zh-CN"/>
              </w:rPr>
              <w:t>13</w:t>
            </w:r>
          </w:p>
        </w:tc>
        <w:tc>
          <w:tcPr>
            <w:tcW w:w="1560" w:type="dxa"/>
            <w:shd w:val="clear" w:color="auto" w:fill="auto"/>
            <w:vAlign w:val="center"/>
          </w:tcPr>
          <w:p w14:paraId="103AF383">
            <w:pPr>
              <w:widowControl/>
              <w:spacing w:line="360" w:lineRule="auto"/>
              <w:jc w:val="center"/>
              <w:rPr>
                <w:rFonts w:hint="eastAsia" w:asciiTheme="minorEastAsia" w:hAnsiTheme="minorEastAsia" w:eastAsiaTheme="minorEastAsia" w:cstheme="minorEastAsia"/>
                <w:color w:val="auto"/>
                <w:kern w:val="0"/>
                <w:sz w:val="24"/>
                <w:szCs w:val="24"/>
                <w:highlight w:val="none"/>
                <w:lang w:val="en-US" w:eastAsia="zh-CN" w:bidi="ar-SA"/>
              </w:rPr>
            </w:pPr>
            <w:r>
              <w:rPr>
                <w:rFonts w:hint="eastAsia" w:asciiTheme="minorEastAsia" w:hAnsiTheme="minorEastAsia" w:eastAsiaTheme="minorEastAsia" w:cstheme="minorEastAsia"/>
                <w:color w:val="auto"/>
                <w:kern w:val="0"/>
                <w:sz w:val="24"/>
                <w:szCs w:val="24"/>
                <w:highlight w:val="none"/>
                <w:lang w:val="en-US" w:eastAsia="zh-CN"/>
              </w:rPr>
              <w:t>可移动书架</w:t>
            </w:r>
          </w:p>
        </w:tc>
        <w:tc>
          <w:tcPr>
            <w:tcW w:w="5772" w:type="dxa"/>
            <w:vAlign w:val="center"/>
          </w:tcPr>
          <w:p w14:paraId="10A03CCA">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1.尺寸</w:t>
            </w:r>
            <w:r>
              <w:rPr>
                <w:rFonts w:hint="eastAsia" w:asciiTheme="minorEastAsia" w:hAnsiTheme="minorEastAsia" w:eastAsiaTheme="minorEastAsia" w:cstheme="minorEastAsia"/>
                <w:color w:val="auto"/>
                <w:kern w:val="0"/>
                <w:sz w:val="24"/>
                <w:szCs w:val="24"/>
                <w:highlight w:val="none"/>
                <w:lang w:val="en-US" w:eastAsia="zh-CN" w:bidi="ar"/>
              </w:rPr>
              <w:t>（偏差±5mm）</w:t>
            </w:r>
            <w:r>
              <w:rPr>
                <w:rFonts w:hint="eastAsia" w:asciiTheme="minorEastAsia" w:hAnsiTheme="minorEastAsia" w:eastAsiaTheme="minorEastAsia" w:cstheme="minorEastAsia"/>
                <w:color w:val="auto"/>
                <w:kern w:val="0"/>
                <w:sz w:val="24"/>
                <w:szCs w:val="24"/>
                <w:highlight w:val="none"/>
                <w:lang w:val="en-US" w:eastAsia="zh-CN"/>
              </w:rPr>
              <w:t>：长1200mm 宽250mm 高1200mm基材：书架层数≥3层；</w:t>
            </w:r>
          </w:p>
          <w:p w14:paraId="2153E771">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2.基材：E0级实木多层板；符合：GB/T17657-2022、GB/T39600-2021、GB/T29899-2024、GB/T 21604-2022、GB/T 42998-2023、GB 18584-2024标准</w:t>
            </w:r>
          </w:p>
          <w:p w14:paraId="1E6CFB1A">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3.胶水采用热熔胶，符合：GB/T 21604-2022、GB33372-2020、 GB/T 32448-2015、GB/T 39290-2020标准，外观为乳白色或浅黄色固体。</w:t>
            </w:r>
          </w:p>
          <w:p w14:paraId="0E337BFF">
            <w:pPr>
              <w:numPr>
                <w:ilvl w:val="0"/>
                <w:numId w:val="0"/>
              </w:numPr>
              <w:spacing w:line="360" w:lineRule="auto"/>
              <w:jc w:val="left"/>
              <w:rPr>
                <w:rFonts w:hint="eastAsia" w:asciiTheme="minorEastAsia" w:hAnsiTheme="minorEastAsia" w:eastAsiaTheme="minorEastAsia" w:cstheme="minorEastAsia"/>
                <w:color w:val="auto"/>
                <w:kern w:val="0"/>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参考图片：</w:t>
            </w:r>
          </w:p>
          <w:p w14:paraId="19B0CA2A">
            <w:pPr>
              <w:numPr>
                <w:ilvl w:val="0"/>
                <w:numId w:val="0"/>
              </w:numPr>
              <w:spacing w:line="360" w:lineRule="auto"/>
              <w:jc w:val="left"/>
              <w:rPr>
                <w:rFonts w:hint="eastAsia" w:asciiTheme="minorEastAsia" w:hAnsiTheme="minorEastAsia" w:eastAsiaTheme="minorEastAsia" w:cstheme="minorEastAsia"/>
                <w:i/>
                <w:color w:val="auto"/>
                <w:sz w:val="24"/>
                <w:szCs w:val="24"/>
                <w:highlight w:val="none"/>
              </w:rPr>
            </w:pPr>
            <w:r>
              <w:rPr>
                <w:rFonts w:hint="eastAsia" w:asciiTheme="minorEastAsia" w:hAnsiTheme="minorEastAsia" w:eastAsiaTheme="minorEastAsia" w:cstheme="minorEastAsia"/>
                <w:color w:val="auto"/>
                <w:sz w:val="24"/>
                <w:szCs w:val="24"/>
                <w:highlight w:val="none"/>
              </w:rPr>
              <w:drawing>
                <wp:inline distT="0" distB="0" distL="0" distR="0">
                  <wp:extent cx="3115310" cy="2362200"/>
                  <wp:effectExtent l="0" t="0" r="8890" b="0"/>
                  <wp:docPr id="1449501022"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501022" name="图片 6"/>
                          <pic:cNvPicPr>
                            <a:picLocks noChangeAspect="1"/>
                          </pic:cNvPicPr>
                        </pic:nvPicPr>
                        <pic:blipFill>
                          <a:blip r:embed="rId17"/>
                          <a:stretch>
                            <a:fillRect/>
                          </a:stretch>
                        </pic:blipFill>
                        <pic:spPr>
                          <a:xfrm>
                            <a:off x="0" y="0"/>
                            <a:ext cx="3115310" cy="2362200"/>
                          </a:xfrm>
                          <a:prstGeom prst="rect">
                            <a:avLst/>
                          </a:prstGeom>
                          <a:noFill/>
                          <a:ln w="9525">
                            <a:noFill/>
                          </a:ln>
                        </pic:spPr>
                      </pic:pic>
                    </a:graphicData>
                  </a:graphic>
                </wp:inline>
              </w:drawing>
            </w:r>
          </w:p>
        </w:tc>
        <w:tc>
          <w:tcPr>
            <w:tcW w:w="890" w:type="dxa"/>
            <w:vAlign w:val="center"/>
          </w:tcPr>
          <w:p w14:paraId="39D31956">
            <w:pPr>
              <w:autoSpaceDE w:val="0"/>
              <w:autoSpaceDN w:val="0"/>
              <w:adjustRightInd w:val="0"/>
              <w:spacing w:line="360" w:lineRule="auto"/>
              <w:jc w:val="left"/>
              <w:rPr>
                <w:rFonts w:hint="eastAsia" w:asciiTheme="minorEastAsia" w:hAnsiTheme="minorEastAsia" w:eastAsiaTheme="minorEastAsia" w:cstheme="minorEastAsia"/>
                <w:i/>
                <w:color w:val="auto"/>
                <w:sz w:val="24"/>
                <w:szCs w:val="24"/>
                <w:highlight w:val="none"/>
                <w:lang w:val="en-US" w:eastAsia="zh-CN"/>
              </w:rPr>
            </w:pPr>
            <w:r>
              <w:rPr>
                <w:rFonts w:hint="eastAsia" w:asciiTheme="minorEastAsia" w:hAnsiTheme="minorEastAsia" w:eastAsiaTheme="minorEastAsia" w:cstheme="minorEastAsia"/>
                <w:color w:val="auto"/>
                <w:kern w:val="0"/>
                <w:sz w:val="24"/>
                <w:szCs w:val="24"/>
                <w:highlight w:val="none"/>
                <w:lang w:val="en-US" w:eastAsia="zh-CN"/>
              </w:rPr>
              <w:t>3</w:t>
            </w:r>
          </w:p>
        </w:tc>
      </w:tr>
    </w:tbl>
    <w:p w14:paraId="2F363958">
      <w:pPr>
        <w:pStyle w:val="8"/>
        <w:rPr>
          <w:rFonts w:hint="eastAsia"/>
          <w:color w:val="auto"/>
          <w:highlight w:val="none"/>
        </w:rPr>
      </w:pPr>
    </w:p>
    <w:p w14:paraId="682463CC">
      <w:pPr>
        <w:spacing w:line="360" w:lineRule="auto"/>
        <w:rPr>
          <w:rFonts w:hint="eastAsia" w:ascii="宋体" w:hAnsi="宋体"/>
          <w:b/>
          <w:color w:val="auto"/>
          <w:sz w:val="24"/>
          <w:highlight w:val="none"/>
        </w:rPr>
      </w:pPr>
      <w:r>
        <w:rPr>
          <w:rFonts w:hint="eastAsia" w:ascii="宋体" w:hAnsi="宋体"/>
          <w:b/>
          <w:color w:val="auto"/>
          <w:sz w:val="24"/>
          <w:highlight w:val="none"/>
        </w:rPr>
        <w:t>以上“参数规格”为实质性要求，必须完全满足或优于，否则响应无效。</w:t>
      </w:r>
    </w:p>
    <w:p w14:paraId="029ABB45">
      <w:pPr>
        <w:spacing w:line="360" w:lineRule="auto"/>
        <w:rPr>
          <w:rFonts w:hint="eastAsia" w:ascii="宋体" w:hAnsi="宋体"/>
          <w:b/>
          <w:color w:val="auto"/>
          <w:sz w:val="24"/>
          <w:highlight w:val="none"/>
        </w:rPr>
      </w:pPr>
    </w:p>
    <w:p w14:paraId="3D29E32E">
      <w:pPr>
        <w:numPr>
          <w:ilvl w:val="0"/>
          <w:numId w:val="1"/>
        </w:num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商务条款</w:t>
      </w:r>
    </w:p>
    <w:p w14:paraId="75DD9282">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1、交货期：合同签订后30个日历日内供货并完成开箱验收，开箱验收合格后 14 个日历日内完成安装、调试、培训工作,成交供应商应保证在要求时间内完成全部货物的供货、安装、调试试运行和培训工作,符合国家标准、行业规范和合同等相关文件的要求。</w:t>
      </w:r>
    </w:p>
    <w:p w14:paraId="26423C66">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2、交货地点：南昌航空大学</w:t>
      </w:r>
      <w:r>
        <w:rPr>
          <w:rFonts w:hint="eastAsia" w:ascii="宋体" w:hAnsi="宋体" w:cs="宋体"/>
          <w:color w:val="auto"/>
          <w:sz w:val="24"/>
          <w:szCs w:val="24"/>
          <w:highlight w:val="none"/>
          <w:lang w:val="en-US" w:eastAsia="zh-CN"/>
        </w:rPr>
        <w:t>上海路校区</w:t>
      </w:r>
      <w:r>
        <w:rPr>
          <w:rFonts w:hint="eastAsia" w:ascii="宋体" w:hAnsi="宋体" w:cs="宋体"/>
          <w:color w:val="auto"/>
          <w:sz w:val="24"/>
          <w:szCs w:val="24"/>
          <w:highlight w:val="none"/>
        </w:rPr>
        <w:t>（江西省南昌市青山湖区上海路173号）。</w:t>
      </w:r>
    </w:p>
    <w:p w14:paraId="3E506A84">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3、履约保证金：（1）履约保证金为合同总金额的</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rPr>
        <w:t>%计，成交供应商接到领取成交通知书的通知后，在合同签订期(15个日历日)之内及时以银行转账、现金支付形式(南昌航空大学，工行南昌市青山湖支行，账号:1502209009026408036)，或保险、支票、汇票或者金融机构、担保机构出具的保函(含电子保函)等非现金形式向采购人提交履为保证金;逾期未交视为放弃中标。</w:t>
      </w:r>
    </w:p>
    <w:p w14:paraId="03725583">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（2）</w:t>
      </w:r>
      <w:r>
        <w:rPr>
          <w:rFonts w:hint="eastAsia" w:ascii="宋体" w:hAnsi="宋体" w:eastAsia="宋体" w:cs="宋体"/>
          <w:color w:val="auto"/>
          <w:kern w:val="0"/>
          <w:sz w:val="24"/>
          <w:szCs w:val="24"/>
          <w:highlight w:val="none"/>
        </w:rPr>
        <w:t>上述履约保证金自签订本合同之日起到本合同项目最终验收合格之日止为履约保证金，自本合同项目完成并最终验收合格之后，采购人在30日内退还中标人，不计息(采购人如逾期退还履约保证金，除应当退还保证金本金外，还应当按中国人民银行同期存款基准利率支付超期资金占用费，但因中标人原因造成除外)</w:t>
      </w:r>
      <w:r>
        <w:rPr>
          <w:rFonts w:hint="eastAsia" w:ascii="宋体" w:hAnsi="宋体" w:cs="宋体"/>
          <w:color w:val="auto"/>
          <w:sz w:val="24"/>
          <w:szCs w:val="24"/>
          <w:highlight w:val="none"/>
        </w:rPr>
        <w:t>。</w:t>
      </w:r>
    </w:p>
    <w:p w14:paraId="546FD361">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（3）</w:t>
      </w:r>
      <w:r>
        <w:rPr>
          <w:rFonts w:hint="eastAsia" w:ascii="宋体" w:hAnsi="宋体" w:eastAsia="宋体" w:cs="宋体"/>
          <w:color w:val="auto"/>
          <w:kern w:val="0"/>
          <w:sz w:val="24"/>
          <w:szCs w:val="24"/>
          <w:highlight w:val="none"/>
        </w:rPr>
        <w:t>履约保证金不子退还情形:签订合同后，如中标人不按双方签订的合同规定履约，则没收其全部履约保证金，履约保证金不足以赔偿损失的，按实际损失赔偿</w:t>
      </w:r>
      <w:r>
        <w:rPr>
          <w:rFonts w:hint="eastAsia" w:ascii="宋体" w:hAnsi="宋体" w:cs="宋体"/>
          <w:color w:val="auto"/>
          <w:sz w:val="24"/>
          <w:szCs w:val="24"/>
          <w:highlight w:val="none"/>
        </w:rPr>
        <w:t>。</w:t>
      </w:r>
    </w:p>
    <w:p w14:paraId="368CCBDE">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4、付款方式：成交供应商将所有货物按时交货安装调试并初次验收合格后，成交供应商提供合法的增值税专用发票及发票抵扣联原件、本合同原件和本项目政府采购验收单，采购人一次性向成交供应商付清合同款项的100%。（自收到成交供应商提供完整的付款材料之日起，采购人在10个工作日之内完成项目的付款）。</w:t>
      </w:r>
    </w:p>
    <w:p w14:paraId="20D52AFE">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5、质量保证和售后服务要求。</w:t>
      </w:r>
    </w:p>
    <w:p w14:paraId="3704CBF4">
      <w:pPr>
        <w:adjustRightInd w:val="0"/>
        <w:spacing w:line="360" w:lineRule="auto"/>
        <w:rPr>
          <w:rFonts w:hint="eastAsia" w:ascii="宋体" w:hAnsi="宋体" w:cs="宋体"/>
          <w:color w:val="auto"/>
          <w:sz w:val="24"/>
          <w:szCs w:val="24"/>
          <w:highlight w:val="none"/>
          <w:lang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1</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rPr>
        <w:t>质量保证期：自本项目最终验收合格之日起不少于</w:t>
      </w:r>
      <w:r>
        <w:rPr>
          <w:rFonts w:hint="eastAsia" w:ascii="宋体" w:hAnsi="宋体" w:cs="宋体"/>
          <w:color w:val="auto"/>
          <w:sz w:val="24"/>
          <w:szCs w:val="24"/>
          <w:highlight w:val="none"/>
          <w:lang w:val="en-US" w:eastAsia="zh-CN"/>
        </w:rPr>
        <w:t>3</w:t>
      </w:r>
      <w:r>
        <w:rPr>
          <w:rFonts w:hint="eastAsia" w:ascii="宋体" w:hAnsi="宋体" w:cs="宋体"/>
          <w:color w:val="auto"/>
          <w:sz w:val="24"/>
          <w:szCs w:val="24"/>
          <w:highlight w:val="none"/>
        </w:rPr>
        <w:t>年的免费质量保证期（费用包含在本项目响应报价中）</w:t>
      </w:r>
      <w:r>
        <w:rPr>
          <w:rFonts w:hint="eastAsia" w:ascii="宋体" w:hAnsi="宋体" w:cs="宋体"/>
          <w:color w:val="auto"/>
          <w:sz w:val="24"/>
          <w:szCs w:val="24"/>
          <w:highlight w:val="none"/>
          <w:lang w:eastAsia="zh-CN"/>
        </w:rPr>
        <w:t>。</w:t>
      </w:r>
    </w:p>
    <w:p w14:paraId="042B75B7">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约定服务期自本项目所有产品安装调试并初次验收合格之日起算，在约定服务期内，如果设备发生故障，成交供应商要调查故障原因并免费修复直至满足设备性能的要求，或者更换整机或部分有缺陷的组件和材料；约定服务期内成交供应商应对由于设计、工艺或材料的缺陷而发生的任何不足和故障负责任。约定服务期内提供及时的升级服务</w:t>
      </w:r>
      <w:r>
        <w:rPr>
          <w:rFonts w:hint="eastAsia" w:ascii="宋体" w:hAnsi="宋体" w:cs="宋体"/>
          <w:color w:val="auto"/>
          <w:sz w:val="24"/>
          <w:szCs w:val="24"/>
          <w:highlight w:val="none"/>
        </w:rPr>
        <w:t>。</w:t>
      </w:r>
    </w:p>
    <w:p w14:paraId="75C831E1">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）约定服务期期满后，成交供应商继续为采购人提供专业维修及软件升级服务，由此发生的相关服务和备品备件费用由采购人承担</w:t>
      </w:r>
      <w:r>
        <w:rPr>
          <w:rFonts w:hint="eastAsia" w:ascii="宋体" w:hAnsi="宋体" w:cs="宋体"/>
          <w:color w:val="auto"/>
          <w:sz w:val="24"/>
          <w:szCs w:val="24"/>
          <w:highlight w:val="none"/>
        </w:rPr>
        <w:t>。</w:t>
      </w:r>
    </w:p>
    <w:p w14:paraId="1ABFBBA5">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）提供7×24小时售后服务热线；在接到采购人通知维修后服务随时响应。若运用通讯工具不能解决问题，必须在48小时之内到达现场予以解决</w:t>
      </w:r>
      <w:r>
        <w:rPr>
          <w:rFonts w:hint="eastAsia" w:ascii="宋体" w:hAnsi="宋体" w:cs="宋体"/>
          <w:color w:val="auto"/>
          <w:sz w:val="24"/>
          <w:szCs w:val="24"/>
          <w:highlight w:val="none"/>
        </w:rPr>
        <w:t>。</w:t>
      </w:r>
    </w:p>
    <w:p w14:paraId="27AD505E">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5</w:t>
      </w:r>
      <w:r>
        <w:rPr>
          <w:rFonts w:hint="eastAsia" w:ascii="宋体" w:hAnsi="宋体" w:cs="宋体"/>
          <w:color w:val="auto"/>
          <w:sz w:val="24"/>
          <w:szCs w:val="24"/>
          <w:highlight w:val="none"/>
          <w:lang w:eastAsia="zh-CN"/>
        </w:rPr>
        <w:t>）成交供应商的其它售后服务承诺属于本合同的一部分，如果有不同约定的，以服务水平和层级更高的为准。</w:t>
      </w:r>
    </w:p>
    <w:p w14:paraId="1D3F5E4A">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6、安装调试及货物验收</w:t>
      </w:r>
    </w:p>
    <w:p w14:paraId="083C59AF">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成交供应商应按合同约定按时交货并通知采购人对货物开箱时进行开箱验收</w:t>
      </w:r>
      <w:r>
        <w:rPr>
          <w:rFonts w:hint="eastAsia" w:ascii="宋体" w:hAnsi="宋体" w:cs="宋体"/>
          <w:color w:val="auto"/>
          <w:sz w:val="24"/>
          <w:szCs w:val="24"/>
          <w:highlight w:val="none"/>
        </w:rPr>
        <w:t>。</w:t>
      </w:r>
    </w:p>
    <w:p w14:paraId="3B6C1F02">
      <w:pPr>
        <w:adjustRightInd w:val="0"/>
        <w:spacing w:line="360" w:lineRule="auto"/>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成交供应商应根据合同、招（投）标文件等相关资料的要求完成项目产品的安装、调试，同时成交供应商需对采购人用户单位人员进行技术和操作的免费培训（培训地点为采购人所在地）。仪器设备安装调试后，正常运行试用时间不少于30日方可进行初次验收。试运行结束后，成交供应商提交完整的初次验收材料，由采购人组织人员按合同、招（投）标文件等相关资料的约定对此项目进行初次验收，验收地点由采购人指定。（自收到成交供应商提交完整的初次验收材料之日起，采购人在20日之内完成项目的初次验收）</w:t>
      </w:r>
      <w:r>
        <w:rPr>
          <w:rFonts w:hint="eastAsia" w:ascii="宋体" w:hAnsi="宋体" w:eastAsia="宋体" w:cs="宋体"/>
          <w:color w:val="auto"/>
          <w:kern w:val="0"/>
          <w:sz w:val="24"/>
          <w:szCs w:val="24"/>
          <w:highlight w:val="none"/>
          <w:lang w:eastAsia="zh-CN"/>
        </w:rPr>
        <w:t>。</w:t>
      </w:r>
    </w:p>
    <w:p w14:paraId="12406937">
      <w:pPr>
        <w:adjustRightInd w:val="0"/>
        <w:spacing w:line="360" w:lineRule="auto"/>
        <w:rPr>
          <w:rFonts w:hint="eastAsia" w:ascii="宋体" w:hAnsi="宋体" w:cs="宋体"/>
          <w:color w:val="auto"/>
          <w:sz w:val="24"/>
          <w:szCs w:val="24"/>
          <w:highlight w:val="none"/>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kern w:val="0"/>
          <w:sz w:val="24"/>
          <w:szCs w:val="24"/>
          <w:highlight w:val="none"/>
        </w:rPr>
        <w:t>成交供应商应根据合同、招（投）标文件等相关资料的要求在项目质量保修期内对其所供产品及服务提供优质的售后保障。项目质量保修期结束后，成交供应商通知采购人对此项目进行最终验收。售后服务无瑕疵的情况下，并提交完整的验收材料后，采购人在10日之内对此项目进行最终验收</w:t>
      </w:r>
      <w:r>
        <w:rPr>
          <w:rFonts w:hint="eastAsia" w:ascii="宋体" w:hAnsi="宋体" w:cs="宋体"/>
          <w:color w:val="auto"/>
          <w:sz w:val="24"/>
          <w:szCs w:val="24"/>
          <w:highlight w:val="none"/>
        </w:rPr>
        <w:t>。</w:t>
      </w:r>
    </w:p>
    <w:p w14:paraId="4D12CCC4">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7、验收依据：《产品检验通用技术要求》和相关的中国国家标准；</w:t>
      </w:r>
    </w:p>
    <w:p w14:paraId="7D38FE13">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8、采购人有权邀请第三方人员或检测机构，对货物进行验收或检测。检测费用、验收小组评审费及其他相关费用由成交供应商独立承担。如货物未能通过检测验收，成交供应商应按照采购人的要求更换相应货物直至达标，并承担由此产生的一切费用和损失。</w:t>
      </w:r>
    </w:p>
    <w:p w14:paraId="359CAE06">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9、知识产权</w:t>
      </w:r>
    </w:p>
    <w:p w14:paraId="792BFE1D">
      <w:pPr>
        <w:adjustRightInd w:val="0"/>
        <w:spacing w:line="360" w:lineRule="auto"/>
        <w:rPr>
          <w:rFonts w:hint="eastAsia" w:ascii="宋体" w:hAnsi="宋体" w:cs="宋体"/>
          <w:color w:val="auto"/>
          <w:sz w:val="24"/>
          <w:szCs w:val="24"/>
          <w:highlight w:val="none"/>
        </w:rPr>
      </w:pPr>
      <w:r>
        <w:rPr>
          <w:rFonts w:hint="eastAsia" w:ascii="宋体" w:hAnsi="宋体" w:cs="宋体"/>
          <w:color w:val="auto"/>
          <w:sz w:val="24"/>
          <w:szCs w:val="24"/>
          <w:highlight w:val="none"/>
        </w:rPr>
        <w:t>成交供应商须保障采购人在使用该产品及所属服务或其任何一部分时不受到第三方关于侵犯专利权、商标权或工业设计权等知识产权的指控。如果任何第三方提出侵权指控与采购人无关，</w:t>
      </w:r>
      <w:r>
        <w:rPr>
          <w:rFonts w:hint="eastAsia" w:ascii="宋体" w:hAnsi="宋体" w:cs="宋体"/>
          <w:color w:val="auto"/>
          <w:sz w:val="24"/>
          <w:szCs w:val="24"/>
          <w:highlight w:val="none"/>
          <w:lang w:eastAsia="zh-CN"/>
        </w:rPr>
        <w:t>供应商</w:t>
      </w:r>
      <w:r>
        <w:rPr>
          <w:rFonts w:hint="eastAsia" w:ascii="宋体" w:hAnsi="宋体" w:cs="宋体"/>
          <w:color w:val="auto"/>
          <w:sz w:val="24"/>
          <w:szCs w:val="24"/>
          <w:highlight w:val="none"/>
        </w:rPr>
        <w:t>须与第三方交涉并承担可能发生的责任与一切费用。如采购人因此而遭致损失的，成交供应商应赔偿该损失。</w:t>
      </w:r>
    </w:p>
    <w:p w14:paraId="1894C788">
      <w:pPr>
        <w:pStyle w:val="8"/>
        <w:numPr>
          <w:ilvl w:val="0"/>
          <w:numId w:val="0"/>
        </w:numPr>
        <w:rPr>
          <w:rFonts w:hint="eastAsia"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10、履约风险及措施</w:t>
      </w:r>
    </w:p>
    <w:p w14:paraId="49DEBB7C">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（1）供应商</w:t>
      </w:r>
      <w:r>
        <w:rPr>
          <w:rFonts w:hint="default" w:ascii="宋体" w:hAnsi="宋体" w:eastAsia="宋体" w:cs="宋体"/>
          <w:color w:val="auto"/>
          <w:sz w:val="24"/>
          <w:szCs w:val="24"/>
          <w:highlight w:val="none"/>
          <w:lang w:val="en-US" w:eastAsia="zh-CN"/>
        </w:rPr>
        <w:t>未能按照本合同约定交货的，则每逾期一天，按照合同总价的</w:t>
      </w:r>
      <w:r>
        <w:rPr>
          <w:rFonts w:hint="eastAsia" w:ascii="宋体" w:hAnsi="宋体" w:cs="宋体"/>
          <w:color w:val="auto"/>
          <w:sz w:val="24"/>
          <w:szCs w:val="24"/>
          <w:highlight w:val="none"/>
          <w:lang w:val="en-US" w:eastAsia="zh-CN"/>
        </w:rPr>
        <w:t>5</w:t>
      </w:r>
      <w:r>
        <w:rPr>
          <w:rFonts w:hint="default" w:ascii="宋体" w:hAnsi="宋体" w:eastAsia="宋体" w:cs="宋体"/>
          <w:color w:val="auto"/>
          <w:sz w:val="24"/>
          <w:szCs w:val="24"/>
          <w:highlight w:val="none"/>
          <w:lang w:val="en-US" w:eastAsia="zh-CN"/>
        </w:rPr>
        <w:t>‰向</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支付违约金，最高延期赔偿金不超过本合同总价款的20%。</w:t>
      </w:r>
    </w:p>
    <w:p w14:paraId="58C7EF37">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（2）供应商</w:t>
      </w:r>
      <w:r>
        <w:rPr>
          <w:rFonts w:hint="default" w:ascii="宋体" w:hAnsi="宋体" w:eastAsia="宋体" w:cs="宋体"/>
          <w:color w:val="auto"/>
          <w:sz w:val="24"/>
          <w:szCs w:val="24"/>
          <w:highlight w:val="none"/>
          <w:lang w:val="en-US" w:eastAsia="zh-CN"/>
        </w:rPr>
        <w:t>提供的服务或产品未达到本合同约定的技术、质量及其他任何要求，且经验收不合格的或</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明确告知</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无法交付合同约定产品或提供合同约定的服务的，</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应当承担违约责任，并应按本合同总金额的30%向</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支付违约金。</w:t>
      </w:r>
    </w:p>
    <w:p w14:paraId="093F2798">
      <w:pPr>
        <w:adjustRightInd w:val="0"/>
        <w:spacing w:line="360" w:lineRule="auto"/>
        <w:rPr>
          <w:rFonts w:hint="default"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（3）供应商</w:t>
      </w:r>
      <w:r>
        <w:rPr>
          <w:rFonts w:hint="default" w:ascii="宋体" w:hAnsi="宋体" w:eastAsia="宋体" w:cs="宋体"/>
          <w:color w:val="auto"/>
          <w:sz w:val="24"/>
          <w:szCs w:val="24"/>
          <w:highlight w:val="none"/>
          <w:lang w:val="en-US" w:eastAsia="zh-CN"/>
        </w:rPr>
        <w:t>未能按照本合同约定按期交货的，则逾期超过 1 个月，或虽未逾期但经两次申请仍然未能通过验收合格的，</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可单方通知</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解除合同，解除合同通知送达</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当日合同立即终止。</w:t>
      </w:r>
      <w:r>
        <w:rPr>
          <w:rFonts w:hint="eastAsia" w:ascii="宋体" w:hAnsi="宋体" w:eastAsia="宋体" w:cs="宋体"/>
          <w:color w:val="auto"/>
          <w:sz w:val="24"/>
          <w:szCs w:val="24"/>
          <w:highlight w:val="none"/>
          <w:lang w:val="en-US" w:eastAsia="zh-CN"/>
        </w:rPr>
        <w:t>采购人</w:t>
      </w:r>
      <w:r>
        <w:rPr>
          <w:rFonts w:hint="default" w:ascii="宋体" w:hAnsi="宋体" w:eastAsia="宋体" w:cs="宋体"/>
          <w:color w:val="auto"/>
          <w:sz w:val="24"/>
          <w:szCs w:val="24"/>
          <w:highlight w:val="none"/>
          <w:lang w:val="en-US" w:eastAsia="zh-CN"/>
        </w:rPr>
        <w:t>解除合同通知发送至</w:t>
      </w:r>
      <w:r>
        <w:rPr>
          <w:rFonts w:hint="eastAsia" w:ascii="宋体" w:hAnsi="宋体" w:eastAsia="宋体" w:cs="宋体"/>
          <w:color w:val="auto"/>
          <w:sz w:val="24"/>
          <w:szCs w:val="24"/>
          <w:highlight w:val="none"/>
          <w:lang w:val="en-US" w:eastAsia="zh-CN"/>
        </w:rPr>
        <w:t>供应商</w:t>
      </w:r>
      <w:r>
        <w:rPr>
          <w:rFonts w:hint="default" w:ascii="宋体" w:hAnsi="宋体" w:eastAsia="宋体" w:cs="宋体"/>
          <w:color w:val="auto"/>
          <w:sz w:val="24"/>
          <w:szCs w:val="24"/>
          <w:highlight w:val="none"/>
          <w:lang w:val="en-US" w:eastAsia="zh-CN"/>
        </w:rPr>
        <w:t>指定电子邮箱系统即视为已送达。</w:t>
      </w:r>
    </w:p>
    <w:p w14:paraId="50AFDF4E">
      <w:pPr>
        <w:pStyle w:val="8"/>
        <w:spacing w:line="360" w:lineRule="auto"/>
        <w:rPr>
          <w:rFonts w:hint="eastAsia" w:ascii="宋体" w:hAnsi="宋体" w:cs="宋体"/>
          <w:b/>
          <w:bCs/>
          <w:color w:val="auto"/>
          <w:sz w:val="24"/>
          <w:szCs w:val="24"/>
          <w:highlight w:val="none"/>
        </w:rPr>
      </w:pPr>
      <w:r>
        <w:rPr>
          <w:rFonts w:hint="eastAsia" w:ascii="宋体" w:hAnsi="宋体" w:cs="宋体"/>
          <w:b/>
          <w:bCs/>
          <w:color w:val="auto"/>
          <w:sz w:val="24"/>
          <w:szCs w:val="24"/>
          <w:highlight w:val="none"/>
        </w:rPr>
        <w:t>注：以上商务要求均须完全满足，否则视为无效响应。</w:t>
      </w:r>
    </w:p>
    <w:p w14:paraId="7BA2E09C">
      <w:bookmarkStart w:id="0" w:name="_GoBack"/>
      <w:bookmarkEnd w:id="0"/>
    </w:p>
    <w:sectPr>
      <w:footerReference r:id="rId3" w:type="default"/>
      <w:pgSz w:w="11906" w:h="16838"/>
      <w:pgMar w:top="1440" w:right="1797" w:bottom="1440" w:left="1797"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83CE3">
    <w:pPr>
      <w:pStyle w:val="4"/>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54</w:t>
    </w:r>
    <w:r>
      <w:rPr>
        <w:rStyle w:val="7"/>
      </w:rPr>
      <w:fldChar w:fldCharType="end"/>
    </w:r>
  </w:p>
  <w:p w14:paraId="0DAC5F18">
    <w:pPr>
      <w:pStyle w:val="4"/>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0C7BF8E"/>
    <w:multiLevelType w:val="singleLevel"/>
    <w:tmpl w:val="E0C7BF8E"/>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092DDC"/>
    <w:rsid w:val="14092DDC"/>
    <w:rsid w:val="275C5DD5"/>
    <w:rsid w:val="318930A6"/>
    <w:rsid w:val="3C1F03B8"/>
    <w:rsid w:val="5A2D03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Plain Text"/>
    <w:basedOn w:val="1"/>
    <w:next w:val="1"/>
    <w:qFormat/>
    <w:uiPriority w:val="0"/>
    <w:pPr>
      <w:spacing w:line="360" w:lineRule="auto"/>
    </w:pPr>
    <w:rPr>
      <w:rFonts w:ascii="楷体_GB2312" w:hAnsi="Courier New" w:eastAsia="楷体_GB2312"/>
      <w:sz w:val="24"/>
    </w:rPr>
  </w:style>
  <w:style w:type="paragraph" w:styleId="4">
    <w:name w:val="footer"/>
    <w:basedOn w:val="1"/>
    <w:qFormat/>
    <w:uiPriority w:val="0"/>
    <w:pPr>
      <w:tabs>
        <w:tab w:val="center" w:pos="4153"/>
        <w:tab w:val="right" w:pos="8306"/>
      </w:tabs>
      <w:snapToGrid w:val="0"/>
      <w:jc w:val="left"/>
    </w:pPr>
    <w:rPr>
      <w:sz w:val="18"/>
    </w:rPr>
  </w:style>
  <w:style w:type="character" w:styleId="7">
    <w:name w:val="page number"/>
    <w:basedOn w:val="6"/>
    <w:qFormat/>
    <w:uiPriority w:val="0"/>
  </w:style>
  <w:style w:type="paragraph" w:customStyle="1" w:styleId="8">
    <w:name w:val="_Style 3"/>
    <w:qFormat/>
    <w:uiPriority w:val="1"/>
    <w:pPr>
      <w:widowControl w:val="0"/>
      <w:jc w:val="both"/>
    </w:pPr>
    <w:rPr>
      <w:rFonts w:ascii="Times New Roman" w:hAnsi="Times New Roman" w:eastAsia="宋体" w:cs="Times New Roman"/>
      <w:kern w:val="2"/>
      <w:sz w:val="21"/>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5.jpeg"/><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jpe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2026-05-12T06:22:00Z</dcterms:created>
  <dc:creator>LENOVO</dc:creator>
  <cp:lastModifiedBy>LENOVO</cp:lastModifiedBy>
  <dcterms:modified xsi:type="dcterms:W3CDTF">2026-05-12T06:22:08Z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EF953620541F40C6BEAD55AB233EFC21_11</vt:lpwstr>
  </property>
</Properties>
</file>