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35C3E0">
      <w:pPr>
        <w:pStyle w:val="2"/>
        <w:numPr>
          <w:ilvl w:val="0"/>
          <w:numId w:val="1"/>
        </w:numPr>
        <w:wordWrap w:val="0"/>
        <w:topLinePunct/>
        <w:autoSpaceDE/>
        <w:autoSpaceDN/>
        <w:jc w:val="center"/>
        <w:rPr>
          <w:rFonts w:hint="eastAsia"/>
        </w:rPr>
      </w:pPr>
      <w:r>
        <w:rPr>
          <w:rFonts w:hint="eastAsia"/>
        </w:rPr>
        <w:t>技术要求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0"/>
        <w:gridCol w:w="1566"/>
        <w:gridCol w:w="6286"/>
      </w:tblGrid>
      <w:tr w14:paraId="356A10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top"/>
          </w:tcPr>
          <w:p w14:paraId="79034D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60" w:lineRule="exact"/>
              <w:jc w:val="center"/>
              <w:rPr>
                <w:rFonts w:hint="eastAsia"/>
                <w:color w:val="000000" w:themeColor="text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845" w:type="dxa"/>
            <w:vAlign w:val="top"/>
          </w:tcPr>
          <w:p w14:paraId="0CD23A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60" w:lineRule="exact"/>
              <w:jc w:val="center"/>
              <w:rPr>
                <w:rFonts w:hint="eastAsia"/>
                <w:color w:val="000000" w:themeColor="text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标的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7001" w:type="dxa"/>
            <w:vAlign w:val="top"/>
          </w:tcPr>
          <w:p w14:paraId="6FD2AE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60" w:lineRule="exact"/>
              <w:jc w:val="center"/>
              <w:rPr>
                <w:rFonts w:hint="eastAsia"/>
                <w:color w:val="000000" w:themeColor="text1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主要技术参数</w:t>
            </w:r>
          </w:p>
        </w:tc>
      </w:tr>
      <w:tr w14:paraId="0E6E0B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61C64D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845" w:type="dxa"/>
            <w:vAlign w:val="center"/>
          </w:tcPr>
          <w:p w14:paraId="17AB5F3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外科体位调节平台</w:t>
            </w:r>
          </w:p>
        </w:tc>
        <w:tc>
          <w:tcPr>
            <w:tcW w:w="7001" w:type="dxa"/>
            <w:vAlign w:val="center"/>
          </w:tcPr>
          <w:p w14:paraId="0726E8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1、1900*600*600mm（±5mm）；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2、框架采用2.5*50mm厚度1.2mm矩方管；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3、支架采用2.5*50mm厚度1.2mm矩方管；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4、台面采用25mm海绵及蓝西皮包面；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5、材质采用钢管制作而成；</w:t>
            </w:r>
          </w:p>
          <w:p w14:paraId="0BA4F3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default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strike w:val="0"/>
                <w:dstrike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6、可手动升降。</w:t>
            </w:r>
          </w:p>
        </w:tc>
      </w:tr>
      <w:tr w14:paraId="43DB9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4E2D5D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845" w:type="dxa"/>
            <w:vAlign w:val="center"/>
          </w:tcPr>
          <w:p w14:paraId="5B22D5B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不锈钢治疗车</w:t>
            </w:r>
          </w:p>
        </w:tc>
        <w:tc>
          <w:tcPr>
            <w:tcW w:w="7001" w:type="dxa"/>
            <w:vAlign w:val="center"/>
          </w:tcPr>
          <w:p w14:paraId="15BF3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1、适用于医护人员对病人急救护理换药等；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2、主体：主要由铝、钢、ABS工程塑料结构组成；四柱承重；内有铝管承重力强；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ABS双层底面注塑工艺成型两侧扶手台面，凹陷设计可防止物品滑落，台面上配透明软玻璃，ABS一体化台面，不锈钢三面护栏防护物品滑落，左侧至少配一个置物篮，附工作台面一块，有效延长台面的使用面积，右侧至少有:置物篮一个，配锐气盒两个，分类垃圾桶两个；可旋转式污物桶两个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、车体：至少有1个抽屉,每层内置3*3分隔片，可自由分隔大小空间使用，抽屉为ABS材料，三折静音轨道，抽拉顺畅，抽屉拉手为ABS材料，封口具有插槽式标识牌，防止液体及灰尘进入，插槽式向上倾斜便于观望，底板凹槽式盆体设计，防止物品滑落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5、静音脚轮4个，其中两只带刹车，可在任意状态下使用刹车功能，坚固耐用，可在平整地面上任意推动，转向；具有防静电防卷发功能。</w:t>
            </w:r>
          </w:p>
        </w:tc>
      </w:tr>
      <w:tr w14:paraId="24E23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5EE3E5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845" w:type="dxa"/>
            <w:vAlign w:val="center"/>
          </w:tcPr>
          <w:p w14:paraId="61BA6F0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外科缝合包扎模型</w:t>
            </w:r>
          </w:p>
        </w:tc>
        <w:tc>
          <w:tcPr>
            <w:tcW w:w="7001" w:type="dxa"/>
            <w:vAlign w:val="center"/>
          </w:tcPr>
          <w:p w14:paraId="4FC0D2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1、提供多个标准手术切口，可以用于练习和提高各种伤口的护理、清洗、换药、包扎等基本技术；</w:t>
            </w:r>
          </w:p>
          <w:p w14:paraId="390DEC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2、切口（包括但不限于）：</w:t>
            </w:r>
          </w:p>
          <w:p w14:paraId="49239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(1)甲状腺切除术；</w:t>
            </w:r>
          </w:p>
          <w:p w14:paraId="434B03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(2)胸骨正中切口伴胸腔引流管（2根）；</w:t>
            </w:r>
          </w:p>
          <w:p w14:paraId="3AC666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(3)右侧乳房切除术伴导管引流术；</w:t>
            </w:r>
          </w:p>
          <w:p w14:paraId="5C099B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(4)右侧胆囊切除术伴T管引流；</w:t>
            </w:r>
          </w:p>
          <w:p w14:paraId="555774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(5)剖腹探察术；</w:t>
            </w:r>
          </w:p>
          <w:p w14:paraId="2E4C9A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(6)右侧阑尾切除术；</w:t>
            </w:r>
          </w:p>
          <w:p w14:paraId="3280F7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(7)右侧结肠造口术（人工肛门）；</w:t>
            </w:r>
          </w:p>
          <w:p w14:paraId="7CBB89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(8)右侧回肠造口术；</w:t>
            </w:r>
          </w:p>
          <w:p w14:paraId="1B90F4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(9)腹部子宫切除术（横切口）；</w:t>
            </w:r>
          </w:p>
          <w:p w14:paraId="24F698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(10)左侧胸廓切开术；</w:t>
            </w:r>
          </w:p>
          <w:p w14:paraId="589D8A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(11)右侧肾切除术（斜切口）；</w:t>
            </w:r>
          </w:p>
          <w:p w14:paraId="04C7BB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(12)背部椎板切除术；</w:t>
            </w:r>
          </w:p>
          <w:p w14:paraId="6BC3A0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(13)骶骨压疮（褥疮）溃疡，第II期；</w:t>
            </w:r>
          </w:p>
          <w:p w14:paraId="1E5C55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(14)右侧大腿截肢残端；</w:t>
            </w:r>
          </w:p>
          <w:p w14:paraId="1927C9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(15)右侧腋窝腋臭手术切口（横形缝合）；</w:t>
            </w:r>
          </w:p>
          <w:p w14:paraId="4C763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(16)乳房脓肿切口（放射状或弧形切口）；</w:t>
            </w:r>
          </w:p>
          <w:p w14:paraId="63833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(17)气胸置管引流；</w:t>
            </w:r>
          </w:p>
          <w:p w14:paraId="14655F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(18)耻骨上膀胱造瘘术；</w:t>
            </w:r>
          </w:p>
          <w:p w14:paraId="42A669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(19)腹股沟斜疝切除术；</w:t>
            </w:r>
          </w:p>
          <w:p w14:paraId="6401C8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(20)股动脉穿刺切口。</w:t>
            </w:r>
          </w:p>
        </w:tc>
      </w:tr>
      <w:tr w14:paraId="7BFD5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63E406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845" w:type="dxa"/>
            <w:vAlign w:val="center"/>
          </w:tcPr>
          <w:p w14:paraId="20A46F2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电子血压计</w:t>
            </w:r>
          </w:p>
        </w:tc>
        <w:tc>
          <w:tcPr>
            <w:tcW w:w="7001" w:type="dxa"/>
            <w:vAlign w:val="center"/>
          </w:tcPr>
          <w:p w14:paraId="3287C3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1、测量方式：示波法；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2、显示方式：LCD数字显示；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3、运行模式：连续运行；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4、脉率测量范围：(40-200)次/分；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5、压力测量范围：(0-300)mmHg/(0.0~40.0)kPa。</w:t>
            </w:r>
          </w:p>
        </w:tc>
      </w:tr>
      <w:tr w14:paraId="146D0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0C6154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845" w:type="dxa"/>
            <w:vAlign w:val="center"/>
          </w:tcPr>
          <w:p w14:paraId="2103542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心肺复苏模拟人模型</w:t>
            </w:r>
          </w:p>
        </w:tc>
        <w:tc>
          <w:tcPr>
            <w:tcW w:w="7001" w:type="dxa"/>
            <w:vAlign w:val="center"/>
          </w:tcPr>
          <w:p w14:paraId="437CF877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1、符合心肺复苏指南标准；</w:t>
            </w:r>
          </w:p>
          <w:p w14:paraId="2E4E5FE9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2、半身标配</w:t>
            </w:r>
          </w:p>
          <w:p w14:paraId="2DE05E82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3、材质：热塑弹性体混合胶材质，肤质仿真度高；</w:t>
            </w:r>
          </w:p>
          <w:p w14:paraId="274B9D7A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u w:val="none"/>
                <w:vertAlign w:val="baseline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4、具有标准气道开放显示、按压位置与深度动态反馈、吹气量监测等功能；</w:t>
            </w:r>
          </w:p>
          <w:p w14:paraId="00AD3FDC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5、人工手位胸外按压显示报警：按压位置正确、错误的指示灯显示及错误的报警；按压强度正确(4-5cm区域)、错误(</w:t>
            </w:r>
            <w:r>
              <w:rPr>
                <w:rFonts w:hint="eastAsia"/>
                <w:lang w:val="en-US" w:eastAsia="zh-CN"/>
              </w:rPr>
              <w:t>区域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＜4cm和区域＞5cm)的指示灯显示及错误的报警；人工口对口呼吸（吹气）显示报警：吹入的潮气量＜500ml和＞600ml时指示灯显示及报警；吹入的潮气量在500ml~600ml之间正确指示灯显示；吹入的潮气量过快或超大，造成气体进入胃部；检查瞳孔反应：模拟瞳孔由一只散大与一只缩小的比较认识；</w:t>
            </w:r>
          </w:p>
          <w:p w14:paraId="3519574A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u w:val="none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2、产品规格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身长:70CM。</w:t>
            </w:r>
          </w:p>
        </w:tc>
      </w:tr>
      <w:tr w14:paraId="48CCD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49F7A2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845" w:type="dxa"/>
            <w:vAlign w:val="center"/>
          </w:tcPr>
          <w:p w14:paraId="2982178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胸腔穿刺模型</w:t>
            </w:r>
          </w:p>
        </w:tc>
        <w:tc>
          <w:tcPr>
            <w:tcW w:w="7001" w:type="dxa"/>
            <w:vAlign w:val="center"/>
          </w:tcPr>
          <w:p w14:paraId="701013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1、模型为男性躯干结构，可在坐位或侧卧位上进行操作训练；</w:t>
            </w:r>
          </w:p>
          <w:p w14:paraId="5BA923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2、模拟人反向坐于靠背椅上，双手臂置于椅背上缘，头伏于前臂；</w:t>
            </w:r>
          </w:p>
          <w:p w14:paraId="49DFFF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3、模型具有胸、腹部和背部的局部解剖结构特征，标志清晰，形态逼真；</w:t>
            </w:r>
          </w:p>
          <w:p w14:paraId="2E3D26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4、体表标志明显，可以触及腋窝、第7颈椎、胸椎、肩胛骨、肋骨、肋间隙、腰椎；</w:t>
            </w:r>
          </w:p>
          <w:p w14:paraId="2DBD7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5、可进行胸腔（背部）穿刺术。多个穿刺部位：肩胛下线第7～9肋间和腋中线第5～6肋间穿刺；</w:t>
            </w:r>
          </w:p>
          <w:p w14:paraId="2A08B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6、当针头穿过壁层胸膜时，针头抵触感消失，连接注射器，抽出胸腔积液；</w:t>
            </w:r>
          </w:p>
          <w:p w14:paraId="58CC63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7、电子监测:穿剌针要求沿下位肋骨的上缘垂直刺入。</w:t>
            </w:r>
          </w:p>
        </w:tc>
      </w:tr>
      <w:tr w14:paraId="7F9184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1AB0E4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845" w:type="dxa"/>
            <w:vAlign w:val="center"/>
          </w:tcPr>
          <w:p w14:paraId="77F884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腹腔穿刺训练模型</w:t>
            </w:r>
          </w:p>
        </w:tc>
        <w:tc>
          <w:tcPr>
            <w:tcW w:w="7001" w:type="dxa"/>
            <w:vAlign w:val="center"/>
          </w:tcPr>
          <w:p w14:paraId="4913DB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1、材质为环保热塑弹性体混合胶材料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strike w:val="0"/>
                <w:dstrike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2、解剖位置准确：有锁骨、锁骨肩峰端、锁骨胸骨端、胸锁乳突肌锁骨头、胸锁乳突肌胸骨头、肋骨、肋间隙、胸骨上窝、锁骨中线、腋前线、腋中线、髂前上棘、髂嵴、脐、腹股沟韧带等，可明显感知；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3、支持固定和改变体位，如平卧、侧卧位等；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4、本模型支持腹部移动性浊音叩诊、腹部穿刺操作，穿刺成功时有明显落空感，并可抽出模拟腹腔积水；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5、可进行无菌操作流程练习；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6、从左下腹部脐与髂前上棘连线中外1／3交点穿刺，穿刺有明显落空感，可抽出模拟腹腔积液。</w:t>
            </w:r>
          </w:p>
        </w:tc>
      </w:tr>
      <w:tr w14:paraId="3B95DB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0ABB15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845" w:type="dxa"/>
            <w:vAlign w:val="center"/>
          </w:tcPr>
          <w:p w14:paraId="4FCB4A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骨髓穿刺训练模型</w:t>
            </w:r>
          </w:p>
        </w:tc>
        <w:tc>
          <w:tcPr>
            <w:tcW w:w="7001" w:type="dxa"/>
            <w:vAlign w:val="center"/>
          </w:tcPr>
          <w:p w14:paraId="7A34A8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1、仿真标准化病人取平卧位，材质为环保热塑弹性体混合胶材料。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2、解剖标志准确：胸骨上切迹、胸骨柄上缘、髂前上棘等可明显触知，便于穿刺定位；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3、可行髂前上棘穿刺术训练、胸骨柄穿刺术训练，刺透模拟骨髓腔有明显落空感，并可抽取骨髓。</w:t>
            </w:r>
          </w:p>
        </w:tc>
      </w:tr>
      <w:tr w14:paraId="79C19F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6444A1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845" w:type="dxa"/>
            <w:vAlign w:val="center"/>
          </w:tcPr>
          <w:p w14:paraId="17F290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低位包扎模型</w:t>
            </w:r>
          </w:p>
        </w:tc>
        <w:tc>
          <w:tcPr>
            <w:tcW w:w="7001" w:type="dxa"/>
            <w:vAlign w:val="center"/>
          </w:tcPr>
          <w:p w14:paraId="03991B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1、材质为环保热塑弹性体混合胶材料。模拟下肢截肢病人，右腿在膝盖以下截断，左腿在大腿中部截断；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2、模型设计方便合理，绷带可绕过臀部而缠绕到髂脊水平；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3、可以进行环形包扎法、螺旋包扎法、蛇形包扎法、8字形包扎法；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4、可以演示绷带缠绕好后其两断端固定的方法；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5、配备绷带和三角巾。</w:t>
            </w:r>
          </w:p>
        </w:tc>
      </w:tr>
      <w:tr w14:paraId="73C9CA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7D212E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845" w:type="dxa"/>
            <w:vAlign w:val="center"/>
          </w:tcPr>
          <w:p w14:paraId="7F6BA3B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骨折转移板</w:t>
            </w:r>
          </w:p>
        </w:tc>
        <w:tc>
          <w:tcPr>
            <w:tcW w:w="7001" w:type="dxa"/>
            <w:vAlign w:val="center"/>
          </w:tcPr>
          <w:p w14:paraId="57425C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1、病人转移板用来固定脊椎创伤，确保事故现场至医院护送患者的安全。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2、具有100%射线穿透性，因此在对患者作X线，CT断层扫描和核磁共振断层扫描检查时无须搬动患者，不会产生闪板阴影，影响图像清晰度等情况。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3、体积为40*183*6.5cm，可承受250公斤重量。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4、把手与地面之间留有足够的空间，可以顺利地抓握提起。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5、转移板可与任何其它头部固定设备配合使用。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6、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转移板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能浮于水面，可使患者浮在水面上，同时也可用作水面救生。</w:t>
            </w:r>
          </w:p>
        </w:tc>
      </w:tr>
      <w:tr w14:paraId="193C81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6BD21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845" w:type="dxa"/>
            <w:vAlign w:val="center"/>
          </w:tcPr>
          <w:p w14:paraId="23692CE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妇科综合检查模型</w:t>
            </w:r>
          </w:p>
        </w:tc>
        <w:tc>
          <w:tcPr>
            <w:tcW w:w="7001" w:type="dxa"/>
            <w:vAlign w:val="center"/>
          </w:tcPr>
          <w:p w14:paraId="04A4D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1、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材质为环保热塑弹性体混合胶材料。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该模型为成年女性躯干下半部由腹腔、盆腔二部分组成。可以作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包括但不限于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以下操作功能：</w:t>
            </w:r>
          </w:p>
          <w:p w14:paraId="67BAE4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正常和各类异常子宫触诊。</w:t>
            </w:r>
          </w:p>
          <w:p w14:paraId="5EDC35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妇科双合诊、三合诊的检查。</w:t>
            </w:r>
          </w:p>
          <w:p w14:paraId="1A6BAD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阴道窥器和阴道镜的检查。</w:t>
            </w:r>
          </w:p>
          <w:p w14:paraId="2A4EBB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肉眼观察正常和各类异常病变宫颈。</w:t>
            </w:r>
          </w:p>
          <w:p w14:paraId="05E97D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宫内节育器的放置与取出。</w:t>
            </w:r>
          </w:p>
          <w:p w14:paraId="5F36C2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观察隔膜的大小和位置。</w:t>
            </w:r>
          </w:p>
          <w:p w14:paraId="6AE7E0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观察子宫、卵巢、输卵管、圆韧带和其它位于盆腔的解剖结构。</w:t>
            </w:r>
          </w:p>
          <w:p w14:paraId="61B29A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可更换宫颈模型11个和子宫和附件模型9个</w:t>
            </w:r>
          </w:p>
          <w:p w14:paraId="5600E4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正常与异常宫颈模型：</w:t>
            </w:r>
          </w:p>
          <w:p w14:paraId="430263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正常宫颈模型</w:t>
            </w:r>
          </w:p>
          <w:p w14:paraId="6B4331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1.正常宫颈（初产妇，宫颈口为圆孔）；</w:t>
            </w:r>
          </w:p>
          <w:p w14:paraId="3B0F6B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2.宫内节育器放置与取出正常宫颈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0B8C6B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）宫颈病理模型</w:t>
            </w:r>
          </w:p>
          <w:p w14:paraId="0C42BF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.宫颈撕裂(3、9点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方向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处多见，可撕到边缘，裂痕为鲜红色)；</w:t>
            </w:r>
          </w:p>
          <w:p w14:paraId="5ED291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.慢性宫颈炎(中度糜烂，宫颈稍大，粉红颜色伴有白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色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分泌物)；</w:t>
            </w:r>
          </w:p>
          <w:p w14:paraId="331E48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.急性宫颈炎(下唇肿大，血管充血，宫颈为鲜红色，颗粒状，小米大小)；</w:t>
            </w:r>
          </w:p>
          <w:p w14:paraId="1CBD18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.宫颈炎症纳博特囊肿(半球状突出，黄豆或绿豆大小，多个，胶水样，与宫颈颜色一致)；</w:t>
            </w:r>
          </w:p>
          <w:p w14:paraId="255746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.滴虫性宫颈炎(弥漫分布细点状出血斑点，呈草莓状，表面平坦，分泌物带黄白色)；</w:t>
            </w:r>
          </w:p>
          <w:p w14:paraId="6D11B5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.宫颈尖锐湿疣(白色乳头状疣，有指样突起，菜花状，颗粒小，内口翻出)；</w:t>
            </w:r>
          </w:p>
          <w:p w14:paraId="55213E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.宫颈白斑(白癜风样白斑，白色)；</w:t>
            </w:r>
          </w:p>
          <w:p w14:paraId="28356D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.宫颈息肉(从宫颈内口翻出，蒂细小，容易出血，色浅)；</w:t>
            </w:r>
          </w:p>
          <w:p w14:paraId="4E9A74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.宫颈腺癌(菜花状，癌组织易出血，有异形血管，污灰色)；</w:t>
            </w:r>
          </w:p>
          <w:p w14:paraId="4869FB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、正常与异常子宫和附件模型</w:t>
            </w:r>
          </w:p>
          <w:p w14:paraId="5C734E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）正常子宫和附件模型</w:t>
            </w:r>
          </w:p>
          <w:p w14:paraId="5AAD12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1.宫内节育器放置与取出正常子宫和附件（子宫前部透明）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787FBF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2.正常子宫和附件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34A92F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）异常子宫和附件模型</w:t>
            </w:r>
          </w:p>
          <w:p w14:paraId="768F1D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.子宫伴有明显前倾、前屈（用气球使气囊充气来调节子宫位置）</w:t>
            </w:r>
          </w:p>
          <w:p w14:paraId="71A873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.子宫伴有明显后倾、后屈（用气球使气囊放气来调节子宫位置）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5F61E7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.子宫肌瘤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452F5D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.子宫伴有右侧输卵管卵巢囊肿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648DA5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.子宫伴有右侧输卵管积水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252294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.子宫伴有右侧输卵管结核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6B2714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.子宫伴有右侧输卵管炎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4EF8E5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.妊娠子宫触诊模型（五个月大小胎儿子宫）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783839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.异位妊娠触诊模型（一侧输卵管壶腹部妊娠）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1A4EC5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.输卵管阻塞诊断模型（一侧输卵管阻塞）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 w14:paraId="29B20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3143B8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845" w:type="dxa"/>
            <w:vAlign w:val="center"/>
          </w:tcPr>
          <w:p w14:paraId="0A14D6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男性导尿模型</w:t>
            </w:r>
          </w:p>
        </w:tc>
        <w:tc>
          <w:tcPr>
            <w:tcW w:w="7001" w:type="dxa"/>
            <w:vAlign w:val="center"/>
          </w:tcPr>
          <w:p w14:paraId="0F0EB3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1、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材质为环保热塑弹性体混合胶材料。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模型参照男性内外生殖器解剖结构设计，可练习会阴护理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01E347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2、润滑过的导尿管可以通过尿道口插入尿道，进入膀胱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7D6B0A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3、当导尿管进入膀胱时，人造尿液就会从导尿管口流出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418CDC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4、导尿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管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通过粘膜皱壁、尿道球部及尿道内括约肌时，学生将会体验到如同真人般的狭窄感，可以通过改变体位和阴茎的位置，使导管顺利插入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7591AC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5、模型配有2处造瘘口，可进行造瘘引流术和造瘘口护理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290EEE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6、灌肠法：模型可摆放为侧卧位，进行保留灌肠和不保留灌肠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76C379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支持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臀部肌肉注射、大腿肌肉注射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 w14:paraId="5D220A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5794EB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845" w:type="dxa"/>
            <w:vAlign w:val="center"/>
          </w:tcPr>
          <w:p w14:paraId="3B667C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女性导尿模型</w:t>
            </w:r>
          </w:p>
        </w:tc>
        <w:tc>
          <w:tcPr>
            <w:tcW w:w="7001" w:type="dxa"/>
            <w:vAlign w:val="center"/>
          </w:tcPr>
          <w:p w14:paraId="52E885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1、模仿中年妇女的外生殖器的会阴，大腿处于外展位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4D1831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2、模型包括膀胱、尿道、尿道括约肌等解剖结构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5482CA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3、小阴唇可以向两旁分开以暴露阴蒂、尿道口及阴道口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75E245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4、当导尿管插入尿道，通过尿道括约肌进入膀胱时，有真实的阻力与压力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549AA6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5、当导尿管进入膀胱时，模拟尿液将从导管中流出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54086D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6、模型配有2处造瘘口，可进行造瘘引流术和造瘘口护理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37C33E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7、灌肠法：模型可摆放为侧卧位，进行保留灌肠和不保留灌肠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239CFB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8、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支持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臀部肌肉注射、大腿肌肉注射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 w14:paraId="0A881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02EA55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845" w:type="dxa"/>
            <w:vAlign w:val="center"/>
          </w:tcPr>
          <w:p w14:paraId="0DFA343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腰椎穿刺训练模型</w:t>
            </w:r>
          </w:p>
        </w:tc>
        <w:tc>
          <w:tcPr>
            <w:tcW w:w="7001" w:type="dxa"/>
            <w:vAlign w:val="center"/>
          </w:tcPr>
          <w:p w14:paraId="4D6A2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1、仿真标准化病人取侧卧位，背部与床面垂直，头向前胸弯曲，双膝向腹部屈曲，躯干呈弓状；</w:t>
            </w:r>
          </w:p>
          <w:p w14:paraId="024305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2、腰部可以活动，操作者需一手挽仿真病人头部，另一手挽双下肢腘窝处抱紧，使脊柱尽量后凸增宽椎间隙，才能完成穿刺；</w:t>
            </w:r>
          </w:p>
          <w:p w14:paraId="662CC6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3、腰部组织结构准确、体表标志明显：有完整的1～5</w:t>
            </w:r>
            <w:r>
              <w:rPr>
                <w:rFonts w:hint="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节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腰椎（椎体、椎弓板、棘突）、骶骨、骶裂孔、骶角、棘上韧带、棘间韧带、黄韧带、硬脊膜与蛛网膜，以及由上述组织形成的蛛网膜下腔、硬膜外腔、骶管；髂后上棘、髂嵴、胸椎棘突、腰椎棘突可真实触知；</w:t>
            </w:r>
          </w:p>
          <w:p w14:paraId="4C2485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4、可进行以下各种操作（包括但不限于）：腰麻、腰椎穿刺、骶神经阻滞、腰交感神经阻滞；</w:t>
            </w:r>
          </w:p>
          <w:p w14:paraId="18850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、腰椎穿刺模拟真实：当穿刺针抵达模拟黄韧带，阻力增大有韧性感；突破黄韧带有明显的落空感，即进入硬脊膜外腔，有负压呈现(这时推注麻醉药液即为硬脊膜外麻醉)；继续进针将刺破硬脊膜和蛛网膜，出现第二次落空感，即进入蛛网膜下腔，将有模拟脑脊液流出，全程模拟临床腰椎穿刺真实情节。</w:t>
            </w:r>
          </w:p>
        </w:tc>
      </w:tr>
      <w:tr w14:paraId="49C8B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778609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845" w:type="dxa"/>
            <w:vAlign w:val="center"/>
          </w:tcPr>
          <w:p w14:paraId="7C9A58C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手术室扇形推车</w:t>
            </w:r>
          </w:p>
        </w:tc>
        <w:tc>
          <w:tcPr>
            <w:tcW w:w="7001" w:type="dxa"/>
            <w:vAlign w:val="center"/>
          </w:tcPr>
          <w:p w14:paraId="4A259EC5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ind w:left="0" w:leftChars="0" w:hanging="360" w:firstLine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1、产品规格：1500*460*860mm；</w:t>
            </w:r>
          </w:p>
          <w:p w14:paraId="6DF3663C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ind w:left="0" w:leftChars="0" w:hanging="360" w:firstLine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2、主体材质；整体采用不锈钢原板材，氩弧焊工艺焊，打磨抛光接而成；</w:t>
            </w:r>
          </w:p>
          <w:p w14:paraId="336DDA95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ind w:left="0" w:leftChars="0" w:hanging="360" w:firstLine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3、主体结构：</w:t>
            </w:r>
          </w:p>
          <w:p w14:paraId="1FE7DC3E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ind w:left="0" w:leftChars="0" w:hanging="360" w:firstLine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（1）立柱采用Φ25×1.0mm不锈钢圆管焊接制成；</w:t>
            </w:r>
          </w:p>
          <w:p w14:paraId="57148DED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ind w:left="0" w:leftChars="0" w:hanging="360" w:firstLine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（2）台面采用厚δ1.0mm的不锈钢拉丝板制成；</w:t>
            </w:r>
          </w:p>
          <w:p w14:paraId="3023DD3B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ind w:left="0" w:leftChars="0" w:hanging="360" w:firstLineChars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（3）具有两层不锈钢台面，每一层配有三面护栏，防止物品滑落。</w:t>
            </w:r>
          </w:p>
          <w:p w14:paraId="0E2F6C28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ind w:left="0" w:leftChars="0" w:hanging="360" w:firstLineChars="0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4、脚轮：万向轮，四个脚轮规格≥3寸，推行灵活承载量大，对角刹车易于制动。</w:t>
            </w:r>
          </w:p>
        </w:tc>
      </w:tr>
      <w:tr w14:paraId="75B4B8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5D84D5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845" w:type="dxa"/>
            <w:vAlign w:val="center"/>
          </w:tcPr>
          <w:p w14:paraId="6E83026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成人人体骨骼模型</w:t>
            </w:r>
          </w:p>
        </w:tc>
        <w:tc>
          <w:tcPr>
            <w:tcW w:w="7001" w:type="dxa"/>
            <w:vAlign w:val="center"/>
          </w:tcPr>
          <w:p w14:paraId="799339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男性全身人体骨骼模型示男性成人骨骼，由男性全身散骨串制而成一整体骨架，呈直立姿势，四肢大的关节部分均可活动，显示男性全身骨骼的组成和形态外观、神经分支、脊椎动脉和腰椎间盘等，头颅含可活动的下巴、可移动的头颅盖、骨缝线和三颗可取下的下牙，其中四肢骨和头颅骨可以灵活拆卸组装，整体固定在支架上，带底座，可灵活移动；</w:t>
            </w:r>
          </w:p>
          <w:p w14:paraId="228382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2、另配备专业转运模块：</w:t>
            </w:r>
          </w:p>
          <w:p w14:paraId="72EC3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（1）单门结构设计；</w:t>
            </w:r>
          </w:p>
          <w:p w14:paraId="539A20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（2）微电脑控制，内置≥3个数字式温度传感器，控温精度0.1℃；</w:t>
            </w:r>
          </w:p>
          <w:p w14:paraId="4B89A2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（3）通电稳定运行后，储藏温度可稳定至2~6℃；</w:t>
            </w:r>
          </w:p>
          <w:p w14:paraId="7092D7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（4）冷链监控模块，温湿度数值显示，信息可上传至云平台，随时随地查询；</w:t>
            </w:r>
          </w:p>
          <w:p w14:paraId="396254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（5）配备摄像头可实现箱内有无储物识别，储物提醒报警；</w:t>
            </w:r>
          </w:p>
        </w:tc>
      </w:tr>
      <w:tr w14:paraId="7F49C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752C99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845" w:type="dxa"/>
            <w:vAlign w:val="center"/>
          </w:tcPr>
          <w:p w14:paraId="650777E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儿童骨骼模型</w:t>
            </w:r>
          </w:p>
        </w:tc>
        <w:tc>
          <w:tcPr>
            <w:tcW w:w="7001" w:type="dxa"/>
            <w:vAlign w:val="center"/>
          </w:tcPr>
          <w:p w14:paraId="6A476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人体骨架模型显示男性全身骨骼的组成和形态外观，由男性全身散骨串制而成一整体骨架，呈直立姿势，四肢大的关节部分均可活动，头颅含可活动的下巴、可移动的头颅盖，其中四肢骨和头颅骨可以灵活拆卸组装，整体固定在支架上，带底座，可灵活移动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2、尺寸：高≤85cm；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3、材质：PVC材料。</w:t>
            </w:r>
          </w:p>
        </w:tc>
      </w:tr>
      <w:tr w14:paraId="6BA9C4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445911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845" w:type="dxa"/>
            <w:vAlign w:val="center"/>
          </w:tcPr>
          <w:p w14:paraId="4597A1B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悬挂式下肢骨带髋骨</w:t>
            </w:r>
          </w:p>
        </w:tc>
        <w:tc>
          <w:tcPr>
            <w:tcW w:w="7001" w:type="dxa"/>
            <w:vAlign w:val="center"/>
          </w:tcPr>
          <w:p w14:paraId="70200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1、下肢骨带髋骨模型由下肢游离骨、髋骨串制而成一个下肢整体，显示人体下肢的形态和结构，附髋骨，方便教学演示使用；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2、尺寸：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000000" w:themeColor="text1"/>
                <w:spacing w:val="-1"/>
                <w:sz w:val="24"/>
                <w:szCs w:val="24"/>
                <w:highlight w:val="none"/>
                <w:u w:val="none"/>
                <w:shd w:val="clear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000000" w:themeColor="text1"/>
                <w:spacing w:val="-1"/>
                <w:sz w:val="24"/>
                <w:szCs w:val="24"/>
                <w:highlight w:val="none"/>
                <w:u w:val="none"/>
                <w:shd w:val="clear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000000" w:themeColor="text1"/>
                <w:spacing w:val="-1"/>
                <w:sz w:val="24"/>
                <w:szCs w:val="24"/>
                <w:highlight w:val="none"/>
                <w:u w:val="none"/>
                <w:shd w:val="clear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28cm‌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3、材质：PVC材料。</w:t>
            </w:r>
          </w:p>
        </w:tc>
      </w:tr>
      <w:tr w14:paraId="671B9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748D2A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845" w:type="dxa"/>
            <w:vAlign w:val="center"/>
          </w:tcPr>
          <w:p w14:paraId="43F7ED9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上肢骨带肩胛骨锁骨</w:t>
            </w:r>
          </w:p>
        </w:tc>
        <w:tc>
          <w:tcPr>
            <w:tcW w:w="7001" w:type="dxa"/>
            <w:vAlign w:val="center"/>
          </w:tcPr>
          <w:p w14:paraId="0DB3B3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1、手臂骨、肩胛骨和锁骨模型由肩胛骨、锁骨、肱骨、尺骨、桡骨及手骨（由8块腕骨、5根掌骨和14个指骨组成）按生理位置连接，串制而成一个上肢整体，显示人体上肢的形态和结构；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2、尺寸：18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20cm‌</w:t>
            </w:r>
            <w:r>
              <w:rPr>
                <w:rFonts w:hint="eastAsia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3、材质：PVC材料。</w:t>
            </w:r>
          </w:p>
        </w:tc>
      </w:tr>
      <w:tr w14:paraId="4EC25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3A14D1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845" w:type="dxa"/>
            <w:vAlign w:val="center"/>
          </w:tcPr>
          <w:p w14:paraId="51A9625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手骨模型</w:t>
            </w:r>
          </w:p>
        </w:tc>
        <w:tc>
          <w:tcPr>
            <w:tcW w:w="7001" w:type="dxa"/>
            <w:vAlign w:val="center"/>
          </w:tcPr>
          <w:p w14:paraId="5E0D78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1、手骨模型由1块尺骨、1块桡骨、8块腕骨(舟骨、月骨、三角骨、豌豆骨、大多角骨、小多角骨、头状骨、钩状骨)、5块掌骨、14块指骨串制而成，显示人体手骨的形态特征。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2、尺寸：13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24cm；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3、材质：PVC材料。</w:t>
            </w:r>
          </w:p>
        </w:tc>
      </w:tr>
      <w:tr w14:paraId="24048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50D6F3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1845" w:type="dxa"/>
            <w:vAlign w:val="center"/>
          </w:tcPr>
          <w:p w14:paraId="2B5708F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脚关节模型</w:t>
            </w:r>
          </w:p>
        </w:tc>
        <w:tc>
          <w:tcPr>
            <w:tcW w:w="7001" w:type="dxa"/>
            <w:vAlign w:val="center"/>
          </w:tcPr>
          <w:p w14:paraId="7C386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1、足骨模型由1块腓骨、1块胫骨、7块跗骨、5块跖骨、14块趾骨串制而成，显示人体足骨的形态特征。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2、尺寸：23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20cm；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3、材质：PVC材料。</w:t>
            </w:r>
          </w:p>
        </w:tc>
      </w:tr>
      <w:tr w14:paraId="378A15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2F4149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1845" w:type="dxa"/>
            <w:vAlign w:val="center"/>
          </w:tcPr>
          <w:p w14:paraId="1FDAA16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髋关节脱位复位模型</w:t>
            </w:r>
          </w:p>
        </w:tc>
        <w:tc>
          <w:tcPr>
            <w:tcW w:w="7001" w:type="dxa"/>
            <w:vAlign w:val="center"/>
          </w:tcPr>
          <w:p w14:paraId="0213ED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1、模型为婴儿的下半身，包括骨盆和下肢；</w:t>
            </w:r>
          </w:p>
          <w:p w14:paraId="4484B7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2、采用高分子材料制成，环保无污染，肤质仿真度高；</w:t>
            </w:r>
          </w:p>
          <w:p w14:paraId="095B9E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3、用于先天性髋关节脱位的诊断，也可供髋关节脱位的复位训练使用；</w:t>
            </w:r>
          </w:p>
          <w:p w14:paraId="60E5DC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4、可做右侧髋关节松弛的演示；</w:t>
            </w:r>
          </w:p>
          <w:p w14:paraId="72B959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default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5、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材质：PVC材料。</w:t>
            </w:r>
          </w:p>
        </w:tc>
      </w:tr>
      <w:tr w14:paraId="02C91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1986F1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1845" w:type="dxa"/>
            <w:vAlign w:val="center"/>
          </w:tcPr>
          <w:p w14:paraId="29F032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心包穿刺训练模型</w:t>
            </w:r>
          </w:p>
        </w:tc>
        <w:tc>
          <w:tcPr>
            <w:tcW w:w="7001" w:type="dxa"/>
            <w:vAlign w:val="center"/>
          </w:tcPr>
          <w:p w14:paraId="5BB749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="0" w:after="0" w:line="480" w:lineRule="exact"/>
              <w:jc w:val="both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1、仿真模型取斜坡卧位，质地柔软，触感真实，外观形象逼真；</w:t>
            </w:r>
          </w:p>
          <w:p w14:paraId="6BE4B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="0" w:after="0" w:line="480" w:lineRule="exact"/>
              <w:jc w:val="both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2、解剖位置精确：胸骨、剑突、肋骨、各肋间隙等可明显感触；</w:t>
            </w:r>
          </w:p>
          <w:p w14:paraId="57FDFD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3、可进行心前区穿刺训练、剑突与第7肋软骨交界处下方穿刺训练，穿刺针成功进入心包腔后，通过负压有液体引出；</w:t>
            </w:r>
          </w:p>
          <w:p w14:paraId="4AFB47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rPr>
                <w:rFonts w:hint="default" w:asciiTheme="majorEastAsia" w:hAnsiTheme="majorEastAsia" w:eastAsiaTheme="majorEastAsia" w:cstheme="majorEastAsia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4、材质：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材质为环保热塑弹性体混合胶材料。</w:t>
            </w:r>
          </w:p>
        </w:tc>
      </w:tr>
      <w:tr w14:paraId="5B72B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1401A1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1845" w:type="dxa"/>
            <w:vAlign w:val="center"/>
          </w:tcPr>
          <w:p w14:paraId="73A27B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成人气道管理模型</w:t>
            </w:r>
          </w:p>
        </w:tc>
        <w:tc>
          <w:tcPr>
            <w:tcW w:w="7001" w:type="dxa"/>
            <w:vAlign w:val="center"/>
          </w:tcPr>
          <w:p w14:paraId="1B4879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1、功能特点：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（1）采用热塑弹性体混合胶材料制成，仿真度高；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（2）可进行气管插管的训练操作与教学演示；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（3）进行气管插管训练操作时，正确操作插入气道，有电子显示及语音提示功能，供气使双肺膨胀；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（4）进行气管插管训练操作时，错误操作插入食道，有电子显示及语音提示功能，供气使胃膨胀；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（5）进行气管插管训练操作时，错误操作使喉镜造成牙齿受压，有电子显示及语音提示功能；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（6）瞳孔正常与散大直观对比；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（7）指示环甲膜穿刺部位；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（8）可进行口咽通气管、鼻咽通气管、喉罩置入操作训练；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（9）语音提示音量大小可在控制器上进行调节。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2、标准配置：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（1）电子人体气管插管训练模型：1台；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（2）电子控制器：1个；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（3）气管插管：1根；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（4）电源适配器：1个；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（5）数据连接线：1根；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（6）手提包：1个；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（7）说明书：1册；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（8）保修卡合格证：1张。</w:t>
            </w:r>
          </w:p>
        </w:tc>
      </w:tr>
      <w:tr w14:paraId="19958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40E12B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1845" w:type="dxa"/>
            <w:vAlign w:val="center"/>
          </w:tcPr>
          <w:p w14:paraId="225442E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胃管置入训练模型</w:t>
            </w:r>
          </w:p>
        </w:tc>
        <w:tc>
          <w:tcPr>
            <w:tcW w:w="7001" w:type="dxa"/>
            <w:vAlign w:val="center"/>
          </w:tcPr>
          <w:p w14:paraId="5C2C6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both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功能特点：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1、可实现洗胃时的多种体位：仰卧位、左侧卧位、坐位；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2、瞳孔示教：瞳孔缩小与瞳孔散大直观对比；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3、可进行鼻饲术、氧气吸入疗法、口腔护理、经口经鼻吸痰术、气管切开术后护理操作训练；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4、可进行胃肠减压术、胃液采集术、十二指肠引流术、双气囊三腔管压迫术操作训练；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5、兼顾洗胃功能，仿真实大小的透明胃，可经口、鼻进行洗胃器洗胃、电动吸引器洗胃、胃管洗胃、洗胃机洗胃，可在操作时观察胃管进出胃腔的全过程，并能容纳至少300ml的液体；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6、带有灯光警示系统，提示胆囊的不同解剖部位；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7、模型使用完毕，消化道内残存液体可从专用管道排出。</w:t>
            </w:r>
          </w:p>
        </w:tc>
      </w:tr>
      <w:tr w14:paraId="50154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Align w:val="center"/>
          </w:tcPr>
          <w:p w14:paraId="79F651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Theme="majorEastAsia" w:hAnsiTheme="majorEastAsia" w:eastAsiaTheme="majorEastAsia" w:cstheme="majorEastAsia"/>
                <w:b w:val="0"/>
                <w:bCs w:val="0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845" w:type="dxa"/>
            <w:vAlign w:val="center"/>
          </w:tcPr>
          <w:p w14:paraId="148A4B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外科硅胶模型</w:t>
            </w:r>
          </w:p>
        </w:tc>
        <w:tc>
          <w:tcPr>
            <w:tcW w:w="7001" w:type="dxa"/>
            <w:vAlign w:val="center"/>
          </w:tcPr>
          <w:p w14:paraId="197CCCE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snapToGrid w:val="0"/>
                <w:color w:val="000000" w:themeColor="text1"/>
                <w:spacing w:val="-1"/>
                <w:sz w:val="24"/>
                <w:szCs w:val="24"/>
                <w:lang w:val="en-US" w:eastAsia="en-US" w:bidi="ar-SA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材质:铂金硅胶；</w:t>
            </w:r>
          </w:p>
          <w:p w14:paraId="5FC28FC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2.全穴位男款409个穴位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10D097B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pacing w:line="480" w:lineRule="exact"/>
              <w:jc w:val="left"/>
              <w:textAlignment w:val="top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3.高度</w:t>
            </w:r>
            <w:r>
              <w:rPr>
                <w:rFonts w:hint="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≥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55cm。</w:t>
            </w:r>
          </w:p>
        </w:tc>
      </w:tr>
    </w:tbl>
    <w:p w14:paraId="5A9CB451">
      <w:pPr>
        <w:kinsoku/>
        <w:wordWrap w:val="0"/>
        <w:topLinePunct/>
        <w:autoSpaceDE/>
        <w:autoSpaceDN/>
        <w:rPr>
          <w:rFonts w:hint="eastAsia" w:ascii="宋体" w:hAnsi="宋体"/>
          <w:b/>
          <w:bCs/>
          <w:color w:val="000000"/>
          <w:spacing w:val="2"/>
          <w:lang w:eastAsia="zh-CN"/>
        </w:rPr>
      </w:pPr>
    </w:p>
    <w:p w14:paraId="12C58E7E">
      <w:pPr>
        <w:kinsoku/>
        <w:wordWrap w:val="0"/>
        <w:topLinePunct/>
        <w:autoSpaceDE/>
        <w:autoSpaceDN/>
        <w:spacing w:line="460" w:lineRule="exact"/>
        <w:rPr>
          <w:rFonts w:hint="eastAsia" w:ascii="宋体" w:hAnsi="宋体"/>
          <w:b/>
          <w:bCs/>
          <w:color w:val="000000"/>
          <w:spacing w:val="2"/>
          <w:lang w:eastAsia="zh-CN"/>
        </w:rPr>
      </w:pPr>
      <w:r>
        <w:rPr>
          <w:rFonts w:hint="eastAsia" w:ascii="宋体" w:hAnsi="宋体"/>
          <w:b/>
          <w:bCs/>
          <w:color w:val="000000"/>
          <w:spacing w:val="2"/>
          <w:lang w:eastAsia="zh-CN"/>
        </w:rPr>
        <w:t>注：</w:t>
      </w:r>
      <w:r>
        <w:rPr>
          <w:rFonts w:hint="eastAsia" w:ascii="宋体" w:hAnsi="宋体"/>
          <w:b/>
          <w:bCs/>
          <w:color w:val="000000"/>
          <w:spacing w:val="2"/>
          <w:lang w:val="en-US" w:eastAsia="zh-CN"/>
        </w:rPr>
        <w:t>1、</w:t>
      </w:r>
      <w:r>
        <w:rPr>
          <w:rFonts w:hint="eastAsia" w:ascii="宋体" w:hAnsi="宋体"/>
          <w:b/>
          <w:bCs/>
          <w:color w:val="000000"/>
          <w:spacing w:val="2"/>
          <w:lang w:eastAsia="zh-CN"/>
        </w:rPr>
        <w:t>以上“技术要求”为实质性条款须完全响应，否则投标无效。</w:t>
      </w:r>
    </w:p>
    <w:p w14:paraId="65BD3E61">
      <w:pPr>
        <w:kinsoku/>
        <w:wordWrap w:val="0"/>
        <w:topLinePunct/>
        <w:autoSpaceDE/>
        <w:autoSpaceDN/>
        <w:spacing w:line="460" w:lineRule="exact"/>
        <w:rPr>
          <w:rFonts w:ascii="宋体" w:hAnsi="宋体"/>
          <w:b/>
          <w:bCs/>
          <w:color w:val="000000"/>
          <w:spacing w:val="2"/>
          <w:lang w:eastAsia="zh-CN"/>
        </w:rPr>
      </w:pPr>
      <w:r>
        <w:rPr>
          <w:rFonts w:hint="eastAsia" w:ascii="宋体" w:hAnsi="宋体"/>
          <w:b/>
          <w:bCs/>
          <w:color w:val="000000"/>
          <w:spacing w:val="2"/>
          <w:lang w:val="en-US" w:eastAsia="zh-CN"/>
        </w:rPr>
        <w:t>2</w:t>
      </w:r>
      <w:r>
        <w:rPr>
          <w:rFonts w:hint="eastAsia" w:ascii="宋体" w:hAnsi="宋体"/>
          <w:b/>
          <w:bCs/>
          <w:color w:val="000000"/>
          <w:spacing w:val="2"/>
          <w:lang w:eastAsia="zh-CN"/>
        </w:rPr>
        <w:t>、上述货物的产品尺寸及厚度未明确范围值的，均允许±3%的偏差（</w:t>
      </w:r>
      <w:r>
        <w:rPr>
          <w:rFonts w:hint="eastAsia" w:ascii="宋体" w:hAnsi="宋体"/>
          <w:b/>
          <w:bCs/>
          <w:color w:val="000000"/>
          <w:spacing w:val="2"/>
          <w:lang w:val="en-US" w:eastAsia="zh-CN"/>
        </w:rPr>
        <w:t>除有国家标准尺寸外</w:t>
      </w:r>
      <w:r>
        <w:rPr>
          <w:rFonts w:hint="eastAsia" w:ascii="宋体" w:hAnsi="宋体"/>
          <w:b/>
          <w:bCs/>
          <w:color w:val="000000"/>
          <w:spacing w:val="2"/>
          <w:lang w:eastAsia="zh-CN"/>
        </w:rPr>
        <w:t>）。</w:t>
      </w:r>
    </w:p>
    <w:p w14:paraId="3D806C06">
      <w:pPr>
        <w:kinsoku/>
        <w:wordWrap w:val="0"/>
        <w:topLinePunct/>
        <w:autoSpaceDE/>
        <w:autoSpaceDN/>
        <w:spacing w:line="460" w:lineRule="exact"/>
        <w:rPr>
          <w:rFonts w:ascii="宋体" w:hAnsi="宋体"/>
          <w:b/>
          <w:bCs/>
          <w:color w:val="000000"/>
          <w:spacing w:val="2"/>
          <w:lang w:eastAsia="zh-CN"/>
        </w:rPr>
      </w:pPr>
      <w:r>
        <w:rPr>
          <w:rFonts w:hint="eastAsia" w:ascii="宋体" w:hAnsi="宋体"/>
          <w:b/>
          <w:bCs/>
          <w:color w:val="000000"/>
          <w:spacing w:val="2"/>
          <w:lang w:val="en-US" w:eastAsia="zh-CN"/>
        </w:rPr>
        <w:t>3</w:t>
      </w:r>
      <w:r>
        <w:rPr>
          <w:rFonts w:hint="eastAsia" w:ascii="宋体" w:hAnsi="宋体"/>
          <w:b/>
          <w:bCs/>
          <w:color w:val="000000"/>
          <w:spacing w:val="2"/>
          <w:lang w:eastAsia="zh-CN"/>
        </w:rPr>
        <w:t>、投标人提供的证明材料必须真实，有效，投标人对其提交的投标文件真实性负责。如采购人对其投标文件内容真实性有疑问的，可对此进行核实，中标人须积极配合，并向采购人提供投标文件中的证明材料。若中标人提供虚假材料，采购人将相关材料上报至同级财政监管部门，追究其以虚假材料谋取中标的法律责任。根据《政府采购法》第七十七条的规定:投标人提供虚假材料谋取中标、成交的，处以采购金额千分之五以上千分之十以下的罚款，列入不良行为记录名单，在一至三年内禁止参加政府采购活动，有违法所得的，并处没收违法所得，情节严重的，由工商行政管理机关吊销营业执照;构成犯罪的，依法追究刑事责任;其中标、成交无效。</w:t>
      </w:r>
    </w:p>
    <w:p w14:paraId="5B583AE8">
      <w:pPr>
        <w:kinsoku/>
        <w:wordWrap w:val="0"/>
        <w:topLinePunct/>
        <w:autoSpaceDE/>
        <w:autoSpaceDN/>
        <w:spacing w:line="460" w:lineRule="exact"/>
        <w:rPr>
          <w:rFonts w:ascii="宋体" w:hAnsi="宋体"/>
          <w:b/>
          <w:bCs/>
          <w:color w:val="000000"/>
          <w:spacing w:val="2"/>
          <w:lang w:eastAsia="zh-CN"/>
        </w:rPr>
      </w:pPr>
      <w:r>
        <w:rPr>
          <w:rFonts w:hint="eastAsia" w:ascii="宋体" w:hAnsi="宋体"/>
          <w:b/>
          <w:bCs/>
          <w:color w:val="000000"/>
          <w:spacing w:val="2"/>
          <w:lang w:val="en-US" w:eastAsia="zh-CN"/>
        </w:rPr>
        <w:t>4</w:t>
      </w:r>
      <w:r>
        <w:rPr>
          <w:rFonts w:hint="eastAsia" w:ascii="宋体" w:hAnsi="宋体"/>
          <w:b/>
          <w:bCs/>
          <w:color w:val="000000"/>
          <w:spacing w:val="2"/>
          <w:lang w:eastAsia="zh-CN"/>
        </w:rPr>
        <w:t>、如投标人提供虚假材料谋取中标，由此给采购人造成的一切直接及间接损失，应当由投标人承担责任。</w:t>
      </w:r>
    </w:p>
    <w:p w14:paraId="4FDC266B">
      <w:pPr>
        <w:kinsoku/>
        <w:wordWrap w:val="0"/>
        <w:topLinePunct/>
        <w:autoSpaceDE/>
        <w:autoSpaceDN/>
        <w:spacing w:line="460" w:lineRule="exact"/>
      </w:pPr>
      <w:r>
        <w:rPr>
          <w:rFonts w:hint="eastAsia" w:ascii="宋体" w:hAnsi="宋体"/>
          <w:b/>
          <w:bCs/>
          <w:color w:val="000000"/>
          <w:spacing w:val="2"/>
          <w:lang w:val="en-US" w:eastAsia="zh-CN"/>
        </w:rPr>
        <w:t>5</w:t>
      </w:r>
      <w:r>
        <w:rPr>
          <w:rFonts w:hint="eastAsia" w:ascii="宋体" w:hAnsi="宋体"/>
          <w:b/>
          <w:bCs/>
          <w:color w:val="000000"/>
          <w:spacing w:val="2"/>
          <w:lang w:eastAsia="zh-CN"/>
        </w:rPr>
        <w:t>、中标人在履约过程中应完全履约，如存在以次充好等情况，由此给采购人造成的一切直接及间接损失，应当由中标人承担责任。</w:t>
      </w:r>
    </w:p>
    <w:p w14:paraId="3577574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64F1780"/>
    <w:multiLevelType w:val="multilevel"/>
    <w:tmpl w:val="464F1780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1616461"/>
    <w:multiLevelType w:val="singleLevel"/>
    <w:tmpl w:val="61616461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9D5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宋体" w:cs="宋体"/>
      <w:snapToGrid w:val="0"/>
      <w:spacing w:val="-1"/>
      <w:sz w:val="24"/>
      <w:szCs w:val="24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kinsoku/>
      <w:spacing w:line="460" w:lineRule="exact"/>
      <w:outlineLvl w:val="1"/>
    </w:pPr>
    <w:rPr>
      <w:rFonts w:ascii="宋体" w:hAnsi="宋体"/>
      <w:b/>
      <w:bCs/>
      <w:spacing w:val="0"/>
      <w:szCs w:val="32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zisiblack2"/>
    <w:qFormat/>
    <w:uiPriority w:val="99"/>
    <w:rPr>
      <w:rFonts w:cs="Times New Roman"/>
    </w:rPr>
  </w:style>
  <w:style w:type="paragraph" w:styleId="7">
    <w:name w:val="List Paragraph"/>
    <w:basedOn w:val="1"/>
    <w:autoRedefine/>
    <w:qFormat/>
    <w:uiPriority w:val="34"/>
    <w:pPr>
      <w:ind w:firstLine="420" w:firstLineChars="200"/>
    </w:pPr>
    <w:rPr>
      <w:rFonts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2026-05-12T04:29:21Z</dcterms:created>
  <dc:creator>Administrator</dc:creator>
  <cp:lastModifiedBy>xx</cp:lastModifiedBy>
  <dcterms:modified xsi:type="dcterms:W3CDTF">2026-05-12T04:29:33Z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eyJoZGlkIjoiNzg3ZWEwNzhiMzhlZDRkMmFhMmEwZDNhMmRlMTc5NWUiLCJ1c2VySWQiOiI1Mjc2MDU0NTkifQ==</vt:lpwstr>
  </property>
  <property fmtid="{D5CDD505-2E9C-101B-9397-08002B2CF9AE}" pid="4" name="ICV">
    <vt:lpwstr>30F5704F32974FC59C90380E8BAC4EEA_12</vt:lpwstr>
  </property>
</Properties>
</file>